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FECF7">
      <w:pPr>
        <w:widowControl/>
        <w:kinsoku w:val="0"/>
        <w:autoSpaceDE w:val="0"/>
        <w:autoSpaceDN w:val="0"/>
        <w:adjustRightInd w:val="0"/>
        <w:snapToGrid w:val="0"/>
        <w:jc w:val="left"/>
        <w:textAlignment w:val="baseline"/>
        <w:rPr>
          <w:rFonts w:hint="eastAsia" w:ascii="仿宋" w:hAnsi="仿宋" w:eastAsia="仿宋" w:cs="仿宋"/>
          <w:b/>
          <w:bCs/>
          <w:snapToGrid w:val="0"/>
          <w:kern w:val="0"/>
          <w:sz w:val="30"/>
          <w:szCs w:val="30"/>
          <w:highlight w:val="none"/>
        </w:rPr>
      </w:pPr>
    </w:p>
    <w:p w14:paraId="62C7E8E1">
      <w:pPr>
        <w:widowControl/>
        <w:kinsoku w:val="0"/>
        <w:autoSpaceDE w:val="0"/>
        <w:autoSpaceDN w:val="0"/>
        <w:adjustRightInd w:val="0"/>
        <w:snapToGrid w:val="0"/>
        <w:jc w:val="left"/>
        <w:textAlignment w:val="baseline"/>
        <w:rPr>
          <w:rFonts w:hint="eastAsia" w:ascii="仿宋" w:hAnsi="仿宋" w:eastAsia="仿宋" w:cs="仿宋"/>
          <w:b/>
          <w:bCs/>
          <w:snapToGrid w:val="0"/>
          <w:kern w:val="0"/>
          <w:sz w:val="30"/>
          <w:szCs w:val="30"/>
          <w:highlight w:val="none"/>
        </w:rPr>
      </w:pPr>
    </w:p>
    <w:p w14:paraId="4F1CBB39">
      <w:pPr>
        <w:widowControl/>
        <w:kinsoku w:val="0"/>
        <w:autoSpaceDE w:val="0"/>
        <w:autoSpaceDN w:val="0"/>
        <w:adjustRightInd w:val="0"/>
        <w:snapToGrid w:val="0"/>
        <w:jc w:val="left"/>
        <w:textAlignment w:val="baseline"/>
        <w:rPr>
          <w:rFonts w:hint="eastAsia" w:ascii="仿宋" w:hAnsi="仿宋" w:eastAsia="仿宋" w:cs="仿宋"/>
          <w:b/>
          <w:bCs/>
          <w:snapToGrid w:val="0"/>
          <w:kern w:val="0"/>
          <w:sz w:val="30"/>
          <w:szCs w:val="30"/>
          <w:highlight w:val="none"/>
        </w:rPr>
      </w:pPr>
    </w:p>
    <w:p w14:paraId="6ED678AB">
      <w:pPr>
        <w:widowControl/>
        <w:kinsoku w:val="0"/>
        <w:autoSpaceDE w:val="0"/>
        <w:autoSpaceDN w:val="0"/>
        <w:adjustRightInd w:val="0"/>
        <w:snapToGrid w:val="0"/>
        <w:jc w:val="left"/>
        <w:textAlignment w:val="baseline"/>
        <w:rPr>
          <w:rFonts w:hint="eastAsia" w:ascii="仿宋" w:hAnsi="仿宋" w:eastAsia="仿宋" w:cs="仿宋"/>
          <w:b/>
          <w:bCs/>
          <w:snapToGrid w:val="0"/>
          <w:kern w:val="0"/>
          <w:sz w:val="30"/>
          <w:szCs w:val="30"/>
          <w:highlight w:val="none"/>
          <w:u w:val="single"/>
        </w:rPr>
      </w:pPr>
      <w:r>
        <w:rPr>
          <w:rFonts w:hint="eastAsia" w:ascii="仿宋" w:hAnsi="仿宋" w:eastAsia="仿宋" w:cs="仿宋"/>
          <w:b/>
          <w:bCs/>
          <w:snapToGrid w:val="0"/>
          <w:kern w:val="0"/>
          <w:sz w:val="30"/>
          <w:szCs w:val="30"/>
          <w:highlight w:val="none"/>
        </w:rPr>
        <w:t>政府采购项目                     合同编号：</w:t>
      </w:r>
      <w:r>
        <w:rPr>
          <w:rFonts w:hint="eastAsia" w:ascii="仿宋" w:hAnsi="仿宋" w:eastAsia="仿宋" w:cs="仿宋"/>
          <w:b/>
          <w:bCs/>
          <w:sz w:val="30"/>
          <w:szCs w:val="30"/>
          <w:highlight w:val="none"/>
          <w:u w:val="single"/>
        </w:rPr>
        <w:t xml:space="preserve">              </w:t>
      </w:r>
    </w:p>
    <w:p w14:paraId="283486C9">
      <w:pPr>
        <w:spacing w:line="324" w:lineRule="auto"/>
        <w:rPr>
          <w:rFonts w:hint="eastAsia" w:ascii="仿宋" w:hAnsi="仿宋" w:eastAsia="仿宋" w:cs="仿宋"/>
          <w:b/>
          <w:bCs/>
          <w:sz w:val="24"/>
          <w:highlight w:val="none"/>
        </w:rPr>
      </w:pPr>
    </w:p>
    <w:p w14:paraId="7F4457EA">
      <w:pPr>
        <w:spacing w:line="324" w:lineRule="auto"/>
        <w:rPr>
          <w:rFonts w:hint="eastAsia" w:ascii="仿宋" w:hAnsi="仿宋" w:eastAsia="仿宋" w:cs="仿宋"/>
          <w:b/>
          <w:bCs/>
          <w:sz w:val="24"/>
          <w:highlight w:val="none"/>
        </w:rPr>
      </w:pPr>
    </w:p>
    <w:p w14:paraId="4A85B6D9">
      <w:pPr>
        <w:spacing w:line="324" w:lineRule="auto"/>
        <w:rPr>
          <w:rFonts w:hint="eastAsia" w:ascii="仿宋" w:hAnsi="仿宋" w:eastAsia="仿宋" w:cs="仿宋"/>
          <w:szCs w:val="21"/>
          <w:highlight w:val="none"/>
        </w:rPr>
      </w:pPr>
    </w:p>
    <w:p w14:paraId="4C612062">
      <w:pPr>
        <w:pStyle w:val="3"/>
        <w:rPr>
          <w:rFonts w:hint="eastAsia" w:ascii="仿宋" w:hAnsi="仿宋" w:eastAsia="仿宋" w:cs="仿宋"/>
          <w:sz w:val="21"/>
          <w:szCs w:val="21"/>
          <w:highlight w:val="none"/>
        </w:rPr>
      </w:pPr>
    </w:p>
    <w:p w14:paraId="414F78D6">
      <w:pPr>
        <w:rPr>
          <w:rFonts w:hint="eastAsia" w:ascii="仿宋" w:hAnsi="仿宋" w:eastAsia="仿宋" w:cs="仿宋"/>
          <w:highlight w:val="none"/>
        </w:rPr>
      </w:pPr>
    </w:p>
    <w:p w14:paraId="70F4D2D0">
      <w:pPr>
        <w:pStyle w:val="2"/>
        <w:ind w:hanging="7"/>
        <w:jc w:val="center"/>
        <w:rPr>
          <w:rFonts w:hint="eastAsia" w:ascii="仿宋" w:hAnsi="仿宋" w:eastAsia="仿宋" w:cs="仿宋"/>
          <w:b/>
          <w:bCs/>
          <w:color w:val="auto"/>
          <w:kern w:val="0"/>
          <w:sz w:val="44"/>
          <w:szCs w:val="44"/>
          <w:highlight w:val="none"/>
        </w:rPr>
      </w:pPr>
      <w:r>
        <w:rPr>
          <w:rFonts w:hint="eastAsia" w:ascii="仿宋" w:hAnsi="仿宋" w:eastAsia="仿宋" w:cs="仿宋"/>
          <w:b/>
          <w:bCs/>
          <w:color w:val="auto"/>
          <w:kern w:val="0"/>
          <w:sz w:val="44"/>
          <w:szCs w:val="44"/>
          <w:highlight w:val="none"/>
        </w:rPr>
        <w:t>（项目名称）</w:t>
      </w:r>
    </w:p>
    <w:p w14:paraId="340C758B">
      <w:pPr>
        <w:pStyle w:val="2"/>
        <w:ind w:hanging="7"/>
        <w:jc w:val="center"/>
        <w:rPr>
          <w:rFonts w:hint="eastAsia" w:ascii="仿宋" w:hAnsi="仿宋" w:eastAsia="仿宋" w:cs="仿宋"/>
          <w:b/>
          <w:bCs/>
          <w:color w:val="auto"/>
          <w:kern w:val="0"/>
          <w:sz w:val="44"/>
          <w:szCs w:val="44"/>
          <w:highlight w:val="none"/>
        </w:rPr>
      </w:pPr>
      <w:r>
        <w:rPr>
          <w:rFonts w:hint="eastAsia" w:ascii="仿宋" w:hAnsi="仿宋" w:eastAsia="仿宋" w:cs="仿宋"/>
          <w:b/>
          <w:bCs/>
          <w:color w:val="auto"/>
          <w:kern w:val="0"/>
          <w:sz w:val="44"/>
          <w:szCs w:val="44"/>
          <w:highlight w:val="none"/>
        </w:rPr>
        <w:t>服务合同</w:t>
      </w:r>
    </w:p>
    <w:p w14:paraId="2DBE607E">
      <w:pPr>
        <w:spacing w:line="324" w:lineRule="auto"/>
        <w:rPr>
          <w:rFonts w:hint="eastAsia" w:ascii="仿宋" w:hAnsi="仿宋" w:eastAsia="仿宋" w:cs="仿宋"/>
          <w:sz w:val="18"/>
          <w:szCs w:val="21"/>
          <w:highlight w:val="none"/>
        </w:rPr>
      </w:pPr>
    </w:p>
    <w:p w14:paraId="33868F7C">
      <w:pPr>
        <w:spacing w:line="324" w:lineRule="auto"/>
        <w:rPr>
          <w:rFonts w:hint="eastAsia" w:ascii="仿宋" w:hAnsi="仿宋" w:eastAsia="仿宋" w:cs="仿宋"/>
          <w:sz w:val="18"/>
          <w:szCs w:val="21"/>
          <w:highlight w:val="none"/>
        </w:rPr>
      </w:pPr>
    </w:p>
    <w:p w14:paraId="4B4DDF16">
      <w:pPr>
        <w:spacing w:line="324" w:lineRule="auto"/>
        <w:rPr>
          <w:rFonts w:hint="eastAsia" w:ascii="仿宋" w:hAnsi="仿宋" w:eastAsia="仿宋" w:cs="仿宋"/>
          <w:szCs w:val="21"/>
          <w:highlight w:val="none"/>
        </w:rPr>
      </w:pPr>
    </w:p>
    <w:p w14:paraId="107B074A">
      <w:pPr>
        <w:spacing w:line="324" w:lineRule="auto"/>
        <w:rPr>
          <w:rFonts w:hint="eastAsia" w:ascii="仿宋" w:hAnsi="仿宋" w:eastAsia="仿宋" w:cs="仿宋"/>
          <w:szCs w:val="21"/>
          <w:highlight w:val="none"/>
        </w:rPr>
      </w:pPr>
    </w:p>
    <w:p w14:paraId="75E22DD0">
      <w:pPr>
        <w:spacing w:line="324" w:lineRule="auto"/>
        <w:rPr>
          <w:rFonts w:hint="eastAsia" w:ascii="仿宋" w:hAnsi="仿宋" w:eastAsia="仿宋" w:cs="仿宋"/>
          <w:sz w:val="18"/>
          <w:szCs w:val="21"/>
          <w:highlight w:val="none"/>
        </w:rPr>
      </w:pPr>
    </w:p>
    <w:p w14:paraId="29DA1034">
      <w:pPr>
        <w:spacing w:line="324" w:lineRule="auto"/>
        <w:rPr>
          <w:rFonts w:hint="eastAsia" w:ascii="仿宋" w:hAnsi="仿宋" w:eastAsia="仿宋" w:cs="仿宋"/>
          <w:sz w:val="18"/>
          <w:szCs w:val="21"/>
          <w:highlight w:val="none"/>
        </w:rPr>
      </w:pPr>
    </w:p>
    <w:p w14:paraId="31BD9BE6">
      <w:pPr>
        <w:spacing w:line="324" w:lineRule="auto"/>
        <w:jc w:val="center"/>
        <w:rPr>
          <w:rFonts w:hint="eastAsia" w:ascii="仿宋" w:hAnsi="仿宋" w:eastAsia="仿宋" w:cs="仿宋"/>
          <w:b/>
          <w:sz w:val="28"/>
          <w:szCs w:val="28"/>
          <w:highlight w:val="none"/>
        </w:rPr>
      </w:pPr>
    </w:p>
    <w:p w14:paraId="15AE25E8">
      <w:pPr>
        <w:spacing w:before="156" w:beforeLines="50" w:line="360" w:lineRule="auto"/>
        <w:rPr>
          <w:rFonts w:hint="eastAsia" w:ascii="仿宋" w:hAnsi="仿宋" w:eastAsia="仿宋" w:cs="仿宋"/>
          <w:bCs/>
          <w:sz w:val="40"/>
          <w:szCs w:val="40"/>
          <w:highlight w:val="none"/>
        </w:rPr>
      </w:pPr>
    </w:p>
    <w:p w14:paraId="3AF40542">
      <w:pPr>
        <w:spacing w:before="156" w:beforeLines="50" w:line="360" w:lineRule="auto"/>
        <w:jc w:val="center"/>
        <w:rPr>
          <w:rFonts w:hint="eastAsia" w:ascii="仿宋" w:hAnsi="仿宋" w:eastAsia="仿宋" w:cs="仿宋"/>
          <w:b/>
          <w:bCs/>
          <w:sz w:val="28"/>
          <w:szCs w:val="28"/>
          <w:highlight w:val="none"/>
        </w:rPr>
      </w:pPr>
    </w:p>
    <w:p w14:paraId="3FA0AA72">
      <w:pPr>
        <w:widowControl/>
        <w:kinsoku w:val="0"/>
        <w:autoSpaceDE w:val="0"/>
        <w:autoSpaceDN w:val="0"/>
        <w:adjustRightInd w:val="0"/>
        <w:snapToGrid w:val="0"/>
        <w:spacing w:line="360" w:lineRule="auto"/>
        <w:ind w:firstLine="1263" w:firstLineChars="393"/>
        <w:jc w:val="left"/>
        <w:textAlignment w:val="baseline"/>
        <w:rPr>
          <w:rFonts w:hint="eastAsia" w:ascii="仿宋" w:hAnsi="仿宋" w:eastAsia="仿宋" w:cs="仿宋"/>
          <w:b/>
          <w:bCs/>
          <w:snapToGrid w:val="0"/>
          <w:kern w:val="0"/>
          <w:sz w:val="32"/>
          <w:szCs w:val="32"/>
          <w:highlight w:val="none"/>
          <w:u w:val="single"/>
        </w:rPr>
      </w:pPr>
      <w:r>
        <w:rPr>
          <w:rFonts w:hint="eastAsia" w:ascii="仿宋" w:hAnsi="仿宋" w:eastAsia="仿宋" w:cs="仿宋"/>
          <w:b/>
          <w:bCs/>
          <w:snapToGrid w:val="0"/>
          <w:kern w:val="0"/>
          <w:sz w:val="32"/>
          <w:szCs w:val="32"/>
          <w:highlight w:val="none"/>
        </w:rPr>
        <w:t xml:space="preserve">采购人： </w:t>
      </w:r>
      <w:r>
        <w:rPr>
          <w:rFonts w:hint="eastAsia" w:ascii="仿宋" w:hAnsi="仿宋" w:eastAsia="仿宋" w:cs="仿宋"/>
          <w:b/>
          <w:bCs/>
          <w:snapToGrid w:val="0"/>
          <w:kern w:val="0"/>
          <w:sz w:val="32"/>
          <w:szCs w:val="32"/>
          <w:highlight w:val="none"/>
          <w:u w:val="single"/>
        </w:rPr>
        <w:t xml:space="preserve">                    </w:t>
      </w:r>
    </w:p>
    <w:p w14:paraId="325C7425">
      <w:pPr>
        <w:widowControl/>
        <w:kinsoku w:val="0"/>
        <w:autoSpaceDE w:val="0"/>
        <w:autoSpaceDN w:val="0"/>
        <w:adjustRightInd w:val="0"/>
        <w:snapToGrid w:val="0"/>
        <w:spacing w:line="360" w:lineRule="auto"/>
        <w:ind w:firstLine="1263" w:firstLineChars="393"/>
        <w:jc w:val="left"/>
        <w:textAlignment w:val="baseline"/>
        <w:rPr>
          <w:rFonts w:hint="eastAsia" w:ascii="仿宋" w:hAnsi="仿宋" w:eastAsia="仿宋" w:cs="仿宋"/>
          <w:b/>
          <w:bCs/>
          <w:snapToGrid w:val="0"/>
          <w:kern w:val="0"/>
          <w:sz w:val="32"/>
          <w:szCs w:val="32"/>
          <w:highlight w:val="none"/>
          <w:u w:val="single"/>
        </w:rPr>
      </w:pPr>
      <w:r>
        <w:rPr>
          <w:rFonts w:hint="eastAsia" w:ascii="仿宋" w:hAnsi="仿宋" w:eastAsia="仿宋" w:cs="仿宋"/>
          <w:b/>
          <w:bCs/>
          <w:snapToGrid w:val="0"/>
          <w:kern w:val="0"/>
          <w:sz w:val="32"/>
          <w:szCs w:val="32"/>
          <w:highlight w:val="none"/>
        </w:rPr>
        <w:t xml:space="preserve">供应商： </w:t>
      </w:r>
      <w:r>
        <w:rPr>
          <w:rFonts w:hint="eastAsia" w:ascii="仿宋" w:hAnsi="仿宋" w:eastAsia="仿宋" w:cs="仿宋"/>
          <w:b/>
          <w:bCs/>
          <w:snapToGrid w:val="0"/>
          <w:kern w:val="0"/>
          <w:sz w:val="32"/>
          <w:szCs w:val="32"/>
          <w:highlight w:val="none"/>
          <w:u w:val="single"/>
        </w:rPr>
        <w:t xml:space="preserve">                    </w:t>
      </w:r>
    </w:p>
    <w:p w14:paraId="35BC95F8">
      <w:pPr>
        <w:widowControl/>
        <w:kinsoku w:val="0"/>
        <w:autoSpaceDE w:val="0"/>
        <w:autoSpaceDN w:val="0"/>
        <w:adjustRightInd w:val="0"/>
        <w:snapToGrid w:val="0"/>
        <w:spacing w:line="360" w:lineRule="auto"/>
        <w:ind w:firstLine="2866" w:firstLineChars="892"/>
        <w:jc w:val="left"/>
        <w:textAlignment w:val="baseline"/>
        <w:rPr>
          <w:rFonts w:hint="eastAsia" w:ascii="仿宋" w:hAnsi="仿宋" w:eastAsia="仿宋" w:cs="仿宋"/>
          <w:b/>
          <w:bCs/>
          <w:snapToGrid w:val="0"/>
          <w:kern w:val="0"/>
          <w:sz w:val="32"/>
          <w:szCs w:val="32"/>
          <w:highlight w:val="none"/>
        </w:rPr>
      </w:pPr>
    </w:p>
    <w:p w14:paraId="6DFDF29B">
      <w:pPr>
        <w:widowControl/>
        <w:kinsoku w:val="0"/>
        <w:autoSpaceDE w:val="0"/>
        <w:autoSpaceDN w:val="0"/>
        <w:adjustRightInd w:val="0"/>
        <w:snapToGrid w:val="0"/>
        <w:spacing w:line="360" w:lineRule="auto"/>
        <w:ind w:firstLine="2866" w:firstLineChars="892"/>
        <w:jc w:val="left"/>
        <w:textAlignment w:val="baseline"/>
        <w:rPr>
          <w:rFonts w:hint="eastAsia" w:ascii="仿宋" w:hAnsi="仿宋" w:eastAsia="仿宋" w:cs="仿宋"/>
          <w:b/>
          <w:bCs/>
          <w:sz w:val="24"/>
          <w:highlight w:val="none"/>
        </w:rPr>
      </w:pPr>
      <w:r>
        <w:rPr>
          <w:rFonts w:hint="eastAsia" w:ascii="仿宋" w:hAnsi="仿宋" w:eastAsia="仿宋" w:cs="仿宋"/>
          <w:b/>
          <w:bCs/>
          <w:snapToGrid w:val="0"/>
          <w:kern w:val="0"/>
          <w:sz w:val="32"/>
          <w:szCs w:val="32"/>
          <w:highlight w:val="none"/>
        </w:rPr>
        <w:t>二〇二六年  月</w:t>
      </w:r>
      <w:r>
        <w:rPr>
          <w:rFonts w:hint="eastAsia" w:ascii="仿宋" w:hAnsi="仿宋" w:eastAsia="仿宋" w:cs="仿宋"/>
          <w:b/>
          <w:bCs/>
          <w:sz w:val="28"/>
          <w:szCs w:val="28"/>
          <w:highlight w:val="none"/>
        </w:rPr>
        <w:br w:type="page"/>
      </w:r>
    </w:p>
    <w:p w14:paraId="4210F31E">
      <w:pPr>
        <w:spacing w:before="156" w:beforeLines="50" w:line="360" w:lineRule="auto"/>
        <w:jc w:val="center"/>
        <w:outlineLvl w:val="0"/>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合同协议书</w:t>
      </w:r>
    </w:p>
    <w:p w14:paraId="7B74A0DE">
      <w:pPr>
        <w:spacing w:line="360" w:lineRule="auto"/>
        <w:ind w:firstLine="482" w:firstLineChars="200"/>
        <w:rPr>
          <w:rFonts w:hint="eastAsia" w:ascii="仿宋" w:hAnsi="仿宋" w:eastAsia="仿宋" w:cs="仿宋"/>
          <w:b/>
          <w:bCs/>
          <w:sz w:val="24"/>
          <w:highlight w:val="none"/>
        </w:rPr>
      </w:pPr>
    </w:p>
    <w:p w14:paraId="7FA1DA7B">
      <w:pPr>
        <w:spacing w:line="520" w:lineRule="exact"/>
        <w:ind w:firstLine="562" w:firstLineChars="200"/>
        <w:rPr>
          <w:rFonts w:hint="eastAsia" w:ascii="仿宋" w:hAnsi="仿宋" w:eastAsia="仿宋" w:cs="仿宋"/>
          <w:b/>
          <w:bCs/>
          <w:sz w:val="28"/>
          <w:szCs w:val="28"/>
          <w:highlight w:val="none"/>
          <w:u w:val="single"/>
        </w:rPr>
      </w:pPr>
      <w:r>
        <w:rPr>
          <w:rFonts w:hint="eastAsia" w:ascii="仿宋" w:hAnsi="仿宋" w:eastAsia="仿宋" w:cs="仿宋"/>
          <w:b/>
          <w:bCs/>
          <w:sz w:val="28"/>
          <w:szCs w:val="28"/>
          <w:highlight w:val="none"/>
        </w:rPr>
        <w:t>甲方（采购人）：</w:t>
      </w:r>
      <w:r>
        <w:rPr>
          <w:rFonts w:hint="eastAsia" w:ascii="仿宋" w:hAnsi="仿宋" w:eastAsia="仿宋" w:cs="仿宋"/>
          <w:b/>
          <w:bCs/>
          <w:sz w:val="28"/>
          <w:szCs w:val="28"/>
          <w:highlight w:val="none"/>
          <w:u w:val="single"/>
        </w:rPr>
        <w:t xml:space="preserve">                                      </w:t>
      </w:r>
    </w:p>
    <w:p w14:paraId="7DC597A3">
      <w:pPr>
        <w:spacing w:line="520" w:lineRule="exact"/>
        <w:ind w:firstLine="562" w:firstLineChars="200"/>
        <w:rPr>
          <w:rFonts w:hint="eastAsia" w:ascii="仿宋" w:hAnsi="仿宋" w:eastAsia="仿宋" w:cs="仿宋"/>
          <w:b/>
          <w:bCs/>
          <w:sz w:val="28"/>
          <w:szCs w:val="28"/>
          <w:highlight w:val="none"/>
          <w:u w:val="single"/>
        </w:rPr>
      </w:pPr>
      <w:r>
        <w:rPr>
          <w:rFonts w:hint="eastAsia" w:ascii="仿宋" w:hAnsi="仿宋" w:eastAsia="仿宋" w:cs="仿宋"/>
          <w:b/>
          <w:bCs/>
          <w:sz w:val="28"/>
          <w:szCs w:val="28"/>
          <w:highlight w:val="none"/>
        </w:rPr>
        <w:t>乙方（供应商）：</w:t>
      </w:r>
      <w:r>
        <w:rPr>
          <w:rFonts w:hint="eastAsia" w:ascii="仿宋" w:hAnsi="仿宋" w:eastAsia="仿宋" w:cs="仿宋"/>
          <w:b/>
          <w:bCs/>
          <w:sz w:val="28"/>
          <w:szCs w:val="28"/>
          <w:highlight w:val="none"/>
          <w:u w:val="single"/>
        </w:rPr>
        <w:t xml:space="preserve">                                      </w:t>
      </w:r>
    </w:p>
    <w:p w14:paraId="33F18893">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根据《中华人民共和国民法典》《中华人民共和国政府采购法》及其他有关法律、法规，遵循平等、自愿、公平和诚信的原则，双方就下述项目范围与相关服务事项协商一致， 订立本合同。</w:t>
      </w:r>
    </w:p>
    <w:p w14:paraId="0C841627">
      <w:pPr>
        <w:spacing w:line="52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一、项目概况</w:t>
      </w:r>
    </w:p>
    <w:p w14:paraId="14D7A629">
      <w:pPr>
        <w:spacing w:line="520" w:lineRule="exact"/>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（一）项目名称：</w:t>
      </w:r>
      <w:r>
        <w:rPr>
          <w:rFonts w:hint="eastAsia" w:ascii="仿宋" w:hAnsi="仿宋" w:eastAsia="仿宋" w:cs="仿宋"/>
          <w:sz w:val="28"/>
          <w:szCs w:val="28"/>
          <w:highlight w:val="none"/>
          <w:u w:val="single"/>
        </w:rPr>
        <w:t xml:space="preserve">                                        </w:t>
      </w:r>
    </w:p>
    <w:p w14:paraId="3A4296E0">
      <w:pPr>
        <w:pStyle w:val="2"/>
        <w:ind w:firstLine="560" w:firstLineChars="200"/>
        <w:rPr>
          <w:rFonts w:hint="eastAsia" w:ascii="仿宋" w:hAnsi="仿宋" w:eastAsia="仿宋" w:cs="仿宋"/>
          <w:highlight w:val="none"/>
        </w:rPr>
      </w:pPr>
      <w:r>
        <w:rPr>
          <w:rFonts w:hint="eastAsia" w:ascii="仿宋" w:hAnsi="仿宋" w:eastAsia="仿宋" w:cs="仿宋"/>
          <w:color w:val="auto"/>
          <w:sz w:val="28"/>
          <w:szCs w:val="28"/>
          <w:highlight w:val="none"/>
        </w:rPr>
        <w:t>（二）项目地点：</w:t>
      </w:r>
      <w:r>
        <w:rPr>
          <w:rFonts w:hint="eastAsia" w:ascii="仿宋" w:hAnsi="仿宋" w:eastAsia="仿宋" w:cs="仿宋"/>
          <w:color w:val="auto"/>
          <w:sz w:val="28"/>
          <w:szCs w:val="28"/>
          <w:highlight w:val="none"/>
          <w:u w:val="single"/>
        </w:rPr>
        <w:t xml:space="preserve">                                        </w:t>
      </w:r>
    </w:p>
    <w:p w14:paraId="77712407">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（三）服务内容：</w:t>
      </w:r>
    </w:p>
    <w:p w14:paraId="59570774">
      <w:pPr>
        <w:spacing w:line="52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二、合同金额</w:t>
      </w:r>
    </w:p>
    <w:p w14:paraId="55F2402B">
      <w:pPr>
        <w:spacing w:line="520" w:lineRule="exact"/>
        <w:ind w:left="839" w:leftChars="266" w:hanging="280" w:hangingChars="100"/>
        <w:rPr>
          <w:rFonts w:hint="eastAsia" w:ascii="仿宋" w:hAnsi="仿宋" w:eastAsia="仿宋" w:cs="仿宋"/>
          <w:sz w:val="28"/>
          <w:szCs w:val="28"/>
          <w:highlight w:val="none"/>
        </w:rPr>
      </w:pPr>
      <w:r>
        <w:rPr>
          <w:rFonts w:hint="eastAsia" w:ascii="仿宋" w:hAnsi="仿宋" w:eastAsia="仿宋" w:cs="仿宋"/>
          <w:sz w:val="28"/>
          <w:szCs w:val="28"/>
          <w:highlight w:val="none"/>
        </w:rPr>
        <w:t>合同总价款(含税价):</w:t>
      </w:r>
      <w:r>
        <w:rPr>
          <w:rFonts w:hint="eastAsia" w:ascii="仿宋" w:hAnsi="仿宋" w:eastAsia="仿宋" w:cs="仿宋"/>
          <w:sz w:val="28"/>
          <w:szCs w:val="28"/>
          <w:highlight w:val="none"/>
          <w:u w:val="single"/>
        </w:rPr>
        <w:t xml:space="preserve">                         (¥          </w:t>
      </w:r>
      <w:r>
        <w:rPr>
          <w:rFonts w:hint="eastAsia" w:ascii="仿宋" w:hAnsi="仿宋" w:eastAsia="仿宋" w:cs="仿宋"/>
          <w:sz w:val="28"/>
          <w:szCs w:val="28"/>
          <w:highlight w:val="none"/>
        </w:rPr>
        <w:t>元)。</w:t>
      </w:r>
    </w:p>
    <w:p w14:paraId="1C883BAE">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合同价格为含税价，乙方报价包含完成本项目所需的全部费用（包括但不限于劳务费、国家按现行税收政策征收的一切税、服务费、分析报告出具费用等一切费用）（根据合同内容予以确定），甲方无需再向乙方支付其他任何费用。（根据合同内容予以确定）</w:t>
      </w:r>
    </w:p>
    <w:p w14:paraId="5888F26D">
      <w:pPr>
        <w:spacing w:line="52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三、服务期限</w:t>
      </w:r>
    </w:p>
    <w:p w14:paraId="125FC058">
      <w:pPr>
        <w:spacing w:line="52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合同服务期为合同签订之日起</w:t>
      </w:r>
      <w:r>
        <w:rPr>
          <w:rFonts w:hint="eastAsia" w:ascii="仿宋" w:hAnsi="仿宋" w:eastAsia="仿宋" w:cs="仿宋"/>
          <w:sz w:val="28"/>
          <w:szCs w:val="28"/>
          <w:highlight w:val="none"/>
          <w:lang w:val="en-US" w:eastAsia="zh-CN"/>
        </w:rPr>
        <w:t>一年。</w:t>
      </w:r>
    </w:p>
    <w:p w14:paraId="36B623CC">
      <w:pPr>
        <w:spacing w:line="520" w:lineRule="exact"/>
        <w:ind w:firstLine="560" w:firstLineChars="2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根据《财政部关于推进和完善服务项目政府采购有关问题的通知》（财库〔2014〕37号）有关规定，本项目在合同期满前，甲方将对乙方进行考核，根据服务满意程度，甲方有权决定是否续签合同，累计合同履行期限不超过3年。</w:t>
      </w:r>
    </w:p>
    <w:p w14:paraId="445DA406">
      <w:pPr>
        <w:spacing w:line="52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四、结算方式</w:t>
      </w:r>
    </w:p>
    <w:p w14:paraId="01232BB7">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（一）结算单位:</w:t>
      </w:r>
    </w:p>
    <w:p w14:paraId="715C4D7A">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由甲方负责结算。费用结算采用银行转账方式，分期付款。乙方应在甲方每次付款前，按照甲方要求的发票类型和金额，向甲方开具合法有效的发票，税费由乙方承担。否则，甲方有权拒绝付款且不承担迟延支付的违约责任。</w:t>
      </w:r>
    </w:p>
    <w:p w14:paraId="02F6887E">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（二）付款方式:</w:t>
      </w:r>
    </w:p>
    <w:p w14:paraId="5E99D025">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1.合同签订后，甲方收到履约保证金及增值税普通发票后，支付合同总金额的60.00%；乙方提交项目年度咨询报告，且作为</w:t>
      </w:r>
      <w:r>
        <w:rPr>
          <w:rFonts w:hint="eastAsia" w:ascii="仿宋" w:hAnsi="仿宋" w:eastAsia="仿宋" w:cs="仿宋"/>
          <w:sz w:val="28"/>
          <w:szCs w:val="28"/>
          <w:highlight w:val="none"/>
          <w:lang w:val="en-US" w:eastAsia="zh-CN"/>
        </w:rPr>
        <w:t>农村公路</w:t>
      </w:r>
      <w:r>
        <w:rPr>
          <w:rFonts w:hint="eastAsia" w:ascii="仿宋" w:hAnsi="仿宋" w:eastAsia="仿宋" w:cs="仿宋"/>
          <w:sz w:val="28"/>
          <w:szCs w:val="28"/>
          <w:highlight w:val="none"/>
        </w:rPr>
        <w:t>建养项目出具省级审查意见的依据，支付合同总金额的40.00%。</w:t>
      </w:r>
    </w:p>
    <w:p w14:paraId="7F553D3F">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2.合同签订前，乙方须向甲方缴纳合同总金额5%的履约保证金，履约保证金待乙方履行完全部合同义务，并经甲方验收合格且无任何纠纷后无息退还。</w:t>
      </w:r>
    </w:p>
    <w:p w14:paraId="75E3544B">
      <w:pPr>
        <w:spacing w:line="52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五、主要工作内容</w:t>
      </w:r>
    </w:p>
    <w:p w14:paraId="5B5F2555">
      <w:pPr>
        <w:spacing w:line="52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完成2027年度拟实施的三级及以上农村公路新改建项目工程可行性研究报告，大桥及以上危桥改造、桥涵配套和新增普通省道养护工程方案设计的技术咨询服务（咨询项目累计投资总额不少于10亿元），并编制咨询报告。</w:t>
      </w:r>
    </w:p>
    <w:p w14:paraId="38A39D8F">
      <w:pPr>
        <w:spacing w:line="52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六、其他要求</w:t>
      </w:r>
    </w:p>
    <w:p w14:paraId="3D1FB3D0">
      <w:pPr>
        <w:spacing w:line="52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满足交通运输部、陕西省交通运输主管部门印发的规范性文件以及招标文件相关技术要求。</w:t>
      </w:r>
    </w:p>
    <w:p w14:paraId="53E5D9D4">
      <w:pPr>
        <w:spacing w:line="520" w:lineRule="exact"/>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七、售后服务(根据项目内容自行确定是否需要）</w:t>
      </w:r>
    </w:p>
    <w:p w14:paraId="4E3040EB">
      <w:pPr>
        <w:pageBreakBefore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技术支持和售后服务由乙方严格按</w:t>
      </w:r>
      <w:r>
        <w:rPr>
          <w:rFonts w:hint="eastAsia" w:ascii="仿宋_GB2312" w:hAnsi="仿宋_GB2312" w:eastAsia="仿宋_GB2312" w:cs="仿宋_GB2312"/>
          <w:color w:val="auto"/>
          <w:sz w:val="28"/>
          <w:szCs w:val="28"/>
          <w:highlight w:val="none"/>
          <w:lang w:eastAsia="zh-CN"/>
        </w:rPr>
        <w:t>响应文件</w:t>
      </w:r>
      <w:r>
        <w:rPr>
          <w:rFonts w:hint="eastAsia" w:ascii="仿宋_GB2312" w:hAnsi="仿宋_GB2312" w:eastAsia="仿宋_GB2312" w:cs="仿宋_GB2312"/>
          <w:color w:val="auto"/>
          <w:sz w:val="28"/>
          <w:szCs w:val="28"/>
          <w:highlight w:val="none"/>
        </w:rPr>
        <w:t>及有关承诺执行，提供7*24小时电话咨询服务，出现问题时，</w:t>
      </w:r>
      <w:r>
        <w:rPr>
          <w:rFonts w:hint="eastAsia" w:ascii="仿宋_GB2312" w:hAnsi="仿宋_GB2312" w:eastAsia="仿宋_GB2312" w:cs="仿宋_GB2312"/>
          <w:color w:val="auto"/>
          <w:sz w:val="28"/>
          <w:szCs w:val="28"/>
          <w:highlight w:val="none"/>
          <w:u w:val="single"/>
          <w:lang w:val="en-US" w:eastAsia="zh-CN"/>
        </w:rPr>
        <w:t xml:space="preserve"> 2 </w:t>
      </w:r>
      <w:r>
        <w:rPr>
          <w:rFonts w:hint="eastAsia" w:ascii="仿宋_GB2312" w:hAnsi="仿宋_GB2312" w:eastAsia="仿宋_GB2312" w:cs="仿宋_GB2312"/>
          <w:color w:val="auto"/>
          <w:sz w:val="28"/>
          <w:szCs w:val="28"/>
          <w:highlight w:val="none"/>
        </w:rPr>
        <w:t>小时内电话响应，</w:t>
      </w:r>
      <w:r>
        <w:rPr>
          <w:rFonts w:hint="eastAsia" w:ascii="仿宋_GB2312" w:hAnsi="仿宋_GB2312" w:eastAsia="仿宋_GB2312" w:cs="仿宋_GB2312"/>
          <w:color w:val="auto"/>
          <w:sz w:val="28"/>
          <w:szCs w:val="28"/>
          <w:highlight w:val="none"/>
          <w:u w:val="single"/>
          <w:lang w:val="en-US" w:eastAsia="zh-CN"/>
        </w:rPr>
        <w:t xml:space="preserve"> 12 </w:t>
      </w:r>
      <w:r>
        <w:rPr>
          <w:rFonts w:hint="eastAsia" w:ascii="仿宋_GB2312" w:hAnsi="仿宋_GB2312" w:eastAsia="仿宋_GB2312" w:cs="仿宋_GB2312"/>
          <w:color w:val="auto"/>
          <w:sz w:val="28"/>
          <w:szCs w:val="28"/>
          <w:highlight w:val="none"/>
        </w:rPr>
        <w:t>小时内电话解决问题，如有需要</w:t>
      </w:r>
      <w:r>
        <w:rPr>
          <w:rFonts w:hint="eastAsia" w:ascii="仿宋_GB2312" w:hAnsi="仿宋_GB2312" w:eastAsia="仿宋_GB2312" w:cs="仿宋_GB2312"/>
          <w:color w:val="auto"/>
          <w:sz w:val="28"/>
          <w:szCs w:val="28"/>
          <w:highlight w:val="none"/>
          <w:u w:val="single"/>
          <w:lang w:val="en-US" w:eastAsia="zh-CN"/>
        </w:rPr>
        <w:t xml:space="preserve"> 48 </w:t>
      </w:r>
      <w:r>
        <w:rPr>
          <w:rFonts w:hint="eastAsia" w:ascii="仿宋_GB2312" w:hAnsi="仿宋_GB2312" w:eastAsia="仿宋_GB2312" w:cs="仿宋_GB2312"/>
          <w:color w:val="auto"/>
          <w:sz w:val="28"/>
          <w:szCs w:val="28"/>
          <w:highlight w:val="none"/>
        </w:rPr>
        <w:t>小时内到达故障现场解决问题。</w:t>
      </w:r>
    </w:p>
    <w:p w14:paraId="466BCDEA">
      <w:pPr>
        <w:pageBreakBefore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售后服务联系方式:</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 xml:space="preserve"> </w:t>
      </w:r>
    </w:p>
    <w:p w14:paraId="3EFFF5B7">
      <w:pPr>
        <w:pageBreakBefore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如</w:t>
      </w:r>
      <w:r>
        <w:rPr>
          <w:rFonts w:hint="eastAsia" w:ascii="仿宋_GB2312" w:hAnsi="仿宋_GB2312" w:eastAsia="仿宋_GB2312" w:cs="仿宋_GB2312"/>
          <w:color w:val="auto"/>
          <w:sz w:val="28"/>
          <w:szCs w:val="28"/>
          <w:highlight w:val="none"/>
          <w:lang w:eastAsia="zh-CN"/>
        </w:rPr>
        <w:t>因</w:t>
      </w:r>
      <w:r>
        <w:rPr>
          <w:rFonts w:hint="eastAsia" w:ascii="仿宋_GB2312" w:hAnsi="仿宋_GB2312" w:eastAsia="仿宋_GB2312" w:cs="仿宋_GB2312"/>
          <w:color w:val="auto"/>
          <w:sz w:val="28"/>
          <w:szCs w:val="28"/>
          <w:highlight w:val="none"/>
        </w:rPr>
        <w:t>乙方自身原因或不能履行售后服务义务,甲方有权委托第三方处理，由此产生的费用和风险由乙方承担</w:t>
      </w:r>
      <w:r>
        <w:rPr>
          <w:rFonts w:hint="eastAsia" w:ascii="仿宋_GB2312" w:hAnsi="仿宋_GB2312" w:eastAsia="仿宋_GB2312" w:cs="仿宋_GB2312"/>
          <w:color w:val="auto"/>
          <w:sz w:val="28"/>
          <w:szCs w:val="28"/>
          <w:highlight w:val="none"/>
          <w:lang w:eastAsia="zh-CN"/>
        </w:rPr>
        <w:t>。</w:t>
      </w:r>
    </w:p>
    <w:p w14:paraId="3FC7C6E7">
      <w:pPr>
        <w:pageBreakBefore w:val="0"/>
        <w:wordWrap/>
        <w:overflowPunct/>
        <w:topLinePunct w:val="0"/>
        <w:autoSpaceDE/>
        <w:autoSpaceDN/>
        <w:bidi w:val="0"/>
        <w:spacing w:line="520" w:lineRule="exact"/>
        <w:ind w:firstLine="562" w:firstLineChars="200"/>
        <w:textAlignment w:val="auto"/>
        <w:rPr>
          <w:rFonts w:hint="eastAsia" w:ascii="仿宋_GB2312" w:hAnsi="仿宋_GB2312" w:eastAsia="仿宋_GB2312" w:cs="仿宋_GB2312"/>
          <w:b/>
          <w:bCs/>
          <w:color w:val="auto"/>
          <w:sz w:val="28"/>
          <w:szCs w:val="28"/>
          <w:highlight w:val="none"/>
          <w:lang w:eastAsia="zh-CN"/>
        </w:rPr>
      </w:pPr>
      <w:r>
        <w:rPr>
          <w:rFonts w:hint="eastAsia" w:ascii="仿宋_GB2312" w:hAnsi="仿宋_GB2312" w:eastAsia="仿宋_GB2312" w:cs="仿宋_GB2312"/>
          <w:b/>
          <w:bCs/>
          <w:color w:val="auto"/>
          <w:sz w:val="28"/>
          <w:szCs w:val="28"/>
          <w:highlight w:val="none"/>
          <w:lang w:val="en-US" w:eastAsia="zh-CN"/>
        </w:rPr>
        <w:t>八</w:t>
      </w:r>
      <w:r>
        <w:rPr>
          <w:rFonts w:hint="eastAsia" w:ascii="仿宋_GB2312" w:hAnsi="仿宋_GB2312" w:eastAsia="仿宋_GB2312" w:cs="仿宋_GB2312"/>
          <w:b/>
          <w:bCs/>
          <w:color w:val="auto"/>
          <w:sz w:val="28"/>
          <w:szCs w:val="28"/>
          <w:highlight w:val="none"/>
        </w:rPr>
        <w:t>、</w:t>
      </w:r>
      <w:r>
        <w:rPr>
          <w:rFonts w:hint="eastAsia" w:ascii="仿宋_GB2312" w:hAnsi="仿宋_GB2312" w:eastAsia="仿宋_GB2312" w:cs="仿宋_GB2312"/>
          <w:b/>
          <w:bCs/>
          <w:color w:val="auto"/>
          <w:sz w:val="28"/>
          <w:szCs w:val="28"/>
          <w:highlight w:val="none"/>
          <w:lang w:eastAsia="zh-CN"/>
        </w:rPr>
        <w:t>验收</w:t>
      </w:r>
    </w:p>
    <w:p w14:paraId="45F1E08C">
      <w:pPr>
        <w:pageBreakBefore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乙方完成合同约定的全部内容后，应向甲方提交书面的服务成果报告及验收申请。同时向甲方提交项目实施过程中的所有资料,以便甲方日后管理和维护该项目。乙方提交的各项成果资料均应满足国家现行的《公路工程技术标准》《公路养护技术标准》等相关技术标准、规范、规程以及我省公路养护管理相关规定。</w:t>
      </w:r>
    </w:p>
    <w:p w14:paraId="11C408F5">
      <w:pPr>
        <w:pageBreakBefore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（二）甲方收到乙方的验收申请后，组织乙方（必要时请有关专家）进行项目验收。乙方提交合同履约情况总结报告，并经甲方确认。验收合格后，填写项目验收单作为对项目的最终认可。</w:t>
      </w:r>
    </w:p>
    <w:p w14:paraId="4E042EB2">
      <w:pPr>
        <w:pageBreakBefore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（三）验收依据：①本合同及附件文本；②招标（竞争性磋商）文件、投标（磋商）响应文件、澄清表（函）；③国家相应的标准、规范。</w:t>
      </w:r>
    </w:p>
    <w:p w14:paraId="12F553C7">
      <w:pPr>
        <w:pStyle w:val="2"/>
        <w:ind w:firstLine="560" w:firstLineChars="200"/>
        <w:rPr>
          <w:rFonts w:hint="eastAsia"/>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四）乙方应按合同约定按期、足额完成全部约定工作量。经甲方最终验收确认乙方实际完成工作量，完成率≥95%的，视为乙方满足合同约定标准；75%≤完成率＜95%的，乙方应按合同总金额的5%向甲方返还对应款项；50%≤完成率＜75%的，乙方应按合同总金额的10%向甲方返还对应款项；完成率＜50%的，乙方应返还甲方合同总金额的20%。</w:t>
      </w:r>
    </w:p>
    <w:p w14:paraId="213CB646">
      <w:pPr>
        <w:pageBreakBefore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02B39CDC">
      <w:pPr>
        <w:pageBreakBefore w:val="0"/>
        <w:tabs>
          <w:tab w:val="left" w:pos="980"/>
        </w:tabs>
        <w:kinsoku w:val="0"/>
        <w:wordWrap/>
        <w:overflowPunct/>
        <w:topLinePunct w:val="0"/>
        <w:autoSpaceDE/>
        <w:autoSpaceDN/>
        <w:bidi w:val="0"/>
        <w:spacing w:line="520" w:lineRule="exact"/>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i w:val="0"/>
          <w:iCs w:val="0"/>
          <w:caps w:val="0"/>
          <w:color w:val="auto"/>
          <w:spacing w:val="0"/>
          <w:kern w:val="0"/>
          <w:sz w:val="28"/>
          <w:szCs w:val="28"/>
          <w:highlight w:val="none"/>
          <w:lang w:val="en-US" w:eastAsia="zh-CN" w:bidi="ar"/>
        </w:rPr>
        <w:t xml:space="preserve">    </w:t>
      </w:r>
      <w:r>
        <w:rPr>
          <w:rFonts w:hint="eastAsia" w:ascii="仿宋_GB2312" w:hAnsi="仿宋_GB2312" w:eastAsia="仿宋_GB2312" w:cs="仿宋_GB2312"/>
          <w:b/>
          <w:bCs/>
          <w:color w:val="auto"/>
          <w:sz w:val="28"/>
          <w:szCs w:val="28"/>
          <w:highlight w:val="none"/>
          <w:lang w:val="en-US" w:eastAsia="zh-CN"/>
        </w:rPr>
        <w:t>九、保密</w:t>
      </w:r>
    </w:p>
    <w:p w14:paraId="08B1EE98">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乙方对工作中了解到的甲方的技术、数据、机密等进行严格保密，不得向他人泄漏。本合同的解除或终止不免除乙方应承担的保密义务。</w:t>
      </w:r>
    </w:p>
    <w:p w14:paraId="562042BD">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乙方违反保密规定的，除承担法律责任外，还应向甲方支付合同总金额</w:t>
      </w:r>
      <w:r>
        <w:rPr>
          <w:rFonts w:hint="eastAsia" w:ascii="仿宋_GB2312" w:hAnsi="仿宋_GB2312" w:eastAsia="仿宋_GB2312" w:cs="仿宋_GB2312"/>
          <w:color w:val="auto"/>
          <w:sz w:val="28"/>
          <w:szCs w:val="28"/>
          <w:highlight w:val="none"/>
          <w:u w:val="single"/>
          <w:lang w:val="en-US" w:eastAsia="zh-CN"/>
        </w:rPr>
        <w:t xml:space="preserve"> 20 </w:t>
      </w:r>
      <w:r>
        <w:rPr>
          <w:rFonts w:hint="eastAsia" w:ascii="仿宋_GB2312" w:hAnsi="仿宋_GB2312" w:eastAsia="仿宋_GB2312" w:cs="仿宋_GB2312"/>
          <w:color w:val="auto"/>
          <w:sz w:val="28"/>
          <w:szCs w:val="28"/>
          <w:highlight w:val="none"/>
          <w:lang w:val="en-US" w:eastAsia="zh-CN"/>
        </w:rPr>
        <w:t>%的违约金，给甲方造成损失的，乙方还应予以赔偿。</w:t>
      </w:r>
    </w:p>
    <w:p w14:paraId="709BB3DC">
      <w:pPr>
        <w:pageBreakBefore w:val="0"/>
        <w:tabs>
          <w:tab w:val="left" w:pos="980"/>
        </w:tabs>
        <w:kinsoku w:val="0"/>
        <w:wordWrap/>
        <w:overflowPunct/>
        <w:topLinePunct w:val="0"/>
        <w:autoSpaceDE/>
        <w:autoSpaceDN/>
        <w:bidi w:val="0"/>
        <w:spacing w:line="520" w:lineRule="exact"/>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 xml:space="preserve">    十、知识产权</w:t>
      </w:r>
    </w:p>
    <w:p w14:paraId="131EE48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仿宋_GB2312" w:hAnsi="仿宋_GB2312" w:eastAsia="仿宋_GB2312" w:cs="仿宋_GB2312"/>
          <w:color w:val="auto"/>
          <w:sz w:val="28"/>
          <w:szCs w:val="28"/>
          <w:highlight w:val="none"/>
          <w:u w:val="single"/>
          <w:lang w:val="en-US" w:eastAsia="zh-CN"/>
        </w:rPr>
        <w:t xml:space="preserve"> 10 </w:t>
      </w:r>
      <w:r>
        <w:rPr>
          <w:rFonts w:hint="eastAsia" w:ascii="仿宋_GB2312" w:hAnsi="仿宋_GB2312" w:eastAsia="仿宋_GB2312" w:cs="仿宋_GB2312"/>
          <w:color w:val="auto"/>
          <w:sz w:val="28"/>
          <w:szCs w:val="28"/>
          <w:highlight w:val="none"/>
          <w:lang w:val="en-US" w:eastAsia="zh-CN"/>
        </w:rPr>
        <w:t>%的违约金，给甲方造成损失的，乙方应予以赔偿。</w:t>
      </w:r>
    </w:p>
    <w:p w14:paraId="137583BE">
      <w:pPr>
        <w:pStyle w:val="4"/>
        <w:rPr>
          <w:rFonts w:hint="eastAsia" w:ascii="仿宋_GB2312" w:hAnsi="仿宋_GB2312" w:eastAsia="仿宋_GB2312" w:cs="仿宋_GB2312"/>
          <w:highlight w:val="none"/>
          <w:lang w:eastAsia="zh-CN"/>
        </w:rPr>
      </w:pPr>
      <w:r>
        <w:rPr>
          <w:rFonts w:hint="eastAsia" w:ascii="仿宋_GB2312" w:hAnsi="仿宋_GB2312" w:eastAsia="仿宋_GB2312" w:cs="仿宋_GB2312"/>
          <w:b/>
          <w:bCs/>
          <w:color w:val="auto"/>
          <w:sz w:val="28"/>
          <w:szCs w:val="28"/>
          <w:highlight w:val="none"/>
          <w:lang w:val="en-US" w:eastAsia="zh-CN"/>
        </w:rPr>
        <w:t xml:space="preserve">     十一、违约责任</w:t>
      </w:r>
    </w:p>
    <w:p w14:paraId="3D98172C">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（一）甲乙双方必须遵守本合同并执行合同中的各项规定，保证本合同的正常履行。</w:t>
      </w:r>
    </w:p>
    <w:p w14:paraId="0089235D">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598105B">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4995BE2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（四）乙方逾期完成服务的，每逾期一日，向甲方承担合同总金额</w:t>
      </w:r>
      <w:r>
        <w:rPr>
          <w:rFonts w:hint="eastAsia" w:ascii="仿宋_GB2312" w:hAnsi="仿宋_GB2312" w:eastAsia="仿宋_GB2312" w:cs="仿宋_GB2312"/>
          <w:color w:val="auto"/>
          <w:sz w:val="28"/>
          <w:szCs w:val="28"/>
          <w:highlight w:val="none"/>
          <w:u w:val="single"/>
          <w:lang w:val="en-US" w:eastAsia="zh-CN"/>
        </w:rPr>
        <w:t xml:space="preserve"> 0.3</w:t>
      </w:r>
      <w:r>
        <w:rPr>
          <w:rFonts w:hint="eastAsia" w:ascii="仿宋_GB2312" w:hAnsi="仿宋_GB2312" w:eastAsia="仿宋_GB2312" w:cs="仿宋_GB2312"/>
          <w:color w:val="auto"/>
          <w:sz w:val="28"/>
          <w:szCs w:val="28"/>
          <w:highlight w:val="none"/>
          <w:lang w:val="en-US" w:eastAsia="zh-CN"/>
        </w:rPr>
        <w:t xml:space="preserve">%的违约金，逾期 </w:t>
      </w:r>
      <w:r>
        <w:rPr>
          <w:rFonts w:hint="eastAsia" w:ascii="仿宋_GB2312" w:hAnsi="仿宋_GB2312" w:eastAsia="仿宋_GB2312" w:cs="仿宋_GB2312"/>
          <w:color w:val="auto"/>
          <w:sz w:val="28"/>
          <w:szCs w:val="28"/>
          <w:highlight w:val="none"/>
          <w:u w:val="single"/>
          <w:lang w:val="en-US" w:eastAsia="zh-CN"/>
        </w:rPr>
        <w:t xml:space="preserve"> 30 </w:t>
      </w:r>
      <w:r>
        <w:rPr>
          <w:rFonts w:hint="eastAsia" w:ascii="仿宋_GB2312" w:hAnsi="仿宋_GB2312" w:eastAsia="仿宋_GB2312" w:cs="仿宋_GB2312"/>
          <w:color w:val="auto"/>
          <w:sz w:val="28"/>
          <w:szCs w:val="28"/>
          <w:highlight w:val="none"/>
          <w:lang w:val="en-US" w:eastAsia="zh-CN"/>
        </w:rPr>
        <w:t>日的，甲方有权单方解除本合同且保留追究乙方违约责任的权利，给甲方造成损失的，乙方还应予以赔偿。</w:t>
      </w:r>
    </w:p>
    <w:p w14:paraId="3957D4F6">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（五）乙方应保证其提交的服务成果不存在侵犯他人权益的情形，否则，因此引发的责任及纠纷由乙方承担，对甲方造成损失的，乙方应予以赔偿，此外，乙方还应向甲方承担合同总金额</w:t>
      </w:r>
      <w:r>
        <w:rPr>
          <w:rFonts w:hint="eastAsia" w:ascii="仿宋_GB2312" w:hAnsi="仿宋_GB2312" w:eastAsia="仿宋_GB2312" w:cs="仿宋_GB2312"/>
          <w:color w:val="auto"/>
          <w:sz w:val="28"/>
          <w:szCs w:val="28"/>
          <w:highlight w:val="none"/>
          <w:u w:val="single"/>
          <w:lang w:val="en-US" w:eastAsia="zh-CN"/>
        </w:rPr>
        <w:t xml:space="preserve"> 10 </w:t>
      </w:r>
      <w:r>
        <w:rPr>
          <w:rFonts w:hint="eastAsia" w:ascii="仿宋_GB2312" w:hAnsi="仿宋_GB2312" w:eastAsia="仿宋_GB2312" w:cs="仿宋_GB2312"/>
          <w:color w:val="auto"/>
          <w:sz w:val="28"/>
          <w:szCs w:val="28"/>
          <w:highlight w:val="none"/>
          <w:lang w:val="en-US" w:eastAsia="zh-CN"/>
        </w:rPr>
        <w:t>%的违约金。</w:t>
      </w:r>
    </w:p>
    <w:p w14:paraId="61626FAB">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w:t>
      </w:r>
      <w:r>
        <w:rPr>
          <w:rFonts w:hint="eastAsia" w:ascii="仿宋_GB2312" w:hAnsi="仿宋_GB2312" w:eastAsia="仿宋_GB2312" w:cs="仿宋_GB2312"/>
          <w:color w:val="auto"/>
          <w:sz w:val="28"/>
          <w:szCs w:val="28"/>
          <w:highlight w:val="none"/>
          <w:u w:val="single"/>
          <w:lang w:val="en-US" w:eastAsia="zh-CN"/>
        </w:rPr>
        <w:t xml:space="preserve"> 10 </w:t>
      </w:r>
      <w:r>
        <w:rPr>
          <w:rFonts w:hint="eastAsia" w:ascii="仿宋_GB2312" w:hAnsi="仿宋_GB2312" w:eastAsia="仿宋_GB2312" w:cs="仿宋_GB2312"/>
          <w:color w:val="auto"/>
          <w:sz w:val="28"/>
          <w:szCs w:val="28"/>
          <w:highlight w:val="none"/>
          <w:lang w:val="en-US" w:eastAsia="zh-CN"/>
        </w:rPr>
        <w:t>%的违约金。</w:t>
      </w:r>
    </w:p>
    <w:p w14:paraId="63C6C85D">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370DE497">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（八）</w:t>
      </w:r>
      <w:r>
        <w:rPr>
          <w:rFonts w:hint="eastAsia" w:ascii="仿宋_GB2312" w:hAnsi="仿宋_GB2312" w:eastAsia="仿宋_GB2312" w:cs="仿宋_GB2312"/>
          <w:b w:val="0"/>
          <w:bCs w:val="0"/>
          <w:color w:val="auto"/>
          <w:sz w:val="28"/>
          <w:szCs w:val="28"/>
          <w:highlight w:val="none"/>
        </w:rPr>
        <w:t>乙方未按合同约定或甲方要求提供服务的，每出现一次应承担合同总价款</w:t>
      </w:r>
      <w:r>
        <w:rPr>
          <w:rFonts w:hint="eastAsia" w:ascii="仿宋_GB2312" w:hAnsi="仿宋_GB2312" w:eastAsia="仿宋_GB2312" w:cs="仿宋_GB2312"/>
          <w:b w:val="0"/>
          <w:bCs w:val="0"/>
          <w:color w:val="auto"/>
          <w:sz w:val="28"/>
          <w:szCs w:val="28"/>
          <w:highlight w:val="none"/>
          <w:lang w:val="en-US" w:eastAsia="zh-CN"/>
        </w:rPr>
        <w:t>10</w:t>
      </w:r>
      <w:r>
        <w:rPr>
          <w:rFonts w:hint="eastAsia" w:ascii="仿宋_GB2312" w:hAnsi="仿宋_GB2312" w:eastAsia="仿宋_GB2312" w:cs="仿宋_GB2312"/>
          <w:b w:val="0"/>
          <w:bCs w:val="0"/>
          <w:color w:val="auto"/>
          <w:sz w:val="28"/>
          <w:szCs w:val="28"/>
          <w:highlight w:val="none"/>
        </w:rPr>
        <w:t>%的违约金，出现</w:t>
      </w:r>
      <w:r>
        <w:rPr>
          <w:rFonts w:hint="eastAsia" w:ascii="仿宋_GB2312" w:hAnsi="仿宋_GB2312" w:eastAsia="仿宋_GB2312" w:cs="仿宋_GB2312"/>
          <w:b w:val="0"/>
          <w:bCs w:val="0"/>
          <w:color w:val="auto"/>
          <w:sz w:val="28"/>
          <w:szCs w:val="28"/>
          <w:highlight w:val="none"/>
          <w:lang w:val="en-US" w:eastAsia="zh-CN"/>
        </w:rPr>
        <w:t>2次以上</w:t>
      </w:r>
      <w:r>
        <w:rPr>
          <w:rFonts w:hint="eastAsia" w:ascii="仿宋_GB2312" w:hAnsi="仿宋_GB2312" w:eastAsia="仿宋_GB2312" w:cs="仿宋_GB2312"/>
          <w:b w:val="0"/>
          <w:bCs w:val="0"/>
          <w:color w:val="auto"/>
          <w:sz w:val="28"/>
          <w:szCs w:val="28"/>
          <w:highlight w:val="none"/>
        </w:rPr>
        <w:t>的，甲方有权单方解除本合同，给甲方造成损失的，乙方还应予以赔偿</w:t>
      </w:r>
      <w:r>
        <w:rPr>
          <w:rFonts w:hint="eastAsia" w:ascii="仿宋_GB2312" w:hAnsi="仿宋_GB2312" w:eastAsia="仿宋_GB2312" w:cs="仿宋_GB2312"/>
          <w:b w:val="0"/>
          <w:bCs w:val="0"/>
          <w:color w:val="auto"/>
          <w:sz w:val="28"/>
          <w:szCs w:val="28"/>
          <w:highlight w:val="none"/>
          <w:lang w:eastAsia="zh-CN"/>
        </w:rPr>
        <w:t>。</w:t>
      </w:r>
    </w:p>
    <w:p w14:paraId="4046CE26">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48B97223">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十二、合同争议的解决</w:t>
      </w:r>
    </w:p>
    <w:p w14:paraId="3CAED87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在执行本合同中发生的或与本合同有关的争端，双方应通过友好协商解决，经协商无法解决的，应向甲方所在地有管辖权的人民法院提请诉讼。</w:t>
      </w:r>
    </w:p>
    <w:p w14:paraId="75CC58EC">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十三、不可抗力情况下的免责约定</w:t>
      </w:r>
    </w:p>
    <w:p w14:paraId="7EB35BD7">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双方约定不可抗力情况指：双方不可预见、不可避免、不可克服的客观情况，但不包括双方的违约或疏忽。这些事件包括但不限于：战争、严重火灾、洪水、台风、地震等。</w:t>
      </w:r>
    </w:p>
    <w:p w14:paraId="5CDC966B">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（一）在合同有效期内，任何一方因不可抗力事件导致不能履行合同，则合同履行期可延长，其延长期与不可抗力影响期相同。</w:t>
      </w:r>
    </w:p>
    <w:p w14:paraId="1EC04783">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（二）不可抗力事件发生后，应立即通知对方，并寄送有关权威机构出具的证明。</w:t>
      </w:r>
    </w:p>
    <w:p w14:paraId="1F5FD709">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（三）不可抗力事件延续60天以上，双方应通过友好协商，确定是否继续履行合同。</w:t>
      </w:r>
    </w:p>
    <w:p w14:paraId="0CAABE0E">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十四、合同订立</w:t>
      </w:r>
    </w:p>
    <w:p w14:paraId="2FB8CE3B">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76786E8F">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（二）本合同签订后,双方依法签订的补充协议也是本合同文件的组成部分，当上述文件如有不明确或不一致之处，以合同约定次序在先者为准。</w:t>
      </w:r>
    </w:p>
    <w:p w14:paraId="2F0AEAC7">
      <w:pPr>
        <w:pStyle w:val="2"/>
        <w:rPr>
          <w:rFonts w:hint="eastAsia" w:ascii="仿宋_GB2312" w:hAnsi="仿宋_GB2312" w:eastAsia="仿宋_GB2312" w:cs="仿宋_GB2312"/>
          <w:highlight w:val="none"/>
          <w:lang w:val="en-US" w:eastAsia="zh-CN"/>
        </w:rPr>
      </w:pPr>
    </w:p>
    <w:p w14:paraId="1CB590B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（三）本合同自双方的法定代表人（负责人）或授权代表签字并加盖单位公章之日起生效。</w:t>
      </w:r>
    </w:p>
    <w:p w14:paraId="1B91CF93">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lang w:val="en-US" w:eastAsia="zh-CN"/>
        </w:rPr>
        <w:t>（四）本合同一式</w:t>
      </w:r>
      <w:r>
        <w:rPr>
          <w:rFonts w:hint="eastAsia" w:ascii="仿宋_GB2312" w:hAnsi="仿宋_GB2312" w:eastAsia="仿宋_GB2312" w:cs="仿宋_GB2312"/>
          <w:color w:val="auto"/>
          <w:sz w:val="28"/>
          <w:szCs w:val="28"/>
          <w:highlight w:val="none"/>
          <w:u w:val="single"/>
          <w:lang w:val="en-US" w:eastAsia="zh-CN"/>
        </w:rPr>
        <w:t xml:space="preserve"> 捌 </w:t>
      </w:r>
      <w:r>
        <w:rPr>
          <w:rFonts w:hint="eastAsia" w:ascii="仿宋_GB2312" w:hAnsi="仿宋_GB2312" w:eastAsia="仿宋_GB2312" w:cs="仿宋_GB2312"/>
          <w:color w:val="auto"/>
          <w:sz w:val="28"/>
          <w:szCs w:val="28"/>
          <w:highlight w:val="none"/>
          <w:lang w:val="en-US" w:eastAsia="zh-CN"/>
        </w:rPr>
        <w:t>份，其中，甲方执</w:t>
      </w:r>
      <w:r>
        <w:rPr>
          <w:rFonts w:hint="eastAsia" w:ascii="仿宋_GB2312" w:hAnsi="仿宋_GB2312" w:eastAsia="仿宋_GB2312" w:cs="仿宋_GB2312"/>
          <w:color w:val="auto"/>
          <w:sz w:val="28"/>
          <w:szCs w:val="28"/>
          <w:highlight w:val="none"/>
          <w:u w:val="single"/>
          <w:lang w:val="en-US" w:eastAsia="zh-CN"/>
        </w:rPr>
        <w:t xml:space="preserve"> 肆 </w:t>
      </w:r>
      <w:r>
        <w:rPr>
          <w:rFonts w:hint="eastAsia" w:ascii="仿宋_GB2312" w:hAnsi="仿宋_GB2312" w:eastAsia="仿宋_GB2312" w:cs="仿宋_GB2312"/>
          <w:color w:val="auto"/>
          <w:sz w:val="28"/>
          <w:szCs w:val="28"/>
          <w:highlight w:val="none"/>
          <w:lang w:val="en-US" w:eastAsia="zh-CN"/>
        </w:rPr>
        <w:t>份，乙方执</w:t>
      </w:r>
      <w:r>
        <w:rPr>
          <w:rFonts w:hint="eastAsia" w:ascii="仿宋_GB2312" w:hAnsi="仿宋_GB2312" w:eastAsia="仿宋_GB2312" w:cs="仿宋_GB2312"/>
          <w:color w:val="auto"/>
          <w:sz w:val="28"/>
          <w:szCs w:val="28"/>
          <w:highlight w:val="none"/>
          <w:u w:val="single"/>
          <w:lang w:val="en-US" w:eastAsia="zh-CN"/>
        </w:rPr>
        <w:t xml:space="preserve"> 肆 </w:t>
      </w:r>
      <w:r>
        <w:rPr>
          <w:rFonts w:hint="eastAsia" w:ascii="仿宋_GB2312" w:hAnsi="仿宋_GB2312" w:eastAsia="仿宋_GB2312" w:cs="仿宋_GB2312"/>
          <w:color w:val="auto"/>
          <w:sz w:val="28"/>
          <w:szCs w:val="28"/>
          <w:highlight w:val="none"/>
          <w:lang w:val="en-US" w:eastAsia="zh-CN"/>
        </w:rPr>
        <w:t>份，具有同等法律效力。</w:t>
      </w:r>
    </w:p>
    <w:p w14:paraId="37BFDFB9">
      <w:pPr>
        <w:pageBreakBefore w:val="0"/>
        <w:widowControl w:val="0"/>
        <w:wordWrap/>
        <w:overflowPunct/>
        <w:topLinePunct w:val="0"/>
        <w:autoSpaceDE/>
        <w:autoSpaceDN/>
        <w:bidi w:val="0"/>
        <w:spacing w:line="520" w:lineRule="exact"/>
        <w:jc w:val="both"/>
        <w:textAlignment w:val="auto"/>
        <w:rPr>
          <w:rFonts w:hint="eastAsia" w:ascii="仿宋_GB2312" w:hAnsi="仿宋_GB2312" w:eastAsia="仿宋_GB2312" w:cs="仿宋_GB2312"/>
          <w:color w:val="auto"/>
          <w:kern w:val="2"/>
          <w:sz w:val="28"/>
          <w:szCs w:val="28"/>
          <w:highlight w:val="none"/>
          <w:lang w:val="en-US" w:eastAsia="zh-CN" w:bidi="ar-SA"/>
        </w:rPr>
      </w:pPr>
    </w:p>
    <w:p w14:paraId="59EA66E6">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甲方：</w:t>
      </w:r>
      <w:r>
        <w:rPr>
          <w:rFonts w:hint="eastAsia" w:ascii="仿宋_GB2312" w:hAnsi="仿宋_GB2312" w:eastAsia="仿宋_GB2312" w:cs="仿宋_GB2312"/>
          <w:color w:val="auto"/>
          <w:sz w:val="28"/>
          <w:szCs w:val="28"/>
          <w:highlight w:val="none"/>
          <w:u w:val="single"/>
          <w:lang w:val="en-US" w:eastAsia="zh-CN"/>
        </w:rPr>
        <w:t xml:space="preserve">      陕西省公路局（盖章）       </w:t>
      </w:r>
      <w:r>
        <w:rPr>
          <w:rFonts w:hint="eastAsia" w:ascii="仿宋_GB2312" w:hAnsi="仿宋_GB2312" w:eastAsia="仿宋_GB2312" w:cs="仿宋_GB2312"/>
          <w:color w:val="auto"/>
          <w:sz w:val="28"/>
          <w:szCs w:val="28"/>
          <w:highlight w:val="none"/>
          <w:lang w:val="en-US" w:eastAsia="zh-CN"/>
        </w:rPr>
        <w:t xml:space="preserve">                  </w:t>
      </w:r>
    </w:p>
    <w:p w14:paraId="43823944">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地 址：陕西省西安市碑林区含光北路110号 </w:t>
      </w:r>
    </w:p>
    <w:p w14:paraId="005F28CA">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开户行及账号：611301033018010000003</w:t>
      </w:r>
    </w:p>
    <w:p w14:paraId="52A8F2D0">
      <w:pPr>
        <w:pageBreakBefore w:val="0"/>
        <w:tabs>
          <w:tab w:val="left" w:pos="980"/>
        </w:tabs>
        <w:kinsoku w:val="0"/>
        <w:wordWrap/>
        <w:overflowPunct/>
        <w:topLinePunct w:val="0"/>
        <w:autoSpaceDE/>
        <w:autoSpaceDN/>
        <w:bidi w:val="0"/>
        <w:spacing w:line="520" w:lineRule="exact"/>
        <w:ind w:firstLine="3360" w:firstLineChars="1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交通银行西安城南支行                                   </w:t>
      </w:r>
    </w:p>
    <w:p w14:paraId="5A855814">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法定代表人或其授权                   </w:t>
      </w:r>
    </w:p>
    <w:p w14:paraId="68851AAA">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lang w:val="en-US" w:eastAsia="zh-CN"/>
        </w:rPr>
        <w:t xml:space="preserve">的代理人：（签字） </w:t>
      </w:r>
      <w:r>
        <w:rPr>
          <w:rFonts w:hint="eastAsia" w:ascii="仿宋_GB2312" w:hAnsi="仿宋_GB2312" w:eastAsia="仿宋_GB2312" w:cs="仿宋_GB2312"/>
          <w:color w:val="auto"/>
          <w:sz w:val="28"/>
          <w:szCs w:val="28"/>
          <w:highlight w:val="none"/>
          <w:u w:val="single"/>
          <w:lang w:val="en-US" w:eastAsia="zh-CN"/>
        </w:rPr>
        <w:t xml:space="preserve">                    </w:t>
      </w:r>
    </w:p>
    <w:p w14:paraId="0A7E49DE">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仿宋_GB2312" w:hAnsi="仿宋_GB2312" w:eastAsia="仿宋_GB2312" w:cs="仿宋_GB2312"/>
          <w:color w:val="auto"/>
          <w:sz w:val="28"/>
          <w:szCs w:val="28"/>
          <w:highlight w:val="none"/>
          <w:lang w:val="en-US" w:eastAsia="zh-Hans"/>
        </w:rPr>
      </w:pPr>
      <w:r>
        <w:rPr>
          <w:rFonts w:hint="eastAsia" w:ascii="仿宋_GB2312" w:hAnsi="仿宋_GB2312" w:eastAsia="仿宋_GB2312" w:cs="仿宋_GB2312"/>
          <w:highlight w:val="none"/>
          <w:lang w:val="en-US" w:eastAsia="zh-CN"/>
        </w:rPr>
        <w:t xml:space="preserve">          </w:t>
      </w:r>
    </w:p>
    <w:p w14:paraId="044AD660">
      <w:pPr>
        <w:pStyle w:val="7"/>
        <w:pageBreakBefore w:val="0"/>
        <w:wordWrap/>
        <w:overflowPunct/>
        <w:topLinePunct w:val="0"/>
        <w:autoSpaceDE/>
        <w:autoSpaceDN/>
        <w:bidi w:val="0"/>
        <w:spacing w:line="520" w:lineRule="exac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lang w:val="en-US" w:eastAsia="zh-CN"/>
        </w:rPr>
        <w:t>乙  方</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（盖章）</w:t>
      </w:r>
    </w:p>
    <w:p w14:paraId="49589521">
      <w:pPr>
        <w:pStyle w:val="7"/>
        <w:pageBreakBefore w:val="0"/>
        <w:wordWrap/>
        <w:overflowPunct/>
        <w:topLinePunct w:val="0"/>
        <w:autoSpaceDE/>
        <w:autoSpaceDN/>
        <w:bidi w:val="0"/>
        <w:spacing w:line="520" w:lineRule="exac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 xml:space="preserve">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地  址：</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p>
    <w:p w14:paraId="5377D057">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_GB2312" w:hAnsi="仿宋_GB2312" w:eastAsia="仿宋_GB2312" w:cs="仿宋_GB2312"/>
          <w:bCs/>
          <w:color w:val="auto"/>
          <w:sz w:val="28"/>
          <w:szCs w:val="28"/>
          <w:highlight w:val="none"/>
          <w:u w:val="single"/>
          <w:lang w:val="en-US" w:eastAsia="zh-CN" w:bidi="ar"/>
        </w:rPr>
      </w:pPr>
      <w:r>
        <w:rPr>
          <w:rFonts w:hint="eastAsia" w:ascii="仿宋_GB2312" w:hAnsi="仿宋_GB2312" w:eastAsia="仿宋_GB2312" w:cs="仿宋_GB2312"/>
          <w:color w:val="auto"/>
          <w:sz w:val="28"/>
          <w:szCs w:val="28"/>
          <w:highlight w:val="none"/>
          <w:lang w:val="en-US" w:eastAsia="zh-CN"/>
        </w:rPr>
        <w:t>开户行：</w:t>
      </w:r>
      <w:r>
        <w:rPr>
          <w:rFonts w:hint="eastAsia" w:ascii="仿宋_GB2312" w:hAnsi="仿宋_GB2312" w:eastAsia="仿宋_GB2312" w:cs="仿宋_GB2312"/>
          <w:bCs/>
          <w:color w:val="auto"/>
          <w:sz w:val="28"/>
          <w:szCs w:val="28"/>
          <w:highlight w:val="none"/>
          <w:u w:val="single"/>
          <w:lang w:val="en-US" w:eastAsia="zh-CN" w:bidi="ar"/>
        </w:rPr>
        <w:t xml:space="preserve">                               </w:t>
      </w:r>
    </w:p>
    <w:p w14:paraId="44E9F262">
      <w:pPr>
        <w:ind w:firstLine="1400" w:firstLineChars="5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bidi="ar"/>
        </w:rPr>
        <w:t xml:space="preserve">账 </w:t>
      </w:r>
      <w:r>
        <w:rPr>
          <w:rFonts w:hint="eastAsia" w:ascii="仿宋_GB2312" w:hAnsi="仿宋_GB2312" w:eastAsia="仿宋_GB2312" w:cs="仿宋_GB2312"/>
          <w:bCs/>
          <w:color w:val="auto"/>
          <w:sz w:val="28"/>
          <w:szCs w:val="28"/>
          <w:highlight w:val="none"/>
          <w:lang w:val="en-US" w:eastAsia="zh-CN" w:bidi="ar"/>
        </w:rPr>
        <w:t xml:space="preserve"> </w:t>
      </w:r>
      <w:r>
        <w:rPr>
          <w:rFonts w:hint="eastAsia" w:ascii="仿宋_GB2312" w:hAnsi="仿宋_GB2312" w:eastAsia="仿宋_GB2312" w:cs="仿宋_GB2312"/>
          <w:bCs/>
          <w:color w:val="auto"/>
          <w:sz w:val="28"/>
          <w:szCs w:val="28"/>
          <w:highlight w:val="none"/>
          <w:lang w:bidi="ar"/>
        </w:rPr>
        <w:t>号：</w:t>
      </w:r>
      <w:r>
        <w:rPr>
          <w:rFonts w:hint="eastAsia" w:ascii="仿宋_GB2312" w:hAnsi="仿宋_GB2312" w:eastAsia="仿宋_GB2312" w:cs="仿宋_GB2312"/>
          <w:bCs/>
          <w:color w:val="auto"/>
          <w:sz w:val="28"/>
          <w:szCs w:val="28"/>
          <w:highlight w:val="none"/>
          <w:u w:val="single"/>
          <w:lang w:val="en-US" w:eastAsia="zh-CN" w:bidi="ar"/>
        </w:rPr>
        <w:t xml:space="preserve">                               </w:t>
      </w:r>
      <w:r>
        <w:rPr>
          <w:rFonts w:hint="eastAsia" w:ascii="仿宋_GB2312" w:hAnsi="仿宋_GB2312" w:eastAsia="仿宋_GB2312" w:cs="仿宋_GB2312"/>
          <w:color w:val="auto"/>
          <w:sz w:val="28"/>
          <w:szCs w:val="28"/>
          <w:highlight w:val="none"/>
          <w:lang w:val="en-US" w:eastAsia="zh-CN"/>
        </w:rPr>
        <w:t xml:space="preserve">     </w:t>
      </w:r>
    </w:p>
    <w:p w14:paraId="7391C855">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法定代表人或其授权                   </w:t>
      </w:r>
    </w:p>
    <w:p w14:paraId="2D17D0C5">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lang w:val="en-US" w:eastAsia="zh-CN"/>
        </w:rPr>
        <w:t xml:space="preserve">的代理人：（签字） </w:t>
      </w:r>
      <w:r>
        <w:rPr>
          <w:rFonts w:hint="eastAsia" w:ascii="仿宋_GB2312" w:hAnsi="仿宋_GB2312" w:eastAsia="仿宋_GB2312" w:cs="仿宋_GB2312"/>
          <w:color w:val="auto"/>
          <w:sz w:val="28"/>
          <w:szCs w:val="28"/>
          <w:highlight w:val="none"/>
          <w:u w:val="single"/>
          <w:lang w:val="en-US" w:eastAsia="zh-CN"/>
        </w:rPr>
        <w:t xml:space="preserve">                    </w:t>
      </w:r>
    </w:p>
    <w:p w14:paraId="05D6CE54">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highlight w:val="none"/>
          <w:lang w:val="en-US" w:eastAsia="zh-CN"/>
        </w:rPr>
        <w:t xml:space="preserve">                                                       </w:t>
      </w:r>
      <w:r>
        <w:rPr>
          <w:rFonts w:hint="eastAsia" w:ascii="仿宋_GB2312" w:hAnsi="仿宋_GB2312" w:eastAsia="仿宋_GB2312" w:cs="仿宋_GB2312"/>
          <w:color w:val="auto"/>
          <w:sz w:val="28"/>
          <w:szCs w:val="28"/>
          <w:highlight w:val="none"/>
          <w:lang w:val="en-US" w:eastAsia="zh-Hans"/>
        </w:rPr>
        <w:t xml:space="preserve">年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lang w:val="en-US" w:eastAsia="zh-Hans"/>
        </w:rPr>
        <w:t>月</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lang w:val="en-US" w:eastAsia="zh-Hans"/>
        </w:rPr>
        <w:t>日</w:t>
      </w:r>
    </w:p>
    <w:p w14:paraId="3F27A9D7">
      <w:pPr>
        <w:rPr>
          <w:highlight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66677D"/>
    <w:rsid w:val="1F666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semiHidden/>
    <w:unhideWhenUsed/>
    <w:qFormat/>
    <w:uiPriority w:val="0"/>
    <w:pPr>
      <w:keepNext/>
      <w:keepLines/>
      <w:spacing w:before="280" w:after="290" w:line="372" w:lineRule="auto"/>
      <w:jc w:val="center"/>
      <w:outlineLvl w:val="3"/>
    </w:pPr>
    <w:rPr>
      <w:rFonts w:ascii="Arial" w:hAnsi="Arial"/>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annotation text"/>
    <w:basedOn w:val="1"/>
    <w:qFormat/>
    <w:uiPriority w:val="0"/>
    <w:pPr>
      <w:jc w:val="left"/>
    </w:p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2026-05-13T09:38:00Z</dcterms:created>
  <dc:creator>Administrator</dc:creator>
  <cp:lastModifiedBy>Administrator</cp:lastModifiedBy>
  <dcterms:modified xsi:type="dcterms:W3CDTF">2026-05-13T09:39:31Z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A7D63632273F42CFADADB0D9A9DE80F3_11</vt:lpwstr>
  </property>
  <property fmtid="{D5CDD505-2E9C-101B-9397-08002B2CF9AE}" pid="4" name="KSOTemplateDocerSaveRecord">
    <vt:lpwstr>eyJoZGlkIjoiMzhlNWM1MjQ5ZWU4MTFlNzk5NWNkZTdhMDMxYWIyMzEiLCJ1c2VySWQiOiI1MDU3OTE2NzgifQ==</vt:lpwstr>
  </property>
</Properties>
</file>