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版本号：SXJTZB-ZC-CS2026071520260803001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2026年陕西省社会组织孵化基地运营项目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SXJTZB-ZC-CS20260715</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2026年陕西省社会组织孵化基地运营项目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SXJTZB-ZC-CS20260715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2026年陕西省社会组织孵化基地运营项目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2026年陕西省社会组织孵化基地运营项目。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3、税收缴纳证明：提供已缴纳的2025年7月至今任意一个月的纳税证明或完税证明，纳税证明或完税证明上应有代收机构或税务机关的公章或业务专用章。依法免税的供应商应提供相关文件证明；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5、履约能力：供应商须提供具有履行合同所必需的设备和专业技术能力的承诺；</w:t>
      </w:r>
    </w:p>
    <w:p>
      <w:pPr>
        <w:pStyle w:val="null3"/>
      </w:pPr>
      <w:r>
        <w:rPr>
          <w:rFonts w:ascii="仿宋_GB2312" w:hAnsi="仿宋_GB2312" w:cs="仿宋_GB2312" w:eastAsia="仿宋_GB2312"/>
        </w:rPr>
        <w:t>6、无重大违法记录书面声明：出具参加本次政府采购活动前三年内在经营活动中没有重大违法记录的书面声明；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张荷、廖丽、王梦娜、段冬梅、曾小旦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代理服务费收费标准：定额收取人民币3500.00元整。招标代理服务费由成交供应商支付，在领取《成交通知书》前，由成交供应商一次性支付给陕西嘉唐建设项目管理有限公司。 银行账户： 公司名称：陕西嘉唐建设项目管理有限公司 账 号：112011580000141313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2026年陕西省社会组织孵化基地运营项目。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2026年陕西省社会组织孵化基地运营项目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标的名称：2026年陕西省社会组织孵化基地运营项目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一、采购内容</w:t>
            </w:r>
            <w:r>
              <w:rPr>
                <w:rFonts w:ascii="仿宋_GB2312" w:hAnsi="仿宋_GB2312" w:cs="仿宋_GB2312" w:eastAsia="仿宋_GB2312"/>
                <w:sz w:val="22"/>
                <w:b/>
              </w:rPr>
              <w:t>:</w:t>
            </w:r>
          </w:p>
          <w:p>
            <w:pPr>
              <w:pStyle w:val="null3"/>
            </w:pPr>
            <w:r>
              <w:rPr>
                <w:rFonts w:ascii="仿宋_GB2312" w:hAnsi="仿宋_GB2312" w:cs="仿宋_GB2312" w:eastAsia="仿宋_GB2312"/>
                <w:sz w:val="22"/>
              </w:rPr>
              <w:t>1.</w:t>
            </w:r>
            <w:r>
              <w:rPr>
                <w:rFonts w:ascii="仿宋_GB2312" w:hAnsi="仿宋_GB2312" w:cs="仿宋_GB2312" w:eastAsia="仿宋_GB2312"/>
                <w:sz w:val="22"/>
              </w:rPr>
              <w:t>是优化制度体系，保障孵化基地规范运营。持续完善《陕西省社会组织孵化基地管理办法》，实现规范化管理，保障空间正常、安全、有序、规范运营。系统推进</w:t>
            </w:r>
            <w:r>
              <w:rPr>
                <w:rFonts w:ascii="仿宋_GB2312" w:hAnsi="仿宋_GB2312" w:cs="仿宋_GB2312" w:eastAsia="仿宋_GB2312"/>
                <w:sz w:val="22"/>
              </w:rPr>
              <w:t>3个批次机构的招募遴选、入驻签约、日常建档、期满评估及出壳等全流程服务，确保各环节规范高效、有序衔接。</w:t>
            </w:r>
          </w:p>
          <w:p>
            <w:pPr>
              <w:pStyle w:val="null3"/>
            </w:pPr>
            <w:r>
              <w:rPr>
                <w:rFonts w:ascii="仿宋_GB2312" w:hAnsi="仿宋_GB2312" w:cs="仿宋_GB2312" w:eastAsia="仿宋_GB2312"/>
                <w:sz w:val="22"/>
              </w:rPr>
              <w:t>2.</w:t>
            </w:r>
            <w:r>
              <w:rPr>
                <w:rFonts w:ascii="仿宋_GB2312" w:hAnsi="仿宋_GB2312" w:cs="仿宋_GB2312" w:eastAsia="仿宋_GB2312"/>
                <w:sz w:val="22"/>
              </w:rPr>
              <w:t>是以孵化基地为载体，延伸服务链条。依托省社会组织孵化基地面向全省社会组织开展服务指导，组织全省社会组织服务平台调研及培训，优化全省社会组织专家库建设。</w:t>
            </w:r>
          </w:p>
          <w:p>
            <w:pPr>
              <w:pStyle w:val="null3"/>
            </w:pPr>
            <w:r>
              <w:rPr>
                <w:rFonts w:ascii="仿宋_GB2312" w:hAnsi="仿宋_GB2312" w:cs="仿宋_GB2312" w:eastAsia="仿宋_GB2312"/>
                <w:sz w:val="22"/>
              </w:rPr>
              <w:t>3.</w:t>
            </w:r>
            <w:r>
              <w:rPr>
                <w:rFonts w:ascii="仿宋_GB2312" w:hAnsi="仿宋_GB2312" w:cs="仿宋_GB2312" w:eastAsia="仿宋_GB2312"/>
                <w:sz w:val="22"/>
              </w:rPr>
              <w:t>是聚焦重点领域，精准化培育赋能。聚焦科技创新、经济发展、民生服务等重点领域，分类定期开展培训交流，实现精准赋能、融合发展。围绕党建、法律政策、资源整合、品牌设计等主题，举办</w:t>
            </w:r>
            <w:r>
              <w:rPr>
                <w:rFonts w:ascii="仿宋_GB2312" w:hAnsi="仿宋_GB2312" w:cs="仿宋_GB2312" w:eastAsia="仿宋_GB2312"/>
                <w:sz w:val="22"/>
              </w:rPr>
              <w:t>4期专题培训，助力入驻机构专业化规范化发展。</w:t>
            </w:r>
          </w:p>
          <w:p>
            <w:pPr>
              <w:pStyle w:val="null3"/>
            </w:pPr>
            <w:r>
              <w:rPr>
                <w:rFonts w:ascii="仿宋_GB2312" w:hAnsi="仿宋_GB2312" w:cs="仿宋_GB2312" w:eastAsia="仿宋_GB2312"/>
                <w:sz w:val="22"/>
              </w:rPr>
              <w:t>4.</w:t>
            </w:r>
            <w:r>
              <w:rPr>
                <w:rFonts w:ascii="仿宋_GB2312" w:hAnsi="仿宋_GB2312" w:cs="仿宋_GB2312" w:eastAsia="仿宋_GB2312"/>
                <w:sz w:val="22"/>
              </w:rPr>
              <w:t>是以法治思维推动社会组织规范化建设。依托社会组织矛盾调解委员会，定期提供法律支持服务，聚焦内外部常见纠纷，探索社会组织参与基层社会治理的新路径，开展调解模式创新与实践研究。</w:t>
            </w:r>
          </w:p>
          <w:p>
            <w:pPr>
              <w:pStyle w:val="null3"/>
            </w:pPr>
            <w:r>
              <w:rPr>
                <w:rFonts w:ascii="仿宋_GB2312" w:hAnsi="仿宋_GB2312" w:cs="仿宋_GB2312" w:eastAsia="仿宋_GB2312"/>
                <w:sz w:val="22"/>
              </w:rPr>
              <w:t>5.</w:t>
            </w:r>
            <w:r>
              <w:rPr>
                <w:rFonts w:ascii="仿宋_GB2312" w:hAnsi="仿宋_GB2312" w:cs="仿宋_GB2312" w:eastAsia="仿宋_GB2312"/>
                <w:sz w:val="22"/>
              </w:rPr>
              <w:t>是整合多方资源，搭建</w:t>
            </w:r>
            <w:r>
              <w:rPr>
                <w:rFonts w:ascii="仿宋_GB2312" w:hAnsi="仿宋_GB2312" w:cs="仿宋_GB2312" w:eastAsia="仿宋_GB2312"/>
                <w:sz w:val="22"/>
              </w:rPr>
              <w:t>“三位一体”运营平台。推动“党建+业务”深度融合， 将省社会组织孵化基地党总支升格为联合党委，强化社会组织党组织孵化培育。</w:t>
            </w:r>
          </w:p>
          <w:p>
            <w:pPr>
              <w:pStyle w:val="null3"/>
            </w:pPr>
            <w:r>
              <w:rPr>
                <w:rFonts w:ascii="仿宋_GB2312" w:hAnsi="仿宋_GB2312" w:cs="仿宋_GB2312" w:eastAsia="仿宋_GB2312"/>
                <w:sz w:val="22"/>
              </w:rPr>
              <w:t>6.</w:t>
            </w:r>
            <w:r>
              <w:rPr>
                <w:rFonts w:ascii="仿宋_GB2312" w:hAnsi="仿宋_GB2312" w:cs="仿宋_GB2312" w:eastAsia="仿宋_GB2312"/>
                <w:sz w:val="22"/>
              </w:rPr>
              <w:t>是加强宣传交流，扩大行业影响。</w:t>
            </w:r>
            <w:r>
              <w:rPr>
                <w:rFonts w:ascii="仿宋_GB2312" w:hAnsi="仿宋_GB2312" w:cs="仿宋_GB2312" w:eastAsia="仿宋_GB2312"/>
                <w:sz w:val="22"/>
              </w:rPr>
              <w:t xml:space="preserve"> 积极对接各级政府部门及省内外行业同仁，开展参观交流，宣传陕西社会组织发展经验。加强与《中国社会报》《中国社会组织》、新华网、《陕西日报》等媒体合作，积极投稿，持续提升行业影响力。举办1次年会，为入驻机构搭建成果展示与交流平台；编发12期工作简报，加强孵化基地宣传推介。配合做好社会组织政策宣传及活动信息发布等工作。</w:t>
            </w:r>
          </w:p>
          <w:p>
            <w:pPr>
              <w:pStyle w:val="null3"/>
            </w:pPr>
            <w:r>
              <w:rPr>
                <w:rFonts w:ascii="仿宋_GB2312" w:hAnsi="仿宋_GB2312" w:cs="仿宋_GB2312" w:eastAsia="仿宋_GB2312"/>
                <w:sz w:val="22"/>
                <w:b/>
              </w:rPr>
              <w:t>二、服务期限</w:t>
            </w:r>
          </w:p>
          <w:p>
            <w:pPr>
              <w:pStyle w:val="null3"/>
            </w:pPr>
            <w:r>
              <w:rPr>
                <w:rFonts w:ascii="仿宋_GB2312" w:hAnsi="仿宋_GB2312" w:cs="仿宋_GB2312" w:eastAsia="仿宋_GB2312"/>
                <w:sz w:val="22"/>
              </w:rPr>
              <w:t>自合同签订之日起一年。</w:t>
            </w:r>
          </w:p>
          <w:p>
            <w:pPr>
              <w:pStyle w:val="null3"/>
            </w:pPr>
            <w:r>
              <w:rPr>
                <w:rFonts w:ascii="仿宋_GB2312" w:hAnsi="仿宋_GB2312" w:cs="仿宋_GB2312" w:eastAsia="仿宋_GB2312"/>
                <w:sz w:val="22"/>
                <w:b/>
              </w:rPr>
              <w:t>三、付款方式</w:t>
            </w:r>
          </w:p>
          <w:p>
            <w:pPr>
              <w:pStyle w:val="null3"/>
            </w:pPr>
            <w:r>
              <w:rPr>
                <w:rFonts w:ascii="仿宋_GB2312" w:hAnsi="仿宋_GB2312" w:cs="仿宋_GB2312" w:eastAsia="仿宋_GB2312"/>
                <w:sz w:val="22"/>
              </w:rPr>
              <w:t>1.进度款，</w:t>
            </w:r>
            <w:r>
              <w:rPr>
                <w:rFonts w:ascii="仿宋_GB2312" w:hAnsi="仿宋_GB2312" w:cs="仿宋_GB2312" w:eastAsia="仿宋_GB2312"/>
                <w:sz w:val="22"/>
              </w:rPr>
              <w:t>合同签订后</w:t>
            </w:r>
            <w:r>
              <w:rPr>
                <w:rFonts w:ascii="仿宋_GB2312" w:hAnsi="仿宋_GB2312" w:cs="仿宋_GB2312" w:eastAsia="仿宋_GB2312"/>
                <w:sz w:val="22"/>
              </w:rPr>
              <w:t>，达到付款条件起</w:t>
            </w:r>
            <w:r>
              <w:rPr>
                <w:rFonts w:ascii="仿宋_GB2312" w:hAnsi="仿宋_GB2312" w:cs="仿宋_GB2312" w:eastAsia="仿宋_GB2312"/>
                <w:sz w:val="22"/>
              </w:rPr>
              <w:t>30</w:t>
            </w:r>
            <w:r>
              <w:rPr>
                <w:rFonts w:ascii="仿宋_GB2312" w:hAnsi="仿宋_GB2312" w:cs="仿宋_GB2312" w:eastAsia="仿宋_GB2312"/>
                <w:sz w:val="22"/>
              </w:rPr>
              <w:t>个⼯作⽇内，⽀付合同总⾦额的</w:t>
            </w:r>
            <w:r>
              <w:rPr>
                <w:rFonts w:ascii="仿宋_GB2312" w:hAnsi="仿宋_GB2312" w:cs="仿宋_GB2312" w:eastAsia="仿宋_GB2312"/>
                <w:sz w:val="22"/>
              </w:rPr>
              <w:t>70</w:t>
            </w:r>
            <w:r>
              <w:rPr>
                <w:rFonts w:ascii="仿宋_GB2312" w:hAnsi="仿宋_GB2312" w:cs="仿宋_GB2312" w:eastAsia="仿宋_GB2312"/>
                <w:sz w:val="22"/>
              </w:rPr>
              <w:t>%；对项目进行阶段性验收合格后，达到付款条件起</w:t>
            </w:r>
            <w:r>
              <w:rPr>
                <w:rFonts w:ascii="仿宋_GB2312" w:hAnsi="仿宋_GB2312" w:cs="仿宋_GB2312" w:eastAsia="仿宋_GB2312"/>
                <w:sz w:val="22"/>
              </w:rPr>
              <w:t>30</w:t>
            </w:r>
            <w:r>
              <w:rPr>
                <w:rFonts w:ascii="仿宋_GB2312" w:hAnsi="仿宋_GB2312" w:cs="仿宋_GB2312" w:eastAsia="仿宋_GB2312"/>
                <w:sz w:val="22"/>
              </w:rPr>
              <w:t>个⼯作⽇内，⽀付合同总⾦额的</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rPr>
              <w:t>。</w:t>
            </w:r>
          </w:p>
          <w:p>
            <w:pPr>
              <w:pStyle w:val="null3"/>
            </w:pPr>
            <w:r>
              <w:rPr>
                <w:rFonts w:ascii="仿宋_GB2312" w:hAnsi="仿宋_GB2312" w:cs="仿宋_GB2312" w:eastAsia="仿宋_GB2312"/>
                <w:sz w:val="22"/>
              </w:rPr>
              <w:t>2.</w:t>
            </w:r>
            <w:r>
              <w:rPr>
                <w:rFonts w:ascii="仿宋_GB2312" w:hAnsi="仿宋_GB2312" w:cs="仿宋_GB2312" w:eastAsia="仿宋_GB2312"/>
                <w:sz w:val="22"/>
              </w:rPr>
              <w:t>乙方承诺在甲方办理以上付款的支付手续前，为甲方出具等额的符合国家规定的发</w:t>
            </w:r>
            <w:r>
              <w:rPr>
                <w:rFonts w:ascii="仿宋_GB2312" w:hAnsi="仿宋_GB2312" w:cs="仿宋_GB2312" w:eastAsia="仿宋_GB2312"/>
                <w:sz w:val="22"/>
              </w:rPr>
              <w:t>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进度款，对项目进行阶段性验收合格后，达到付款条件起30个工作日内，支付合同总金额的30.0%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2.乙方未按合同要求提供服务或服务质量不能满足本次招标要求，甲方会同监督机构、采购代理机构有权终止合同和对乙方违约行为进行追究，同时按政府采购法的有关规定进行相应的处罚。 3.乙方违反本合同约定未履行合同约定义务的，应当向甲方支付合同价款10 %的违约金，违约金不足以弥补甲方损失的，应当承担补充赔偿责任。 4.本合同在履行过程中发生的争议，由甲、乙双方当事人协商解决，协商不成的按下列第 （二） 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根据本项目实际需求及特点，制定实施方案，包括：①基础运营与基础设施配套服务内容；②社会组织培育与专业化能力建设服务内容；③资源整合、品牌打造与宣传运营内容；④党建工作内容。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三、赋分标准（满分16分） ①基础运营与基础设施配套服务内容：完全满足每个评审标准得1分，有瑕疵得0.5分，有缺项漏项得0分。满分4分。 ②社会组织培育与专业化能力建设服务内容：完全满足每个评审标准得1分，有瑕疵得0.5分，有缺项漏项得0分。满分4分。 ③资源整合、品牌打造与宣传运营内容：完全满足每个评审标准得1分，有瑕疵得0.5分，有缺项漏项得0分。满分4分。 ④党建工作内容：完全满足每个评审标准得1分，有瑕疵得0.5分，有缺项漏项得0分。满分4分。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根据本项目实际需求及特点，制定进度保障方案，包括：①进度计划及目标；②进度控制措施。 二、评审标准： 1.准确性：方案描述准确，没有实质性错误或明显的描述及逻辑错误； 2.可实施性：切合本项目实际情况，提出步骤清晰、合理的方案； 3.针对性：方案能够紧扣项目实际情况，内容科学合理。 三、赋分标准（满分6分） ①进度计划及目标；完全满足每个评审标准得1分，有瑕疵得0.5分，有缺项漏项得0分。满分3分。 ②进度控制措施：完全满足每个评审标准得1分，有瑕疵得 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服务承诺和管理制度</w:t>
            </w:r>
          </w:p>
        </w:tc>
        <w:tc>
          <w:tcPr>
            <w:tcW w:type="dxa" w:w="2492"/>
          </w:tcPr>
          <w:p>
            <w:pPr>
              <w:pStyle w:val="null3"/>
            </w:pPr>
            <w:r>
              <w:rPr>
                <w:rFonts w:ascii="仿宋_GB2312" w:hAnsi="仿宋_GB2312" w:cs="仿宋_GB2312" w:eastAsia="仿宋_GB2312"/>
              </w:rPr>
              <w:t>一、评审内容： ①针对本项目的服务管理承诺②人员分工及岗位职责③内部管理制度 二、评审标准 ：1.准确性：方案描述准确，没有实质性错误或明显的描述及逻辑错误； 2.可实施性：切合本项目实际情况，提出步骤清晰、合理的方案； 3.针对性：方案能够紧扣项目实际情况，内容科学合理。 三、赋分标准（满分9分） ①针对本项目的服务管理承诺：完全满足每个评审标准得 1 分，有瑕疵得0.5分，有缺项漏项得0分。满分3分。 ②人员分工及岗位职责：完全满足每个评审标准得1分，有瑕疵得0.5分，有缺项漏项得0分。满分3分。 ③内部管理制度：完全满足每个评审标准得1分，有瑕疵得0.5分，有缺项漏项得0分。满分3分。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根据本项目实际需求及特点。提供针对本项目提供完善的服务质量保证措施，包括 ①质量管理体系措施②质量保障措施③后续服务响应承诺 二、评审标准： 1.准确性：方案描述准确，没有实质性错误或明显的描述及逻辑错误； 2.可实施性：切合本项目实际情况，提出步骤清晰、合理的方案； 3.针对性：方案能够紧扣项目实际情况，内容科学合理。 三、赋分标准（满分9分） ①质量管理体系措施：完全满足每个评审标准得 1 分，有瑕疵得0.5分，有缺项漏项得0分。满分3分。 ②质量保障措施：完全满足每个评审标准得1分，有瑕疵得0.5分，有缺项漏项得0分。满分3分。 ③后续服务响应承诺：完全满足每个评审标准得1分，有瑕疵得0.5分，有缺项漏项得0分。满分3分。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一、评审内容及标准 1.项目负责人具有5年及以上的工作经验得6分；具有3年及以上的工作经验得3分；三年以下工作经验不得分。 二、赋分标准：①项目负责人工作经验：提供证明材料。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项目整体团队人员配备</w:t>
            </w:r>
          </w:p>
        </w:tc>
        <w:tc>
          <w:tcPr>
            <w:tcW w:type="dxa" w:w="2492"/>
          </w:tcPr>
          <w:p>
            <w:pPr>
              <w:pStyle w:val="null3"/>
            </w:pPr>
            <w:r>
              <w:rPr>
                <w:rFonts w:ascii="仿宋_GB2312" w:hAnsi="仿宋_GB2312" w:cs="仿宋_GB2312" w:eastAsia="仿宋_GB2312"/>
              </w:rPr>
              <w:t>一、评审内容及标准 根据本项目实际需求及特点，须配备至少3名工作人员，满足以上基本人员要求的得5分，在基础上每提供1人得5分，最高得15分。 注：人员需提供身份证复印件、学历证复印件。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专题培训</w:t>
            </w:r>
          </w:p>
        </w:tc>
        <w:tc>
          <w:tcPr>
            <w:tcW w:type="dxa" w:w="2492"/>
          </w:tcPr>
          <w:p>
            <w:pPr>
              <w:pStyle w:val="null3"/>
            </w:pPr>
            <w:r>
              <w:rPr>
                <w:rFonts w:ascii="仿宋_GB2312" w:hAnsi="仿宋_GB2312" w:cs="仿宋_GB2312" w:eastAsia="仿宋_GB2312"/>
              </w:rPr>
              <w:t>一、评审内容 常态化专题培训 二、赋分标准： 供应商需承诺常态化专题培训4次，每增加一场次得2分，最高得4分。（需提供承诺函）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提供2023年1月1日至今类似项目业绩，响应文件中附有其业绩证明材料，业绩以合同或中标（成交）通知书为依据，每提供一个计4分，满分20分。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报价得分=（评标基准价/有效报价）×价格权重（15%）×100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