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西安市雁塔区中医医院绩效管理及组织管理服务竞争性磋商公告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绩效管理及组织管理服务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2026年07月27日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项目编号：ZCXG-ZB-2026042</w:t>
      </w:r>
    </w:p>
    <w:p>
      <w:pPr>
        <w:pStyle w:val="null3"/>
      </w:pPr>
      <w:r>
        <w:rPr>
          <w:rFonts w:ascii="仿宋_GB2312" w:hAnsi="仿宋_GB2312" w:cs="仿宋_GB2312" w:eastAsia="仿宋_GB2312"/>
        </w:rPr>
        <w:t>项目名称：绩效管理及组织管理服务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预算金额：296,000.00元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采购包1：自合同签订之日起至本项目结束</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合同包1(绩效管理及组织管理服务)落实政府采购政策需满足的资格要求如下: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合同包1(绩效管理及组织管理服务)特定资格要求如下: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 自然人参与的提供其身份证明；</w:t>
      </w:r>
    </w:p>
    <w:p>
      <w:pPr>
        <w:pStyle w:val="null3"/>
      </w:pPr>
      <w:r>
        <w:rPr>
          <w:rFonts w:ascii="仿宋_GB2312" w:hAnsi="仿宋_GB2312" w:cs="仿宋_GB2312" w:eastAsia="仿宋_GB2312"/>
        </w:rPr>
        <w:t>(2)提供响应时间前六个月内已缴存的至少一个月的社会保障资金缴存单据或社保机构开具的社会保险参保缴费情况证明，依法不需要缴纳社会保障资金的单位应提供相关证明材料；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(3)提供响应时间前六个月内已缴纳的至少一个月的纳税证明或完税证明，依法免税的单位应提供相关证明材料；</w:t>
      </w:r>
    </w:p>
    <w:p>
      <w:pPr>
        <w:pStyle w:val="null3"/>
      </w:pPr>
      <w:r>
        <w:rPr>
          <w:rFonts w:ascii="仿宋_GB2312" w:hAnsi="仿宋_GB2312" w:cs="仿宋_GB2312" w:eastAsia="仿宋_GB2312"/>
        </w:rPr>
        <w:t>(4)提供具有履行合同所必需的设备和专业技术能力的承诺；</w:t>
      </w:r>
    </w:p>
    <w:p>
      <w:pPr>
        <w:pStyle w:val="null3"/>
      </w:pPr>
      <w:r>
        <w:rPr>
          <w:rFonts w:ascii="仿宋_GB2312" w:hAnsi="仿宋_GB2312" w:cs="仿宋_GB2312" w:eastAsia="仿宋_GB2312"/>
        </w:rPr>
        <w:t>(5)参加政府采购活动前3年内，在经营活动中没有重大违法记录的书面声明；</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(7)本项目不接受联合体。</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2026年07月16日 </w:t>
      </w:r>
      <w:r>
        <w:rPr>
          <w:rFonts w:ascii="仿宋_GB2312" w:hAnsi="仿宋_GB2312" w:cs="仿宋_GB2312" w:eastAsia="仿宋_GB2312"/>
        </w:rPr>
        <w:t>至</w:t>
      </w:r>
      <w:r>
        <w:rPr>
          <w:rFonts w:ascii="仿宋_GB2312" w:hAnsi="仿宋_GB2312" w:cs="仿宋_GB2312" w:eastAsia="仿宋_GB2312"/>
        </w:rPr>
        <w:t xml:space="preserve"> 2026年07月22日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2026年07月27日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2026年07月27日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西安市雁塔区中医医院</w:t>
      </w:r>
    </w:p>
    <w:p>
      <w:pPr>
        <w:pStyle w:val="null3"/>
      </w:pPr>
      <w:r>
        <w:rPr>
          <w:rFonts w:ascii="仿宋_GB2312" w:hAnsi="仿宋_GB2312" w:cs="仿宋_GB2312" w:eastAsia="仿宋_GB2312"/>
        </w:rPr>
        <w:t>地址：</w:t>
      </w:r>
      <w:r>
        <w:rPr>
          <w:rFonts w:ascii="仿宋_GB2312" w:hAnsi="仿宋_GB2312" w:cs="仿宋_GB2312" w:eastAsia="仿宋_GB2312"/>
        </w:rPr>
        <w:t>西安市雁塔区长安南路495号</w:t>
      </w:r>
    </w:p>
    <w:p>
      <w:pPr>
        <w:pStyle w:val="null3"/>
      </w:pPr>
      <w:r>
        <w:rPr>
          <w:rFonts w:ascii="仿宋_GB2312" w:hAnsi="仿宋_GB2312" w:cs="仿宋_GB2312" w:eastAsia="仿宋_GB2312"/>
        </w:rPr>
        <w:t>联系方式：</w:t>
      </w:r>
      <w:r>
        <w:rPr>
          <w:rFonts w:ascii="仿宋_GB2312" w:hAnsi="仿宋_GB2312" w:cs="仿宋_GB2312" w:eastAsia="仿宋_GB2312"/>
        </w:rPr>
        <w:t>029-88666369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