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版本号：JXRC-26081220260813001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医疗及专用设备维保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JXRC-260812</w:t>
      </w:r>
      <w:r>
        <w:br/>
      </w:r>
      <w:r>
        <w:br/>
      </w:r>
      <w:r>
        <w:br/>
      </w:r>
    </w:p>
    <w:p>
      <w:pPr>
        <w:pStyle w:val="null3"/>
        <w:jc w:val="center"/>
        <w:outlineLvl w:val="2"/>
      </w:pPr>
      <w:r>
        <w:rPr>
          <w:rFonts w:ascii="仿宋_GB2312" w:hAnsi="仿宋_GB2312" w:cs="仿宋_GB2312" w:eastAsia="仿宋_GB2312"/>
          <w:sz w:val="28"/>
          <w:b/>
        </w:rPr>
        <w:t>西安急救中心</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西安急救中心</w:t>
      </w:r>
      <w:r>
        <w:rPr>
          <w:rFonts w:ascii="仿宋_GB2312" w:hAnsi="仿宋_GB2312" w:cs="仿宋_GB2312" w:eastAsia="仿宋_GB2312"/>
        </w:rPr>
        <w:t>委托，拟对</w:t>
      </w:r>
      <w:r>
        <w:rPr>
          <w:rFonts w:ascii="仿宋_GB2312" w:hAnsi="仿宋_GB2312" w:cs="仿宋_GB2312" w:eastAsia="仿宋_GB2312"/>
        </w:rPr>
        <w:t>医疗及专用设备维保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JXRC-260812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医疗及专用设备维保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急救中心承担全市院前急救医疗服务及政府指令性任务，为保证急救转运工作、保障任务的正常进行，现需求专业医疗设备维修企业提供急救医疗设备的日常巡检与保养，维修（包括配件更换），检定，固定及设备使用培训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采购包1（西安急救中心医疗及专用设备维保项目）：属于专门面向中小企业采购。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法人提供会计师事务所出具的完整的合法有效的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p>
      <w:pPr>
        <w:pStyle w:val="null3"/>
      </w:pPr>
      <w:r>
        <w:rPr>
          <w:rFonts w:ascii="仿宋_GB2312" w:hAnsi="仿宋_GB2312" w:cs="仿宋_GB2312" w:eastAsia="仿宋_GB2312"/>
        </w:rPr>
        <w:t>3、供应商应有依法缴纳税收的良好记录：供应商提供自2026年2月1日以来至少一个月的纳税证明或完税证明（任意税种），纳税证明或完税证明上应有代收机构或税务机关的公章或业务专用章；其他组织和自然人提供自2026年2月1日以来至少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授权书：法定代表人/负责人直接参加的，只须递交《法定代表人/负责人身份证明》；法定代表人/负责人授权代表参加的，须递交《法定代表人/负责人授权书》；并提供被授权人截止开标前半年内任意一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6、参加本次政府采购活动前三年内，在经营活动中没有重大违法记录：供应商需提供《无重大违法记录声明》，并进行电子签章。</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7、供应商应具有履行合同所必需的设备和专业技术能力：供应商需提供《具有履行合同所必需的设备和专业技术能力的承诺书》，并进行电子签章。</w:t>
      </w:r>
    </w:p>
    <w:p>
      <w:pPr>
        <w:pStyle w:val="null3"/>
      </w:pPr>
      <w:r>
        <w:rPr>
          <w:rFonts w:ascii="仿宋_GB2312" w:hAnsi="仿宋_GB2312" w:cs="仿宋_GB2312" w:eastAsia="仿宋_GB2312"/>
        </w:rPr>
        <w:t>8、许可证：若投标人为制造厂家，应出具医疗器械生产许可证和医疗器械经营许可证；若投标人为经销商，应出具医疗器械经营许可证（或备案凭证），并进行电子签章。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西安急救中心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西安市凤城四路111号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西安急救中心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86103206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西安急救中心</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西安急救中心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西安急救中心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一、总体需求</w:t>
      </w:r>
    </w:p>
    <w:p>
      <w:pPr>
        <w:pStyle w:val="null3"/>
        <w:ind w:firstLine="480"/>
      </w:pPr>
      <w:r>
        <w:rPr>
          <w:rFonts w:ascii="仿宋_GB2312" w:hAnsi="仿宋_GB2312" w:cs="仿宋_GB2312" w:eastAsia="仿宋_GB2312"/>
          <w:sz w:val="24"/>
        </w:rPr>
        <w:t>服务内容</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对医疗设备进行日常巡检与保养，维修（包括配件更换），检定，固定，注重维保工作时效性，确保设备性能良好，对设备使用人员进行培训，满足急救转运工作的正常需求。服务费用包含内容：包干制方式，为中心所有医疗设备提供日常巡检与保养，维修（包括配件更换），检定，固定及设备使用培训等服务的费用。</w:t>
      </w:r>
    </w:p>
    <w:p>
      <w:pPr>
        <w:pStyle w:val="null3"/>
        <w:ind w:firstLine="480"/>
      </w:pPr>
      <w:r>
        <w:rPr>
          <w:rFonts w:ascii="仿宋_GB2312" w:hAnsi="仿宋_GB2312" w:cs="仿宋_GB2312" w:eastAsia="仿宋_GB2312"/>
          <w:sz w:val="24"/>
        </w:rPr>
        <w:t>二、服务需求</w:t>
      </w:r>
    </w:p>
    <w:p>
      <w:pPr>
        <w:pStyle w:val="null3"/>
        <w:ind w:firstLine="480"/>
      </w:pPr>
      <w:r>
        <w:rPr>
          <w:rFonts w:ascii="仿宋_GB2312" w:hAnsi="仿宋_GB2312" w:cs="仿宋_GB2312" w:eastAsia="仿宋_GB2312"/>
          <w:sz w:val="24"/>
        </w:rPr>
        <w:t>（一）服务部门</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各城区急救站（点）：现有急救车组102个，合同期内预计增加至120个；维保地点通常位于西安市各行政区域医疗机构内。</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应急保障科、特勤大队：现有急救车组6个，合同期内预计增加至10个；维保地点根据工作需要而定，通常位于西安急救中心行政楼。</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中心库房仪器设备：维保地点通常位于西安急救中心行政楼。</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．中心直属站：现有急救车组12个，合同期内预计增加至20个；维保地点通常位于西安市各行政区域医疗机构内。</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医务科、培训中心教室：培训用设备，维保地点通常位于西安急救中心行政楼。</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．预计增加车组数根据急救网络建设需求可能会有所增减。</w:t>
      </w:r>
    </w:p>
    <w:p>
      <w:pPr>
        <w:pStyle w:val="null3"/>
        <w:ind w:firstLine="480"/>
      </w:pPr>
      <w:r>
        <w:rPr>
          <w:rFonts w:ascii="仿宋_GB2312" w:hAnsi="仿宋_GB2312" w:cs="仿宋_GB2312" w:eastAsia="仿宋_GB2312"/>
          <w:sz w:val="24"/>
        </w:rPr>
        <w:t>（二）服务对象</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每个急救车组配备医疗设备主要包括救治类设备、搬运类设备、供氧类设备、消杀类设备。</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救治类设备主要包括除颤监护仪、呼吸机、心电图机、电动吸引器及部分监护仪、喉镜、输液泵等。</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搬运类设备主要包括自动上车担架、铲式担架及部分楼梯担架、脊柱固定板等。</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供氧类设备主要包括氧气瓶、氧气管路及配件等。</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消杀类设备主要包括超低容量喷雾器、空气消毒机、紫外线灯车及部分过氧化氢消毒机等。</w:t>
      </w:r>
    </w:p>
    <w:p>
      <w:pPr>
        <w:pStyle w:val="null3"/>
        <w:ind w:firstLine="480"/>
      </w:pPr>
      <w:r>
        <w:rPr>
          <w:rFonts w:ascii="仿宋_GB2312" w:hAnsi="仿宋_GB2312" w:cs="仿宋_GB2312" w:eastAsia="仿宋_GB2312"/>
          <w:sz w:val="24"/>
        </w:rPr>
        <w:t>6.</w:t>
      </w:r>
      <w:r>
        <w:rPr>
          <w:rFonts w:ascii="仿宋_GB2312" w:hAnsi="仿宋_GB2312" w:cs="仿宋_GB2312" w:eastAsia="仿宋_GB2312"/>
          <w:sz w:val="24"/>
        </w:rPr>
        <w:t>医务科、培训中心教室培训类设备包括AED，心肺复苏用模拟人包含（肺膜、电池、耗材）等。</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包含所有医疗设备固定装置，如固定带或固定支架等。</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包含所有设备维保中所需配套部件，如设备各种导联线，呼吸机配套的管路、细菌过滤器、减压阀，吸引器管路，搬运设备固定带、氧桥等。</w:t>
      </w:r>
    </w:p>
    <w:p>
      <w:pPr>
        <w:pStyle w:val="null3"/>
        <w:ind w:firstLine="480"/>
      </w:pPr>
      <w:r>
        <w:rPr>
          <w:rFonts w:ascii="仿宋_GB2312" w:hAnsi="仿宋_GB2312" w:cs="仿宋_GB2312" w:eastAsia="仿宋_GB2312"/>
          <w:sz w:val="24"/>
        </w:rPr>
        <w:t>9.</w:t>
      </w:r>
      <w:r>
        <w:rPr>
          <w:rFonts w:ascii="仿宋_GB2312" w:hAnsi="仿宋_GB2312" w:cs="仿宋_GB2312" w:eastAsia="仿宋_GB2312"/>
          <w:sz w:val="24"/>
        </w:rPr>
        <w:t>供应商需提供中心应急保障科、特勤大队、直属站、中心库房及网络医院急救站中心所属设备的强制检定和校准工作，确保设备符合《中华人民共和国计量法》要求，保证急救业务的正常运转。</w:t>
      </w:r>
    </w:p>
    <w:p>
      <w:pPr>
        <w:pStyle w:val="null3"/>
        <w:ind w:firstLine="480"/>
      </w:pPr>
      <w:r>
        <w:rPr>
          <w:rFonts w:ascii="仿宋_GB2312" w:hAnsi="仿宋_GB2312" w:cs="仿宋_GB2312" w:eastAsia="仿宋_GB2312"/>
          <w:sz w:val="24"/>
        </w:rPr>
        <w:t>10.</w:t>
      </w:r>
      <w:r>
        <w:rPr>
          <w:rFonts w:ascii="仿宋_GB2312" w:hAnsi="仿宋_GB2312" w:cs="仿宋_GB2312" w:eastAsia="仿宋_GB2312"/>
          <w:sz w:val="24"/>
        </w:rPr>
        <w:t>服务需求所涉及设备种类包括但不限于上述设备，种类、品牌型号、数量根据工作需求可进行适当调整，设备主要品牌、数量及型号详见附件。</w:t>
      </w:r>
    </w:p>
    <w:p>
      <w:pPr>
        <w:pStyle w:val="null3"/>
        <w:ind w:firstLine="480"/>
      </w:pPr>
      <w:r>
        <w:rPr>
          <w:rFonts w:ascii="仿宋_GB2312" w:hAnsi="仿宋_GB2312" w:cs="仿宋_GB2312" w:eastAsia="仿宋_GB2312"/>
          <w:sz w:val="24"/>
        </w:rPr>
        <w:t>附件一：维保设备种类及型号</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设备主要种类</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主要涉及品牌型号</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除颤监护仪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187</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光电TEC-5621/ TEC-5602/ TEC-7631</w:t>
            </w:r>
          </w:p>
          <w:p>
            <w:pPr>
              <w:pStyle w:val="null3"/>
            </w:pPr>
            <w:r>
              <w:rPr>
                <w:rFonts w:ascii="仿宋_GB2312" w:hAnsi="仿宋_GB2312" w:cs="仿宋_GB2312" w:eastAsia="仿宋_GB2312"/>
                <w:sz w:val="24"/>
              </w:rPr>
              <w:t>迈瑞D2/D3/D6</w:t>
            </w:r>
          </w:p>
          <w:p>
            <w:pPr>
              <w:pStyle w:val="null3"/>
            </w:pPr>
            <w:r>
              <w:rPr>
                <w:rFonts w:ascii="仿宋_GB2312" w:hAnsi="仿宋_GB2312" w:cs="仿宋_GB2312" w:eastAsia="仿宋_GB2312"/>
                <w:sz w:val="24"/>
              </w:rPr>
              <w:t>飞利浦M3538A/ DFM100</w:t>
            </w:r>
          </w:p>
          <w:p>
            <w:pPr>
              <w:pStyle w:val="null3"/>
            </w:pPr>
            <w:r>
              <w:rPr>
                <w:rFonts w:ascii="仿宋_GB2312" w:hAnsi="仿宋_GB2312" w:cs="仿宋_GB2312" w:eastAsia="仿宋_GB2312"/>
                <w:sz w:val="24"/>
              </w:rPr>
              <w:t>卓尔X Series/M Series</w:t>
            </w:r>
          </w:p>
          <w:p>
            <w:pPr>
              <w:pStyle w:val="null3"/>
            </w:pPr>
            <w:r>
              <w:rPr>
                <w:rFonts w:ascii="仿宋_GB2312" w:hAnsi="仿宋_GB2312" w:cs="仿宋_GB2312" w:eastAsia="仿宋_GB2312"/>
                <w:sz w:val="24"/>
              </w:rPr>
              <w:t>贝克森800</w:t>
            </w:r>
          </w:p>
          <w:p>
            <w:pPr>
              <w:pStyle w:val="null3"/>
            </w:pPr>
            <w:r>
              <w:rPr>
                <w:rFonts w:ascii="仿宋_GB2312" w:hAnsi="仿宋_GB2312" w:cs="仿宋_GB2312" w:eastAsia="仿宋_GB2312"/>
                <w:sz w:val="24"/>
              </w:rPr>
              <w:t>普美康Defi-B</w:t>
            </w:r>
          </w:p>
          <w:p>
            <w:pPr>
              <w:pStyle w:val="null3"/>
            </w:pPr>
            <w:r>
              <w:rPr>
                <w:rFonts w:ascii="仿宋_GB2312" w:hAnsi="仿宋_GB2312" w:cs="仿宋_GB2312" w:eastAsia="仿宋_GB2312"/>
                <w:sz w:val="24"/>
              </w:rPr>
              <w:t>卓尔 M2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心电图机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192</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理邦SE-300B/SE-301/ SE-1200/ SE-1201/ SE-12</w:t>
            </w:r>
          </w:p>
          <w:p>
            <w:pPr>
              <w:pStyle w:val="null3"/>
            </w:pPr>
            <w:r>
              <w:rPr>
                <w:rFonts w:ascii="仿宋_GB2312" w:hAnsi="仿宋_GB2312" w:cs="仿宋_GB2312" w:eastAsia="仿宋_GB2312"/>
                <w:sz w:val="24"/>
              </w:rPr>
              <w:t>邦健 ECG-300A/ IE3</w:t>
            </w:r>
          </w:p>
          <w:p>
            <w:pPr>
              <w:pStyle w:val="null3"/>
            </w:pPr>
            <w:r>
              <w:rPr>
                <w:rFonts w:ascii="仿宋_GB2312" w:hAnsi="仿宋_GB2312" w:cs="仿宋_GB2312" w:eastAsia="仿宋_GB2312"/>
                <w:sz w:val="24"/>
              </w:rPr>
              <w:t>福田FX-7101/ FX-7102/ FX-8222</w:t>
            </w:r>
          </w:p>
          <w:p>
            <w:pPr>
              <w:pStyle w:val="null3"/>
            </w:pPr>
            <w:r>
              <w:rPr>
                <w:rFonts w:ascii="仿宋_GB2312" w:hAnsi="仿宋_GB2312" w:cs="仿宋_GB2312" w:eastAsia="仿宋_GB2312"/>
                <w:sz w:val="24"/>
              </w:rPr>
              <w:t>康泰ECG1200G</w:t>
            </w:r>
          </w:p>
          <w:p>
            <w:pPr>
              <w:pStyle w:val="null3"/>
            </w:pPr>
            <w:r>
              <w:rPr>
                <w:rFonts w:ascii="仿宋_GB2312" w:hAnsi="仿宋_GB2312" w:cs="仿宋_GB2312" w:eastAsia="仿宋_GB2312"/>
                <w:sz w:val="24"/>
              </w:rPr>
              <w:t>中旗ZQ-1203G/IMC12</w:t>
            </w:r>
          </w:p>
          <w:p>
            <w:pPr>
              <w:pStyle w:val="null3"/>
            </w:pPr>
            <w:r>
              <w:rPr>
                <w:rFonts w:ascii="仿宋_GB2312" w:hAnsi="仿宋_GB2312" w:cs="仿宋_GB2312" w:eastAsia="仿宋_GB2312"/>
                <w:sz w:val="24"/>
              </w:rPr>
              <w:t>宝莱特E70</w:t>
            </w:r>
          </w:p>
          <w:p>
            <w:pPr>
              <w:pStyle w:val="null3"/>
            </w:pPr>
            <w:r>
              <w:rPr>
                <w:rFonts w:ascii="仿宋_GB2312" w:hAnsi="仿宋_GB2312" w:cs="仿宋_GB2312" w:eastAsia="仿宋_GB2312"/>
                <w:sz w:val="24"/>
              </w:rPr>
              <w:t>光电ECG-2340/ ECG-2110/PCP7101/FX-7402</w:t>
            </w:r>
          </w:p>
          <w:p>
            <w:pPr>
              <w:pStyle w:val="null3"/>
            </w:pPr>
            <w:r>
              <w:rPr>
                <w:rFonts w:ascii="仿宋_GB2312" w:hAnsi="仿宋_GB2312" w:cs="仿宋_GB2312" w:eastAsia="仿宋_GB2312"/>
                <w:sz w:val="24"/>
              </w:rPr>
              <w:t>科曼CM1200B</w:t>
            </w:r>
          </w:p>
          <w:p>
            <w:pPr>
              <w:pStyle w:val="null3"/>
            </w:pPr>
            <w:r>
              <w:rPr>
                <w:rFonts w:ascii="仿宋_GB2312" w:hAnsi="仿宋_GB2312" w:cs="仿宋_GB2312" w:eastAsia="仿宋_GB2312"/>
                <w:sz w:val="24"/>
              </w:rPr>
              <w:t>迈瑞 R12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呼吸机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145</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安保AⅡ6000/AⅡ6000B</w:t>
            </w:r>
          </w:p>
          <w:p>
            <w:pPr>
              <w:pStyle w:val="null3"/>
            </w:pPr>
            <w:r>
              <w:rPr>
                <w:rFonts w:ascii="仿宋_GB2312" w:hAnsi="仿宋_GB2312" w:cs="仿宋_GB2312" w:eastAsia="仿宋_GB2312"/>
                <w:sz w:val="24"/>
              </w:rPr>
              <w:t>谊安510/510s</w:t>
            </w:r>
          </w:p>
          <w:p>
            <w:pPr>
              <w:pStyle w:val="null3"/>
            </w:pPr>
            <w:r>
              <w:rPr>
                <w:rFonts w:ascii="仿宋_GB2312" w:hAnsi="仿宋_GB2312" w:cs="仿宋_GB2312" w:eastAsia="仿宋_GB2312"/>
                <w:sz w:val="24"/>
              </w:rPr>
              <w:t>万曼 Easy/ Transport</w:t>
            </w:r>
          </w:p>
          <w:p>
            <w:pPr>
              <w:pStyle w:val="null3"/>
            </w:pPr>
            <w:r>
              <w:rPr>
                <w:rFonts w:ascii="仿宋_GB2312" w:hAnsi="仿宋_GB2312" w:cs="仿宋_GB2312" w:eastAsia="仿宋_GB2312"/>
                <w:sz w:val="24"/>
              </w:rPr>
              <w:t>飞特Flight60</w:t>
            </w:r>
          </w:p>
          <w:p>
            <w:pPr>
              <w:pStyle w:val="null3"/>
            </w:pPr>
            <w:r>
              <w:rPr>
                <w:rFonts w:ascii="仿宋_GB2312" w:hAnsi="仿宋_GB2312" w:cs="仿宋_GB2312" w:eastAsia="仿宋_GB2312"/>
                <w:sz w:val="24"/>
              </w:rPr>
              <w:t>德尔格Oxylog2000/Oxylog3000</w:t>
            </w:r>
          </w:p>
          <w:p>
            <w:pPr>
              <w:pStyle w:val="null3"/>
            </w:pPr>
            <w:r>
              <w:rPr>
                <w:rFonts w:ascii="仿宋_GB2312" w:hAnsi="仿宋_GB2312" w:cs="仿宋_GB2312" w:eastAsia="仿宋_GB2312"/>
                <w:sz w:val="24"/>
              </w:rPr>
              <w:t>飞利浦 T100</w:t>
            </w:r>
          </w:p>
          <w:p>
            <w:pPr>
              <w:pStyle w:val="null3"/>
            </w:pPr>
            <w:r>
              <w:rPr>
                <w:rFonts w:ascii="仿宋_GB2312" w:hAnsi="仿宋_GB2312" w:cs="仿宋_GB2312" w:eastAsia="仿宋_GB2312"/>
                <w:sz w:val="24"/>
              </w:rPr>
              <w:t>普博 1000D</w:t>
            </w:r>
          </w:p>
          <w:p>
            <w:pPr>
              <w:pStyle w:val="null3"/>
            </w:pPr>
            <w:r>
              <w:rPr>
                <w:rFonts w:ascii="仿宋_GB2312" w:hAnsi="仿宋_GB2312" w:cs="仿宋_GB2312" w:eastAsia="仿宋_GB2312"/>
                <w:sz w:val="24"/>
              </w:rPr>
              <w:t>迈瑞TV50S/SV300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吸引器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160</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斯曼峰 JX-820D</w:t>
            </w:r>
          </w:p>
          <w:p>
            <w:pPr>
              <w:pStyle w:val="null3"/>
            </w:pPr>
            <w:r>
              <w:rPr>
                <w:rFonts w:ascii="仿宋_GB2312" w:hAnsi="仿宋_GB2312" w:cs="仿宋_GB2312" w:eastAsia="仿宋_GB2312"/>
                <w:sz w:val="24"/>
              </w:rPr>
              <w:t>安保ASU-Ⅰ</w:t>
            </w:r>
          </w:p>
          <w:p>
            <w:pPr>
              <w:pStyle w:val="null3"/>
            </w:pPr>
            <w:r>
              <w:rPr>
                <w:rFonts w:ascii="仿宋_GB2312" w:hAnsi="仿宋_GB2312" w:cs="仿宋_GB2312" w:eastAsia="仿宋_GB2312"/>
                <w:sz w:val="24"/>
              </w:rPr>
              <w:t>鱼跃 7E/A</w:t>
            </w:r>
          </w:p>
          <w:p>
            <w:pPr>
              <w:pStyle w:val="null3"/>
            </w:pPr>
            <w:r>
              <w:rPr>
                <w:rFonts w:ascii="仿宋_GB2312" w:hAnsi="仿宋_GB2312" w:cs="仿宋_GB2312" w:eastAsia="仿宋_GB2312"/>
                <w:sz w:val="24"/>
              </w:rPr>
              <w:t>科凌DFX-23B</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监护仪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46</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科曼NC-8/ CMS-8000</w:t>
            </w:r>
          </w:p>
          <w:p>
            <w:pPr>
              <w:pStyle w:val="null3"/>
            </w:pPr>
            <w:r>
              <w:rPr>
                <w:rFonts w:ascii="仿宋_GB2312" w:hAnsi="仿宋_GB2312" w:cs="仿宋_GB2312" w:eastAsia="仿宋_GB2312"/>
                <w:sz w:val="24"/>
              </w:rPr>
              <w:t>飞利浦 M6</w:t>
            </w:r>
          </w:p>
          <w:p>
            <w:pPr>
              <w:pStyle w:val="null3"/>
            </w:pPr>
            <w:r>
              <w:rPr>
                <w:rFonts w:ascii="仿宋_GB2312" w:hAnsi="仿宋_GB2312" w:cs="仿宋_GB2312" w:eastAsia="仿宋_GB2312"/>
                <w:sz w:val="24"/>
              </w:rPr>
              <w:t>迈瑞ePM10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自动上车担架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87</w:t>
            </w:r>
            <w:r>
              <w:rPr>
                <w:rFonts w:ascii="仿宋_GB2312" w:hAnsi="仿宋_GB2312" w:cs="仿宋_GB2312" w:eastAsia="仿宋_GB2312"/>
                <w:sz w:val="24"/>
              </w:rPr>
              <w:t>辆</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Spencer</w:t>
            </w:r>
          </w:p>
          <w:p>
            <w:pPr>
              <w:pStyle w:val="null3"/>
            </w:pPr>
            <w:r>
              <w:rPr>
                <w:rFonts w:ascii="仿宋_GB2312" w:hAnsi="仿宋_GB2312" w:cs="仿宋_GB2312" w:eastAsia="仿宋_GB2312"/>
                <w:sz w:val="24"/>
              </w:rPr>
              <w:t>Ferno</w:t>
            </w:r>
          </w:p>
          <w:p>
            <w:pPr>
              <w:pStyle w:val="null3"/>
            </w:pPr>
            <w:r>
              <w:rPr>
                <w:rFonts w:ascii="仿宋_GB2312" w:hAnsi="仿宋_GB2312" w:cs="仿宋_GB2312" w:eastAsia="仿宋_GB2312"/>
                <w:sz w:val="24"/>
              </w:rPr>
              <w:t>万事兴 A-J/A7</w:t>
            </w:r>
          </w:p>
          <w:p>
            <w:pPr>
              <w:pStyle w:val="null3"/>
            </w:pPr>
            <w:r>
              <w:rPr>
                <w:rFonts w:ascii="仿宋_GB2312" w:hAnsi="仿宋_GB2312" w:cs="仿宋_GB2312" w:eastAsia="仿宋_GB2312"/>
                <w:sz w:val="24"/>
              </w:rPr>
              <w:t>捷康 YJK-B-3</w:t>
            </w:r>
          </w:p>
          <w:p>
            <w:pPr>
              <w:pStyle w:val="null3"/>
            </w:pPr>
            <w:r>
              <w:rPr>
                <w:rFonts w:ascii="仿宋_GB2312" w:hAnsi="仿宋_GB2312" w:cs="仿宋_GB2312" w:eastAsia="仿宋_GB2312"/>
                <w:sz w:val="24"/>
              </w:rPr>
              <w:t>SCYL YSC-11</w:t>
            </w:r>
          </w:p>
          <w:p>
            <w:pPr>
              <w:pStyle w:val="null3"/>
            </w:pPr>
            <w:r>
              <w:rPr>
                <w:rFonts w:ascii="仿宋_GB2312" w:hAnsi="仿宋_GB2312" w:cs="仿宋_GB2312" w:eastAsia="仿宋_GB2312"/>
                <w:sz w:val="24"/>
              </w:rPr>
              <w:t>35X   WSX-AC-3</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铲式担架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60</w:t>
            </w:r>
            <w:r>
              <w:rPr>
                <w:rFonts w:ascii="仿宋_GB2312" w:hAnsi="仿宋_GB2312" w:cs="仿宋_GB2312" w:eastAsia="仿宋_GB2312"/>
                <w:sz w:val="24"/>
              </w:rPr>
              <w:t>辆</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万事兴 WSX-E3</w:t>
            </w:r>
          </w:p>
          <w:p>
            <w:pPr>
              <w:pStyle w:val="null3"/>
            </w:pPr>
            <w:r>
              <w:rPr>
                <w:rFonts w:ascii="仿宋_GB2312" w:hAnsi="仿宋_GB2312" w:cs="仿宋_GB2312" w:eastAsia="仿宋_GB2312"/>
                <w:sz w:val="24"/>
              </w:rPr>
              <w:t>捷康YJK-A-4</w:t>
            </w:r>
          </w:p>
          <w:p>
            <w:pPr>
              <w:pStyle w:val="null3"/>
            </w:pPr>
            <w:r>
              <w:rPr>
                <w:rFonts w:ascii="仿宋_GB2312" w:hAnsi="仿宋_GB2312" w:cs="仿宋_GB2312" w:eastAsia="仿宋_GB2312"/>
                <w:sz w:val="24"/>
              </w:rPr>
              <w:t>YDC-4A02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空气消毒机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31</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白象PD125</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超低容量喷雾器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31</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CS-4010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楼梯担架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22</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米博MEBER ART.659</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脊柱固定板</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39</w:t>
            </w:r>
            <w:r>
              <w:rPr>
                <w:rFonts w:ascii="仿宋_GB2312" w:hAnsi="仿宋_GB2312" w:cs="仿宋_GB2312" w:eastAsia="仿宋_GB2312"/>
                <w:sz w:val="24"/>
              </w:rPr>
              <w:t>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ART.9040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输液泵</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28</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中玺ZX-600I</w:t>
            </w:r>
          </w:p>
          <w:p>
            <w:pPr>
              <w:pStyle w:val="null3"/>
            </w:pPr>
            <w:r>
              <w:rPr>
                <w:rFonts w:ascii="仿宋_GB2312" w:hAnsi="仿宋_GB2312" w:cs="仿宋_GB2312" w:eastAsia="仿宋_GB2312"/>
                <w:sz w:val="24"/>
              </w:rPr>
              <w:t>迈瑞VP3</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注射泵</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16</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迈瑞SP3</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喉镜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47</w:t>
            </w:r>
            <w:r>
              <w:rPr>
                <w:rFonts w:ascii="仿宋_GB2312" w:hAnsi="仿宋_GB2312" w:cs="仿宋_GB2312" w:eastAsia="仿宋_GB2312"/>
                <w:sz w:val="24"/>
              </w:rPr>
              <w:t>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海业HYHJ13301</w:t>
            </w:r>
          </w:p>
          <w:p>
            <w:pPr>
              <w:pStyle w:val="null3"/>
            </w:pPr>
            <w:r>
              <w:rPr>
                <w:rFonts w:ascii="仿宋_GB2312" w:hAnsi="仿宋_GB2312" w:cs="仿宋_GB2312" w:eastAsia="仿宋_GB2312"/>
                <w:sz w:val="24"/>
              </w:rPr>
              <w:t>深圳因赛德斯S2</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过氧化氢消毒机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库伯mini</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手掌式超声仪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16</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无锡祥生医疗G5</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AED</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17</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卓尔</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教学培训用模型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77</w:t>
            </w:r>
            <w:r>
              <w:rPr>
                <w:rFonts w:ascii="仿宋_GB2312" w:hAnsi="仿宋_GB2312" w:cs="仿宋_GB2312" w:eastAsia="仿宋_GB2312"/>
                <w:sz w:val="24"/>
              </w:rPr>
              <w:t>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挪度</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自动心肺复苏仪</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17</w:t>
            </w:r>
            <w:r>
              <w:rPr>
                <w:rFonts w:ascii="仿宋_GB2312" w:hAnsi="仿宋_GB2312" w:cs="仿宋_GB2312" w:eastAsia="仿宋_GB2312"/>
                <w:sz w:val="24"/>
              </w:rPr>
              <w:t>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MCC-E4</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麻醉喉镜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20</w:t>
            </w:r>
            <w:r>
              <w:rPr>
                <w:rFonts w:ascii="仿宋_GB2312" w:hAnsi="仿宋_GB2312" w:cs="仿宋_GB2312" w:eastAsia="仿宋_GB2312"/>
                <w:sz w:val="24"/>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MJ-I/G</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半自动AED</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r>
              <w:rPr>
                <w:rFonts w:ascii="仿宋_GB2312" w:hAnsi="仿宋_GB2312" w:cs="仿宋_GB2312" w:eastAsia="仿宋_GB2312"/>
                <w:sz w:val="24"/>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卓尔</w:t>
            </w:r>
          </w:p>
        </w:tc>
      </w:tr>
    </w:tbl>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西安急救中心医疗及专用设备维保项目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标的名称：西安急救中心医疗及专用设备维保项目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服务要求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供应商能够熟练处理医疗设备的常见故障，具有充足的设备维修所需零配件为全新原装，当设备发生故障时，应及时修理，不得推诿。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巡检、保养主要是指对医疗设备进行功能检测并出具检测报告并做记录、常见故障排查、操作方法培训等；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巡检、保养、维修要求供应商上门服务。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供应商需提供24小时技术人员联系电话。用户报修初次电话响应时间为≤30分钟，到达现场维修时间为≤2小时，设备维修完成时间≤2天。供应商前往急救站维修设备时需要携带同等级备用设备，若2小时内无法修复设备，则启用备用设备，包括但不限于除颤监护仪、心电图机、监护仪、呼吸机、吸引器，备用设备应确保使用部门使用期间正常使用，以保证急救业务的正常运转。</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维修的设备须保证正常使用，由使用部门签字确认后方可投入使用；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6.</w:t>
            </w:r>
            <w:r>
              <w:rPr>
                <w:rFonts w:ascii="仿宋_GB2312" w:hAnsi="仿宋_GB2312" w:cs="仿宋_GB2312" w:eastAsia="仿宋_GB2312"/>
                <w:sz w:val="24"/>
              </w:rPr>
              <w:t>设备维修应包含新增设备安装、固定，项目包括但不限于定制安装支架、配件等。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7.</w:t>
            </w:r>
            <w:r>
              <w:rPr>
                <w:rFonts w:ascii="仿宋_GB2312" w:hAnsi="仿宋_GB2312" w:cs="仿宋_GB2312" w:eastAsia="仿宋_GB2312"/>
                <w:sz w:val="24"/>
              </w:rPr>
              <w:t>供应商需对各城区急救站（点）、特勤大队医疗设备每月至少进行一次全面巡检、保养；中心库房医疗设备巡检、保养按照中心工作需求提供。中心可根据实际工作需求，临时增加专项巡检、保养工作。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8.</w:t>
            </w:r>
            <w:r>
              <w:rPr>
                <w:rFonts w:ascii="仿宋_GB2312" w:hAnsi="仿宋_GB2312" w:cs="仿宋_GB2312" w:eastAsia="仿宋_GB2312"/>
                <w:sz w:val="24"/>
              </w:rPr>
              <w:t>如供应商在检查设备后建议设备报废，需向中心提供专业报告，内容包含设备报废所符合的条件等。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9.</w:t>
            </w:r>
            <w:r>
              <w:rPr>
                <w:rFonts w:ascii="仿宋_GB2312" w:hAnsi="仿宋_GB2312" w:cs="仿宋_GB2312" w:eastAsia="仿宋_GB2312"/>
                <w:sz w:val="24"/>
              </w:rPr>
              <w:t>配合中心完成其他各项指令性任务，如维修保养等数据汇总、维修回访、根据中心工作安排组织专项技术培训等工作。</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10.</w:t>
            </w:r>
            <w:r>
              <w:rPr>
                <w:rFonts w:ascii="仿宋_GB2312" w:hAnsi="仿宋_GB2312" w:cs="仿宋_GB2312" w:eastAsia="仿宋_GB2312"/>
                <w:sz w:val="24"/>
              </w:rPr>
              <w:t>供应商需提供能力范围内包含但不限于上述内容的其他维保服务。</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11.</w:t>
            </w:r>
            <w:r>
              <w:rPr>
                <w:rFonts w:ascii="仿宋_GB2312" w:hAnsi="仿宋_GB2312" w:cs="仿宋_GB2312" w:eastAsia="仿宋_GB2312"/>
                <w:sz w:val="24"/>
              </w:rPr>
              <w:t>供应商需向中心设备管理人员定期上报巡检、保养、维修反馈报告（具体内容双方后期约定），并由各服务部门负责人签字确认。</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12.</w:t>
            </w:r>
            <w:r>
              <w:rPr>
                <w:rFonts w:ascii="仿宋_GB2312" w:hAnsi="仿宋_GB2312" w:cs="仿宋_GB2312" w:eastAsia="仿宋_GB2312"/>
                <w:sz w:val="24"/>
              </w:rPr>
              <w:t>供应商提供年度全部设备巡检、保养、维修、强制检定和校准等工作总结报告，并装订成册交于采购人。</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13.</w:t>
            </w:r>
            <w:r>
              <w:rPr>
                <w:rFonts w:ascii="仿宋_GB2312" w:hAnsi="仿宋_GB2312" w:cs="仿宋_GB2312" w:eastAsia="仿宋_GB2312"/>
                <w:sz w:val="24"/>
              </w:rPr>
              <w:t>供应商需对所有服务做出质量承诺，若因维修质量、时效问题、配件问题、供应商提供的备用设备质量问题等引起的不良事件，供应商将承担由此带来的一切损失，西安急救中心有权追究相应责任。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自合同约定之日起一年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西安急救中心指定地点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成交供应商按采购人要求完成服务内容并达到采购人相关要求，质量按本招标文件的服务内容验收。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进度款，合同签订半年后，达到付款条件起10个工作日内，支付合同总金额的50.0%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进度款，服务期满9个月，达到付款条件起10个工作日内，支付合同总金额的25.0%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进度款，一年服务期结束后无遗留问题，达到付款条件起10个工作日内，支付合同总金额的25.0%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1、供应商需出具服务质量保证承诺书，若合作期间内出现质量、技术、服务、安全等问题不能及时维修或更换，供应商将予以采购人合同总价款的5%作为经济补偿，同时采购人有权追究其相应违约责任。 2、合作结束采购人将对供应商服务情况进行满意度评分，满意度低于95%（满意度评价表见附件：西安急救中心医疗设备维保项目满意度调查表），将扣除合同总价款的5%作为经济补偿，同时采购人有权追究其相应责任。 3、供应商需在合同期内对新设车组，因急救工作需要新增设备提供巡检、保养、维修等服务，不得另外加收费用。 4、本次各供应商报价为所有急救车组提供日常巡检与保养，维修（包括配件更换），检定，固定及设备使用培训等服务的全部费用，其中包含交通费、劳务费、零配件费、安装费及完成本次服务所需的全部费用，各供应商应综合考虑填报，采购人不再额外支付任何费用。具体事项由双方在合同中进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2026年2月1日以来至少一个月的纳税证明或完税证明（任意税种），纳税证明或完税证明上应有代收机构或税务机关的公章或业务专用章；其他组织和自然人提供自2026年2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2026年2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半年内任意一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若投标人为制造厂家，应出具医疗器械生产许可证和医疗器械经营许可证；若投标人为经销商，应出具医疗器械经营许可证（或备案凭证），并进行电子签章。</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其他材料 残疾人福利性单位声明函 供应商基本信息 供应商企业关联关系声明函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投标报价不得超过采购预算/最高限价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投标产品的技术指标满足或高于招标文件要求的，得满分24分。“▲”号技术指标（共3项，满分9分）为重点技术指标，每不满足一项扣3分；非“▲”号技术指标（共10项，满分15分），每不满足一项扣1.5分。 注：对带“▲”的技术参数必须在投标文件中提供技术支持资料（包括但配件购置发票、采购合同或售后服务承诺书或质量承诺书等），并在技术响应偏离表中标注对应页码及位置，未提供或所提供材料无法有效证明的将视为不满足本参数要求。 对非“▲”的技术参数投标人在投标文件中应尽可能多地提供技术支持资料予以证明其技术指标响应性（包括但配件购置发票、采购合同或售后服务承诺书或质量承诺书等），并在技术响应偏离表中标注对应页码及位置。</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供应商针对本项目提供服务方案，内容包含：①服务标准；②服务流程；③服务内容；④需求目标把控； 二、评审标准： 1、完整性：方案必须全面，对评审内容中的各项要求有详细描述； 2、可实施性：切合本项目实际情况，提出步骤清晰、合理的方案； 3、针对性：方案能够紧扣项目实际情况，内容科学合理。 三、赋分依据（满分12分） 上述4项评审内容全部满足评审标准得12分；每有一个评审内容缺项扣3分；每有一项评审内容存在缺陷，扣（0-3）分。未提供得0分。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巡检与保养方案</w:t>
            </w:r>
          </w:p>
        </w:tc>
        <w:tc>
          <w:tcPr>
            <w:tcW w:type="dxa" w:w="2492"/>
          </w:tcPr>
          <w:p>
            <w:pPr>
              <w:pStyle w:val="null3"/>
            </w:pPr>
            <w:r>
              <w:rPr>
                <w:rFonts w:ascii="仿宋_GB2312" w:hAnsi="仿宋_GB2312" w:cs="仿宋_GB2312" w:eastAsia="仿宋_GB2312"/>
              </w:rPr>
              <w:t>一、评审内容 供应商针对本项目提供服务方案，内容包含：①巡检工作流程与标准化作业规范；②巡检内容、频次规划与动态调整机制；③保养周期与技术规范；④巡检保养质量控制、数据分析与持续改进。 二、评审标准： 1、完整性：方案必须全面，对评审内容中的各项要求有详细描述； 2、可实施性：切合本项目实际情况，提出步骤清晰、合理的方案； 3、针对性：方案能够紧扣项目实际情况，内容科学合理。 三、赋分依据（满分12分） 上述4项评审内容全部满足评审标准得12分；每有一个评审内容缺项扣3分；每有一项评审内容存在缺陷，扣（0-3）分。未提供得0分。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 供应商针对本项目提供服务方案，内容包含：①应急保证措施；②维修响应时间；③维修方案。 二、评审标准： 1、完整性：方案必须全面，对评审内容中的各项要求有详细描述； 2、可实施性：切合本项目实际情况，提出步骤清晰、合理的方案； 3、针对性：方案能够紧扣项目实际情况，内容科学合理。 三、赋分依据（满分6分） 上述3项评审内容全部满足评审标准得6分；每有一个评审内容缺项扣2分；每有一项评审内容存在缺陷，扣（0-2）分。未提供得0分。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供应商针对本项目提供服务方案，内容包含：①培训计划；②培训效果评估。 二、评审标准： 1、完整性：方案必须全面，对评审内容中的各项要求有详细描述； 2、可实施性：切合本项目实际情况，提出步骤清晰、合理的方案； 3、针对性：方案能够紧扣项目实际情况，内容科学合理。 三、赋分依据（满分4分） 上述2项评审内容全部满足评审标准得4分；每有一个评审内容缺项扣2分；每有一项评审内容存在缺陷，扣（0-2）分。未提供得0分。 说明：缺陷是指内容没有结合项目实际需求、虽有内容但不完善、内容表述前后不一致或与项目需求不匹配及其他不利于项目实施的等任意一种情形。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每提供一名具有中级职称的维修人员得0.5分，满分2分，不提供不得分。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提供供应商近三年（2023年8月至今）类似业绩证明材料（加盖公章），业绩证明材料以完整的合同为准。每提供一个项目的合同计2分，满分10分，提供不全或不提供不得分。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