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版本号：ZCSP-渭南市-2026-00165、DRZB2026-ZC-15220260529001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陕西省第十八届运动会2026年主赛场开闭幕式室外临时公厕租赁项目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ZCSP-渭南市-2026-00165、DRZB2026-ZC-152</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陕西省第十八届运动会2026年主赛场开闭幕式室外临时公厕租赁项目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ZCSP-渭南市-2026-00165、DRZB2026-ZC-152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陕西省第十八届运动会2026年主赛场开闭幕式室外临时公厕租赁项目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第十八届运动会2026年主赛场开闭幕式室外临时公厕租赁项目，为保障陕西省第十八届运动会举办期间演员、运动员、志愿者、工作人员及群众等候入场期间如厕需求，提供安全、卫生、便捷的临时公厕服务，确保开闭幕式及赛事活动有序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采购包1（陕西省第十八届运动会2026年主赛场开闭幕式室外临时公厕租赁项目）：属于专门面向中小企业采购。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13572358117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杨莉、韩钊、张海燕、赵璐、苏庆春、曹静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人在领取成交通知书前一次性支付，如本项目代理服务费不足陆仟元则按陆仟元收取。具体费率如下：100万元以下，按照1.5%计取。 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采购人负责项目验收，具体以双方签订合同为准。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联系人：杨莉、韩钊、张海燕</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第十八届运动会2026年主赛场开闭幕式室外临时公厕租赁项目，为保障陕西省第十八届运动会举办期间演员、运动员、志愿者、工作人员及群众等候入场期间如厕需求，提供安全、卫生、便捷的临时公厕服务，确保开闭幕式及赛事活动有序开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陕西省第十八届运动会2026年主赛场开闭幕式室外临时公厕租赁项目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标的名称：陕西省第十八届运动会2026年主赛场开闭幕式室外临时公厕租赁项目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一、服务内容与技术要求</w:t>
            </w:r>
          </w:p>
          <w:p>
            <w:pPr>
              <w:pStyle w:val="null3"/>
            </w:pPr>
            <w:r>
              <w:rPr>
                <w:rFonts w:ascii="仿宋_GB2312" w:hAnsi="仿宋_GB2312" w:cs="仿宋_GB2312" w:eastAsia="仿宋_GB2312"/>
              </w:rPr>
              <w:t>（一）设备配置与点位要求</w:t>
            </w:r>
          </w:p>
          <w:p>
            <w:pPr>
              <w:pStyle w:val="null3"/>
            </w:pPr>
            <w:r>
              <w:rPr>
                <w:rFonts w:ascii="仿宋_GB2312" w:hAnsi="仿宋_GB2312" w:cs="仿宋_GB2312" w:eastAsia="仿宋_GB2312"/>
              </w:rPr>
              <w:t>1. 设备数量与类型：租赁临时公厕共计30台，均为水冲式移动环保公厕，蹲位总数按“每台公厕不少于1个蹲位”配置，总蹲位≥30个（可根据实际使用场景微调，需满足采购人现场管理要求）。</w:t>
            </w:r>
          </w:p>
          <w:p>
            <w:pPr>
              <w:pStyle w:val="null3"/>
            </w:pPr>
            <w:r>
              <w:rPr>
                <w:rFonts w:ascii="仿宋_GB2312" w:hAnsi="仿宋_GB2312" w:cs="仿宋_GB2312" w:eastAsia="仿宋_GB2312"/>
              </w:rPr>
              <w:t>2. 点位分布与保障对象：</w:t>
            </w:r>
          </w:p>
          <w:p>
            <w:pPr>
              <w:pStyle w:val="null3"/>
            </w:pPr>
            <w:r>
              <w:rPr>
                <w:rFonts w:ascii="仿宋_GB2312" w:hAnsi="仿宋_GB2312" w:cs="仿宋_GB2312" w:eastAsia="仿宋_GB2312"/>
              </w:rPr>
              <w:t>体育馆西南角：7台（保障东广场未入场观众）</w:t>
            </w:r>
          </w:p>
          <w:p>
            <w:pPr>
              <w:pStyle w:val="null3"/>
            </w:pPr>
            <w:r>
              <w:rPr>
                <w:rFonts w:ascii="仿宋_GB2312" w:hAnsi="仿宋_GB2312" w:cs="仿宋_GB2312" w:eastAsia="仿宋_GB2312"/>
              </w:rPr>
              <w:t>游泳馆东北角：7台（保障东广场未入场观众）</w:t>
            </w:r>
          </w:p>
          <w:p>
            <w:pPr>
              <w:pStyle w:val="null3"/>
            </w:pPr>
            <w:r>
              <w:rPr>
                <w:rFonts w:ascii="仿宋_GB2312" w:hAnsi="仿宋_GB2312" w:cs="仿宋_GB2312" w:eastAsia="仿宋_GB2312"/>
              </w:rPr>
              <w:t>南门保安亭东侧：6台（保障执勤工作人员及未入场观众）</w:t>
            </w:r>
          </w:p>
          <w:p>
            <w:pPr>
              <w:pStyle w:val="null3"/>
            </w:pPr>
            <w:r>
              <w:rPr>
                <w:rFonts w:ascii="仿宋_GB2312" w:hAnsi="仿宋_GB2312" w:cs="仿宋_GB2312" w:eastAsia="仿宋_GB2312"/>
              </w:rPr>
              <w:t>体育场A口：10台（保障开闭幕式未入场演员及运动员）</w:t>
            </w:r>
          </w:p>
          <w:p>
            <w:pPr>
              <w:pStyle w:val="null3"/>
            </w:pPr>
            <w:r>
              <w:rPr>
                <w:rFonts w:ascii="仿宋_GB2312" w:hAnsi="仿宋_GB2312" w:cs="仿宋_GB2312" w:eastAsia="仿宋_GB2312"/>
              </w:rPr>
              <w:t>供应商需根据采购人提供的点位图，完成设备运输、就位、固定，确保设备摆放稳固、不影响人员通行及活动秩序。</w:t>
            </w:r>
          </w:p>
          <w:p>
            <w:pPr>
              <w:pStyle w:val="null3"/>
            </w:pPr>
            <w:r>
              <w:rPr>
                <w:rFonts w:ascii="仿宋_GB2312" w:hAnsi="仿宋_GB2312" w:cs="仿宋_GB2312" w:eastAsia="仿宋_GB2312"/>
              </w:rPr>
              <w:t>（二）公厕设备技术标准（单台设备）</w:t>
            </w:r>
          </w:p>
          <w:p>
            <w:pPr>
              <w:pStyle w:val="null3"/>
            </w:pPr>
            <w:r>
              <w:rPr>
                <w:rFonts w:ascii="仿宋_GB2312" w:hAnsi="仿宋_GB2312" w:cs="仿宋_GB2312" w:eastAsia="仿宋_GB2312"/>
              </w:rPr>
              <w:t>1.主体结构</w:t>
            </w:r>
          </w:p>
          <w:p>
            <w:pPr>
              <w:pStyle w:val="null3"/>
            </w:pPr>
            <w:r>
              <w:rPr>
                <w:rFonts w:ascii="仿宋_GB2312" w:hAnsi="仿宋_GB2312" w:cs="仿宋_GB2312" w:eastAsia="仿宋_GB2312"/>
              </w:rPr>
              <w:t xml:space="preserve">采用防腐塑料板材，整体牢固，外观整洁无破损，颜色统一协调，无明显污渍、变形。  </w:t>
            </w:r>
          </w:p>
          <w:p>
            <w:pPr>
              <w:pStyle w:val="null3"/>
            </w:pPr>
            <w:r>
              <w:rPr>
                <w:rFonts w:ascii="仿宋_GB2312" w:hAnsi="仿宋_GB2312" w:cs="仿宋_GB2312" w:eastAsia="仿宋_GB2312"/>
              </w:rPr>
              <w:t>2.内部配置</w:t>
            </w:r>
          </w:p>
          <w:p>
            <w:pPr>
              <w:pStyle w:val="null3"/>
            </w:pPr>
            <w:r>
              <w:rPr>
                <w:rFonts w:ascii="仿宋_GB2312" w:hAnsi="仿宋_GB2312" w:cs="仿宋_GB2312" w:eastAsia="仿宋_GB2312"/>
              </w:rPr>
              <w:t>蹲便器/坐便器（可选无障碍厕位≥2个）、洗手盆、水龙头、皂液器、卫生纸架、衣帽钩、防滑地板、有人/无人指示灯、门锁、镜子、LED照明灯、排气扇、灭蝇灯。</w:t>
            </w:r>
          </w:p>
          <w:p>
            <w:pPr>
              <w:pStyle w:val="null3"/>
            </w:pPr>
            <w:r>
              <w:rPr>
                <w:rFonts w:ascii="仿宋_GB2312" w:hAnsi="仿宋_GB2312" w:cs="仿宋_GB2312" w:eastAsia="仿宋_GB2312"/>
              </w:rPr>
              <w:t>3.供水系统</w:t>
            </w:r>
          </w:p>
          <w:p>
            <w:pPr>
              <w:pStyle w:val="null3"/>
            </w:pPr>
            <w:r>
              <w:rPr>
                <w:rFonts w:ascii="仿宋_GB2312" w:hAnsi="仿宋_GB2312" w:cs="仿宋_GB2312" w:eastAsia="仿宋_GB2312"/>
              </w:rPr>
              <w:t>配置≥200L储水箱，水压稳定，冲洗装置完好，无漏水、堵塞现象；供水方式采用市政接驳或自备供水（自备供水需满足持续供水需求，配备≥1吨/台的备用储水设备）。</w:t>
            </w:r>
          </w:p>
          <w:p>
            <w:pPr>
              <w:pStyle w:val="null3"/>
            </w:pPr>
            <w:r>
              <w:rPr>
                <w:rFonts w:ascii="仿宋_GB2312" w:hAnsi="仿宋_GB2312" w:cs="仿宋_GB2312" w:eastAsia="仿宋_GB2312"/>
              </w:rPr>
              <w:t>4.排污系统</w:t>
            </w:r>
          </w:p>
          <w:p>
            <w:pPr>
              <w:pStyle w:val="null3"/>
            </w:pPr>
            <w:r>
              <w:rPr>
                <w:rFonts w:ascii="仿宋_GB2312" w:hAnsi="仿宋_GB2312" w:cs="仿宋_GB2312" w:eastAsia="仿宋_GB2312"/>
              </w:rPr>
              <w:t>配置≥500L储粪箱，排污口密封良好，无渗漏、异味；支持快速抽粪作业，预留抽粪接口。</w:t>
            </w:r>
          </w:p>
          <w:p>
            <w:pPr>
              <w:pStyle w:val="null3"/>
            </w:pPr>
            <w:r>
              <w:rPr>
                <w:rFonts w:ascii="仿宋_GB2312" w:hAnsi="仿宋_GB2312" w:cs="仿宋_GB2312" w:eastAsia="仿宋_GB2312"/>
              </w:rPr>
              <w:t>5.电气与照明</w:t>
            </w:r>
          </w:p>
          <w:p>
            <w:pPr>
              <w:pStyle w:val="null3"/>
            </w:pPr>
            <w:r>
              <w:rPr>
                <w:rFonts w:ascii="仿宋_GB2312" w:hAnsi="仿宋_GB2312" w:cs="仿宋_GB2312" w:eastAsia="仿宋_GB2312"/>
              </w:rPr>
              <w:t xml:space="preserve"> 配备完整供电线路，符合安全用电标准，夜间照明亮度≥100lux，满足夜间使用需求；线路需做防水、绝缘处理，配备漏电保护器。</w:t>
            </w:r>
          </w:p>
          <w:p>
            <w:pPr>
              <w:pStyle w:val="null3"/>
            </w:pPr>
            <w:r>
              <w:rPr>
                <w:rFonts w:ascii="仿宋_GB2312" w:hAnsi="仿宋_GB2312" w:cs="仿宋_GB2312" w:eastAsia="仿宋_GB2312"/>
              </w:rPr>
              <w:t>6.通风与除臭</w:t>
            </w:r>
          </w:p>
          <w:p>
            <w:pPr>
              <w:pStyle w:val="null3"/>
            </w:pPr>
            <w:r>
              <w:rPr>
                <w:rFonts w:ascii="仿宋_GB2312" w:hAnsi="仿宋_GB2312" w:cs="仿宋_GB2312" w:eastAsia="仿宋_GB2312"/>
              </w:rPr>
              <w:t>内置排气扇，每小时换气次数≥10次；配备除臭装置（如香薰、除臭剂），无明显异味积聚。</w:t>
            </w:r>
          </w:p>
          <w:p>
            <w:pPr>
              <w:pStyle w:val="null3"/>
            </w:pPr>
            <w:r>
              <w:rPr>
                <w:rFonts w:ascii="仿宋_GB2312" w:hAnsi="仿宋_GB2312" w:cs="仿宋_GB2312" w:eastAsia="仿宋_GB2312"/>
              </w:rPr>
              <w:t>7.无障碍配置</w:t>
            </w:r>
          </w:p>
          <w:p>
            <w:pPr>
              <w:pStyle w:val="null3"/>
            </w:pPr>
            <w:r>
              <w:rPr>
                <w:rFonts w:ascii="仿宋_GB2312" w:hAnsi="仿宋_GB2312" w:cs="仿宋_GB2312" w:eastAsia="仿宋_GB2312"/>
              </w:rPr>
              <w:t>至少2台设备为无障碍厕位，配备扶手、坡道、紧急呼叫按钮，满足残疾人、老年人使用需求。</w:t>
            </w:r>
          </w:p>
          <w:p>
            <w:pPr>
              <w:pStyle w:val="null3"/>
            </w:pPr>
            <w:r>
              <w:rPr>
                <w:rFonts w:ascii="仿宋_GB2312" w:hAnsi="仿宋_GB2312" w:cs="仿宋_GB2312" w:eastAsia="仿宋_GB2312"/>
              </w:rPr>
              <w:t>（三）配套设施与标识要求</w:t>
            </w:r>
          </w:p>
          <w:p>
            <w:pPr>
              <w:pStyle w:val="null3"/>
            </w:pPr>
            <w:r>
              <w:rPr>
                <w:rFonts w:ascii="仿宋_GB2312" w:hAnsi="仿宋_GB2312" w:cs="仿宋_GB2312" w:eastAsia="仿宋_GB2312"/>
              </w:rPr>
              <w:t>1. 水电线路配套</w:t>
            </w:r>
          </w:p>
          <w:p>
            <w:pPr>
              <w:pStyle w:val="null3"/>
            </w:pPr>
            <w:r>
              <w:rPr>
                <w:rFonts w:ascii="仿宋_GB2312" w:hAnsi="仿宋_GB2312" w:cs="仿宋_GB2312" w:eastAsia="仿宋_GB2312"/>
              </w:rPr>
              <w:t>供应商需负责完成所有公厕的水电接驳、线路铺设，确保水电供应稳定，夜间照明正常。</w:t>
            </w:r>
          </w:p>
          <w:p>
            <w:pPr>
              <w:pStyle w:val="null3"/>
            </w:pPr>
            <w:r>
              <w:rPr>
                <w:rFonts w:ascii="仿宋_GB2312" w:hAnsi="仿宋_GB2312" w:cs="仿宋_GB2312" w:eastAsia="仿宋_GB2312"/>
              </w:rPr>
              <w:t>供电线路需采用防水电缆，架空或埋地铺设，设置明显警示标识，避免安全隐患。</w:t>
            </w:r>
          </w:p>
          <w:p>
            <w:pPr>
              <w:pStyle w:val="null3"/>
            </w:pPr>
            <w:r>
              <w:rPr>
                <w:rFonts w:ascii="仿宋_GB2312" w:hAnsi="仿宋_GB2312" w:cs="仿宋_GB2312" w:eastAsia="仿宋_GB2312"/>
              </w:rPr>
              <w:t>供水管道需防冻、防漏，冬季使用需做好保温措施（若服务期内气温低于0℃）。</w:t>
            </w:r>
          </w:p>
          <w:p>
            <w:pPr>
              <w:pStyle w:val="null3"/>
            </w:pPr>
            <w:r>
              <w:rPr>
                <w:rFonts w:ascii="仿宋_GB2312" w:hAnsi="仿宋_GB2312" w:cs="仿宋_GB2312" w:eastAsia="仿宋_GB2312"/>
              </w:rPr>
              <w:t>2. 标识指引牌</w:t>
            </w:r>
          </w:p>
          <w:p>
            <w:pPr>
              <w:pStyle w:val="null3"/>
            </w:pPr>
            <w:r>
              <w:rPr>
                <w:rFonts w:ascii="仿宋_GB2312" w:hAnsi="仿宋_GB2312" w:cs="仿宋_GB2312" w:eastAsia="仿宋_GB2312"/>
              </w:rPr>
              <w:t>公厕引导提示牌：规格60cm×90cm，2米高立杆，设置于主要通道、出入口，清晰指引公厕位置。</w:t>
            </w:r>
          </w:p>
          <w:p>
            <w:pPr>
              <w:pStyle w:val="null3"/>
            </w:pPr>
            <w:r>
              <w:rPr>
                <w:rFonts w:ascii="仿宋_GB2312" w:hAnsi="仿宋_GB2312" w:cs="仿宋_GB2312" w:eastAsia="仿宋_GB2312"/>
              </w:rPr>
              <w:t>文明宣传牌：50个，内容包含文明如厕、节约用水、禁止吸烟等提示，张贴于公厕内部或周边。</w:t>
            </w:r>
          </w:p>
          <w:p>
            <w:pPr>
              <w:pStyle w:val="null3"/>
            </w:pPr>
            <w:r>
              <w:rPr>
                <w:rFonts w:ascii="仿宋_GB2312" w:hAnsi="仿宋_GB2312" w:cs="仿宋_GB2312" w:eastAsia="仿宋_GB2312"/>
              </w:rPr>
              <w:t>馨提示牌：50个，内容包含保洁时间、注意事项、紧急联系电话等，张贴于公厕门口。</w:t>
            </w:r>
          </w:p>
          <w:p>
            <w:pPr>
              <w:pStyle w:val="null3"/>
            </w:pPr>
            <w:r>
              <w:rPr>
                <w:rFonts w:ascii="仿宋_GB2312" w:hAnsi="仿宋_GB2312" w:cs="仿宋_GB2312" w:eastAsia="仿宋_GB2312"/>
              </w:rPr>
              <w:t>所有标识牌需采用防水、防晒材料，文字清晰、规范，无错别字。</w:t>
            </w:r>
          </w:p>
          <w:p>
            <w:pPr>
              <w:pStyle w:val="null3"/>
            </w:pPr>
            <w:r>
              <w:rPr>
                <w:rFonts w:ascii="仿宋_GB2312" w:hAnsi="仿宋_GB2312" w:cs="仿宋_GB2312" w:eastAsia="仿宋_GB2312"/>
              </w:rPr>
              <w:t>（四）日常保洁与运维服务</w:t>
            </w:r>
          </w:p>
          <w:p>
            <w:pPr>
              <w:pStyle w:val="null3"/>
            </w:pPr>
            <w:r>
              <w:rPr>
                <w:rFonts w:ascii="仿宋_GB2312" w:hAnsi="仿宋_GB2312" w:cs="仿宋_GB2312" w:eastAsia="仿宋_GB2312"/>
              </w:rPr>
              <w:t>1. 保洁服务标准</w:t>
            </w:r>
          </w:p>
          <w:p>
            <w:pPr>
              <w:pStyle w:val="null3"/>
            </w:pPr>
            <w:r>
              <w:rPr>
                <w:rFonts w:ascii="仿宋_GB2312" w:hAnsi="仿宋_GB2312" w:cs="仿宋_GB2312" w:eastAsia="仿宋_GB2312"/>
              </w:rPr>
              <w:t>卫生标准符合GB/T 17217-2021《公共厕所卫生规范》，达到二类公厕对应卫生要求。无垃圾、无积水、无污渍、无异味，地面干燥防滑。</w:t>
            </w:r>
          </w:p>
          <w:p>
            <w:pPr>
              <w:pStyle w:val="null3"/>
            </w:pPr>
            <w:r>
              <w:rPr>
                <w:rFonts w:ascii="仿宋_GB2312" w:hAnsi="仿宋_GB2312" w:cs="仿宋_GB2312" w:eastAsia="仿宋_GB2312"/>
              </w:rPr>
              <w:t>开闭幕式及排练期间：保洁时间为每日7:00-22:00；正常比赛期间：保洁时间为每日7:00-18:00。</w:t>
            </w:r>
          </w:p>
          <w:p>
            <w:pPr>
              <w:pStyle w:val="null3"/>
            </w:pPr>
            <w:r>
              <w:rPr>
                <w:rFonts w:ascii="仿宋_GB2312" w:hAnsi="仿宋_GB2312" w:cs="仿宋_GB2312" w:eastAsia="仿宋_GB2312"/>
              </w:rPr>
              <w:t>保洁频次：高峰时段每30分钟巡查保洁1次，平峰时段每1小时巡查保洁1次，厕位、洗手台、地面、墙面、镜子等随时保持清洁。</w:t>
            </w:r>
          </w:p>
          <w:p>
            <w:pPr>
              <w:pStyle w:val="null3"/>
            </w:pPr>
            <w:r>
              <w:rPr>
                <w:rFonts w:ascii="仿宋_GB2312" w:hAnsi="仿宋_GB2312" w:cs="仿宋_GB2312" w:eastAsia="仿宋_GB2312"/>
              </w:rPr>
              <w:t>2. 废水与污物处理</w:t>
            </w:r>
          </w:p>
          <w:p>
            <w:pPr>
              <w:pStyle w:val="null3"/>
            </w:pPr>
            <w:r>
              <w:rPr>
                <w:rFonts w:ascii="仿宋_GB2312" w:hAnsi="仿宋_GB2312" w:cs="仿宋_GB2312" w:eastAsia="仿宋_GB2312"/>
              </w:rPr>
              <w:t>储粪箱废水每2小时清理1次（高峰时段可根据使用量增加频次），由具备资质的单位进行抽运处理，严禁随意排放。</w:t>
            </w:r>
          </w:p>
          <w:p>
            <w:pPr>
              <w:pStyle w:val="null3"/>
            </w:pPr>
            <w:r>
              <w:rPr>
                <w:rFonts w:ascii="仿宋_GB2312" w:hAnsi="仿宋_GB2312" w:cs="仿宋_GB2312" w:eastAsia="仿宋_GB2312"/>
              </w:rPr>
              <w:t>废水处理需符合环保要求，提供抽运记录单，留存备查。</w:t>
            </w:r>
          </w:p>
          <w:p>
            <w:pPr>
              <w:pStyle w:val="null3"/>
            </w:pPr>
            <w:r>
              <w:rPr>
                <w:rFonts w:ascii="仿宋_GB2312" w:hAnsi="仿宋_GB2312" w:cs="仿宋_GB2312" w:eastAsia="仿宋_GB2312"/>
              </w:rPr>
              <w:t>3. 设备维护与应急保障</w:t>
            </w:r>
          </w:p>
          <w:p>
            <w:pPr>
              <w:pStyle w:val="null3"/>
            </w:pPr>
            <w:r>
              <w:rPr>
                <w:rFonts w:ascii="仿宋_GB2312" w:hAnsi="仿宋_GB2312" w:cs="仿宋_GB2312" w:eastAsia="仿宋_GB2312"/>
              </w:rPr>
              <w:t>供应商需安排专人值守，建立设备台账，定期检查水电、排污、照明等设施，发现故障30分钟内到场维修，一般故障1小时内修复，重大故障4小时内更换备用设备。自备备用设备不少于3台，应对突发设备故障或使用量激增情况。</w:t>
            </w:r>
          </w:p>
          <w:p>
            <w:pPr>
              <w:pStyle w:val="null3"/>
            </w:pPr>
            <w:r>
              <w:rPr>
                <w:rFonts w:ascii="仿宋_GB2312" w:hAnsi="仿宋_GB2312" w:cs="仿宋_GB2312" w:eastAsia="仿宋_GB2312"/>
              </w:rPr>
              <w:t>4. 卫生用品保障：</w:t>
            </w:r>
          </w:p>
          <w:p>
            <w:pPr>
              <w:pStyle w:val="null3"/>
            </w:pPr>
            <w:r>
              <w:rPr>
                <w:rFonts w:ascii="仿宋_GB2312" w:hAnsi="仿宋_GB2312" w:cs="仿宋_GB2312" w:eastAsia="仿宋_GB2312"/>
              </w:rPr>
              <w:t>持续提供洗手液、消毒液、卫生纸、除臭剂、垃圾袋、灭蝇灯等耗材，确保服务期内不断供，卫生纸、洗手液需每2小时检查补充1次。</w:t>
            </w:r>
          </w:p>
          <w:p>
            <w:pPr>
              <w:pStyle w:val="null3"/>
            </w:pPr>
            <w:r>
              <w:rPr>
                <w:rFonts w:ascii="仿宋_GB2312" w:hAnsi="仿宋_GB2312" w:cs="仿宋_GB2312" w:eastAsia="仿宋_GB2312"/>
              </w:rPr>
              <w:t>消毒液需符合国家卫生标准，定期对公厕内部进行消毒（每日不少于2次，高峰时段增加消毒频次）。</w:t>
            </w:r>
          </w:p>
          <w:p>
            <w:pPr>
              <w:pStyle w:val="null3"/>
            </w:pPr>
            <w:r>
              <w:rPr>
                <w:rFonts w:ascii="仿宋_GB2312" w:hAnsi="仿宋_GB2312" w:cs="仿宋_GB2312" w:eastAsia="仿宋_GB2312"/>
              </w:rPr>
              <w:t>（五）人员配置要求</w:t>
            </w:r>
          </w:p>
          <w:p>
            <w:pPr>
              <w:pStyle w:val="null3"/>
            </w:pPr>
            <w:r>
              <w:rPr>
                <w:rFonts w:ascii="仿宋_GB2312" w:hAnsi="仿宋_GB2312" w:cs="仿宋_GB2312" w:eastAsia="仿宋_GB2312"/>
              </w:rPr>
              <w:t>1. 保洁人员：配置不少于6名保洁人员，按“每5个蹲位1名保洁员”配置，高峰期可增加临时保洁人员，确保保洁质量。</w:t>
            </w:r>
          </w:p>
          <w:p>
            <w:pPr>
              <w:pStyle w:val="null3"/>
            </w:pPr>
            <w:r>
              <w:rPr>
                <w:rFonts w:ascii="仿宋_GB2312" w:hAnsi="仿宋_GB2312" w:cs="仿宋_GB2312" w:eastAsia="仿宋_GB2312"/>
              </w:rPr>
              <w:t>2. 运维人员：配置不少于2名水电工/设备维护人员，持有效电工证，负责设备日常维护与故障抢修。</w:t>
            </w:r>
          </w:p>
          <w:p>
            <w:pPr>
              <w:pStyle w:val="null3"/>
            </w:pPr>
            <w:r>
              <w:rPr>
                <w:rFonts w:ascii="仿宋_GB2312" w:hAnsi="仿宋_GB2312" w:cs="仿宋_GB2312" w:eastAsia="仿宋_GB2312"/>
              </w:rPr>
              <w:t>3. 现场负责人：配置1名项目负责人，全程驻场，负责与采购人对接，协调现场服务，处理突发问题，提供24小时联系电话。</w:t>
            </w:r>
          </w:p>
          <w:p>
            <w:pPr>
              <w:pStyle w:val="null3"/>
            </w:pPr>
            <w:r>
              <w:rPr>
                <w:rFonts w:ascii="仿宋_GB2312" w:hAnsi="仿宋_GB2312" w:cs="仿宋_GB2312" w:eastAsia="仿宋_GB2312"/>
              </w:rPr>
              <w:t>4. 人员要求：所有工作人员需身体健康，无传染病，持有效健康证；统一着装，佩戴工作牌，文明服务，遵守活动现场管理规定。</w:t>
            </w:r>
          </w:p>
          <w:p>
            <w:pPr>
              <w:pStyle w:val="null3"/>
            </w:pPr>
            <w:r>
              <w:rPr>
                <w:rFonts w:ascii="仿宋_GB2312" w:hAnsi="仿宋_GB2312" w:cs="仿宋_GB2312" w:eastAsia="仿宋_GB2312"/>
              </w:rPr>
              <w:t>二、履约要求</w:t>
            </w:r>
          </w:p>
          <w:p>
            <w:pPr>
              <w:pStyle w:val="null3"/>
            </w:pPr>
            <w:r>
              <w:rPr>
                <w:rFonts w:ascii="仿宋_GB2312" w:hAnsi="仿宋_GB2312" w:cs="仿宋_GB2312" w:eastAsia="仿宋_GB2312"/>
              </w:rPr>
              <w:t>1.质量要求：满足采购人对本项目的服务要求。</w:t>
            </w:r>
          </w:p>
          <w:p>
            <w:pPr>
              <w:pStyle w:val="null3"/>
            </w:pPr>
            <w:r>
              <w:rPr>
                <w:rFonts w:ascii="仿宋_GB2312" w:hAnsi="仿宋_GB2312" w:cs="仿宋_GB2312" w:eastAsia="仿宋_GB2312"/>
              </w:rPr>
              <w:t>2.服务期满处置：服务期满后，供应商需在采购人通知的时间内完成设备拆除、清运，清理现场垃圾，恢复场地原状，不得影响后续活动开展。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预算及最高限价为人民币35万元（含税包干价），费用包括但不限于本次项目所需租赁费、材料费、设备费、劳务费、管理费、利润、税金、政策性文件规定的各项应有费用。服务期内采购人不再增加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2026年7月1日至2026年8月20日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陕西省第十八届运动会主赛场渭南市体育中心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出验收申请3日内由采购人组织，供应商需在采购人通知的时间内完成设备进场安装、调试，提供设备清单、检验报告、合格证明，采购人按技术标准逐台验收，验收不合格的设备需无条件更换。服务期内采购人将定期或不定期对服务质量进行抽查，发现问题责令限期整改，整改合格后，填写验收单，双方签字生效。供应商须派相关人员按采购人指定地点现场共同验收。 分阶段验收（1.开幕式；2.正常比赛3.闭幕式）</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其他，运动会结束经采购人验收合格后，达到付款条件起15个工作日内，支付合同总金额的60.0%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1.本项目采用合同总价报价，合同总价一次性包死，不受市场价格变化等因素的影响。 2.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渭南市公共资源交易中心西配楼大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3资格证明文件.docx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1报价一览表.docx 标的清单 2分项报价表.docx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 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1报价一览表.docx 标的清单 2分项报价表.docx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中小企业声明函 标的清单 报价表 6商务偏离表.docx 响应函 3资格证明文件.docx 5服务偏离表.docx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6商务偏离表.docx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15保证金缴纳凭证.docx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16供应商认为有必要说明的其他资料.docx 标的清单 报价表 4投标人承诺书.docx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项目理解、重难点分析</w:t>
            </w:r>
          </w:p>
        </w:tc>
        <w:tc>
          <w:tcPr>
            <w:tcW w:type="dxa" w:w="2492"/>
          </w:tcPr>
          <w:p>
            <w:pPr>
              <w:pStyle w:val="null3"/>
            </w:pPr>
            <w:r>
              <w:rPr>
                <w:rFonts w:ascii="仿宋_GB2312" w:hAnsi="仿宋_GB2312" w:cs="仿宋_GB2312" w:eastAsia="仿宋_GB2312"/>
              </w:rPr>
              <w:t>针对本项目提供项目理解、重难点分析，包括但不限于①项目背景、项目需求理解、项目需求分析、项目目标；②项目重点难点分析、应对措施。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7项目理解、重难点分析.docx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针对本项目提供整体实施方案，包括但不限于①总体项目实施方案；②工作流程、工作方法；③项目进度计划安排；④配套设备及卫生用品的安排实施；⑤现场突发状况的预防处理。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8整体实施方案.docx</w:t>
            </w:r>
          </w:p>
        </w:tc>
      </w:tr>
      <w:tr>
        <w:tc>
          <w:tcPr>
            <w:tcW w:type="dxa" w:w="831"/>
            <w:vMerge/>
          </w:tcPr>
          <w:p/>
        </w:tc>
        <w:tc>
          <w:tcPr>
            <w:tcW w:type="dxa" w:w="1661"/>
          </w:tcPr>
          <w:p>
            <w:pPr>
              <w:pStyle w:val="null3"/>
            </w:pPr>
            <w:r>
              <w:rPr>
                <w:rFonts w:ascii="仿宋_GB2312" w:hAnsi="仿宋_GB2312" w:cs="仿宋_GB2312" w:eastAsia="仿宋_GB2312"/>
              </w:rPr>
              <w:t>日常保洁与运维服务</w:t>
            </w:r>
          </w:p>
        </w:tc>
        <w:tc>
          <w:tcPr>
            <w:tcW w:type="dxa" w:w="2492"/>
          </w:tcPr>
          <w:p>
            <w:pPr>
              <w:pStyle w:val="null3"/>
            </w:pPr>
            <w:r>
              <w:rPr>
                <w:rFonts w:ascii="仿宋_GB2312" w:hAnsi="仿宋_GB2312" w:cs="仿宋_GB2312" w:eastAsia="仿宋_GB2312"/>
              </w:rPr>
              <w:t>针对本项目日常保洁与运维服务，包括但不限于①保洁时间、频次；②保洁人员补给、调配制度；③卫生耗材补给方案；④异味控制、粪污清运。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9日常保洁与运维服务.docx</w:t>
            </w:r>
          </w:p>
        </w:tc>
      </w:tr>
      <w:tr>
        <w:tc>
          <w:tcPr>
            <w:tcW w:type="dxa" w:w="831"/>
            <w:vMerge/>
          </w:tcPr>
          <w:p/>
        </w:tc>
        <w:tc>
          <w:tcPr>
            <w:tcW w:type="dxa" w:w="1661"/>
          </w:tcPr>
          <w:p>
            <w:pPr>
              <w:pStyle w:val="null3"/>
            </w:pPr>
            <w:r>
              <w:rPr>
                <w:rFonts w:ascii="仿宋_GB2312" w:hAnsi="仿宋_GB2312" w:cs="仿宋_GB2312" w:eastAsia="仿宋_GB2312"/>
              </w:rPr>
              <w:t>供货验收方案</w:t>
            </w:r>
          </w:p>
        </w:tc>
        <w:tc>
          <w:tcPr>
            <w:tcW w:type="dxa" w:w="2492"/>
          </w:tcPr>
          <w:p>
            <w:pPr>
              <w:pStyle w:val="null3"/>
            </w:pPr>
            <w:r>
              <w:rPr>
                <w:rFonts w:ascii="仿宋_GB2312" w:hAnsi="仿宋_GB2312" w:cs="仿宋_GB2312" w:eastAsia="仿宋_GB2312"/>
              </w:rPr>
              <w:t>针对本项目供货验收方案，包括但不限于①产品质量保证措施②供货组织方案（包括运输、配送）③验收方案。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10供货验收方案.docx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针对本项目服务要求的团队人员配备，完全满足本项目服务需求的得4分，少1人扣0.5分，扣完为止。在满足服务要求的基础上每增加1人加1分，累计加分不超过4分。 以拟派项目人员身份证证件和劳动合同或单位近半年连续3个月社保缴纳证明材料为准。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11项目人员配备及项目团队人员.docx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针对本项目提供项目团队人员配备方案，包括但不限于①项目服务团队架构；②项目人员岗位划分及职责。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11项目人员配备及项目团队人员.docx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针对本项目提供针对性的应急预案，包括但不限于①现场停水、停电等应急预案；②人员聚集拥堵 、如厕高峰应急预案；③异常天气应急预案。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12应急预案.docx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针对本项目提供完善的售后服务方案，包括但不限于①售后维保措施；②质量保修责任及保修承诺；③售后响应时间、方式及人员安排。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供应商提供2023年5月1日至今类似业绩（以合同签订日期为准），每提供1个得2分，满分6分。 注：提供合同复印件或扫描件并加盖公章。复印件或扫描件必须清晰体现签约主体和日期、项目名称及内容、合同金额等核心要素，否则不计为有效业绩。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14业绩统计表.docx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1报价一览表.docx</w:t>
            </w:r>
          </w:p>
          <w:p>
            <w:pPr>
              <w:pStyle w:val="null3"/>
            </w:pPr>
            <w:r>
              <w:rPr>
                <w:rFonts w:ascii="仿宋_GB2312" w:hAnsi="仿宋_GB2312" w:cs="仿宋_GB2312" w:eastAsia="仿宋_GB2312"/>
              </w:rPr>
              <w:t>2分项报价表.docx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1报价一览表.docx</w:t>
            </w:r>
          </w:p>
          <w:p>
            <w:pPr>
              <w:pStyle w:val="null3"/>
            </w:pPr>
            <w:r>
              <w:rPr>
                <w:rFonts w:ascii="仿宋_GB2312" w:hAnsi="仿宋_GB2312" w:cs="仿宋_GB2312" w:eastAsia="仿宋_GB2312"/>
              </w:rPr>
              <w:t>2分项报价表.docx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详见附件：1报价一览表.docx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详见附件：4投标人承诺书.docx</w:t>
      </w:r>
    </w:p>
    <w:p>
      <w:pPr>
        <w:pStyle w:val="null3"/>
        <w:ind w:firstLine="960"/>
      </w:pPr>
      <w:r>
        <w:rPr>
          <w:rFonts w:ascii="仿宋_GB2312" w:hAnsi="仿宋_GB2312" w:cs="仿宋_GB2312" w:eastAsia="仿宋_GB2312"/>
        </w:rPr>
        <w:t>详见附件：5服务偏离表.docx</w:t>
      </w:r>
    </w:p>
    <w:p>
      <w:pPr>
        <w:pStyle w:val="null3"/>
        <w:ind w:firstLine="960"/>
      </w:pPr>
      <w:r>
        <w:rPr>
          <w:rFonts w:ascii="仿宋_GB2312" w:hAnsi="仿宋_GB2312" w:cs="仿宋_GB2312" w:eastAsia="仿宋_GB2312"/>
        </w:rPr>
        <w:t>详见附件：6商务偏离表.docx</w:t>
      </w:r>
    </w:p>
    <w:p>
      <w:pPr>
        <w:pStyle w:val="null3"/>
        <w:ind w:firstLine="960"/>
      </w:pPr>
      <w:r>
        <w:rPr>
          <w:rFonts w:ascii="仿宋_GB2312" w:hAnsi="仿宋_GB2312" w:cs="仿宋_GB2312" w:eastAsia="仿宋_GB2312"/>
        </w:rPr>
        <w:t>详见附件：7项目理解、重难点分析.docx</w:t>
      </w:r>
    </w:p>
    <w:p>
      <w:pPr>
        <w:pStyle w:val="null3"/>
        <w:ind w:firstLine="960"/>
      </w:pPr>
      <w:r>
        <w:rPr>
          <w:rFonts w:ascii="仿宋_GB2312" w:hAnsi="仿宋_GB2312" w:cs="仿宋_GB2312" w:eastAsia="仿宋_GB2312"/>
        </w:rPr>
        <w:t>详见附件：8整体实施方案.docx</w:t>
      </w:r>
    </w:p>
    <w:p>
      <w:pPr>
        <w:pStyle w:val="null3"/>
        <w:ind w:firstLine="960"/>
      </w:pPr>
      <w:r>
        <w:rPr>
          <w:rFonts w:ascii="仿宋_GB2312" w:hAnsi="仿宋_GB2312" w:cs="仿宋_GB2312" w:eastAsia="仿宋_GB2312"/>
        </w:rPr>
        <w:t>详见附件：9日常保洁与运维服务.docx</w:t>
      </w:r>
    </w:p>
    <w:p>
      <w:pPr>
        <w:pStyle w:val="null3"/>
        <w:ind w:firstLine="960"/>
      </w:pPr>
      <w:r>
        <w:rPr>
          <w:rFonts w:ascii="仿宋_GB2312" w:hAnsi="仿宋_GB2312" w:cs="仿宋_GB2312" w:eastAsia="仿宋_GB2312"/>
        </w:rPr>
        <w:t>详见附件：10供货验收方案.docx</w:t>
      </w:r>
    </w:p>
    <w:p>
      <w:pPr>
        <w:pStyle w:val="null3"/>
        <w:ind w:firstLine="960"/>
      </w:pPr>
      <w:r>
        <w:rPr>
          <w:rFonts w:ascii="仿宋_GB2312" w:hAnsi="仿宋_GB2312" w:cs="仿宋_GB2312" w:eastAsia="仿宋_GB2312"/>
        </w:rPr>
        <w:t>详见附件：11项目人员配备及项目团队人员.docx</w:t>
      </w:r>
    </w:p>
    <w:p>
      <w:pPr>
        <w:pStyle w:val="null3"/>
        <w:ind w:firstLine="960"/>
      </w:pPr>
      <w:r>
        <w:rPr>
          <w:rFonts w:ascii="仿宋_GB2312" w:hAnsi="仿宋_GB2312" w:cs="仿宋_GB2312" w:eastAsia="仿宋_GB2312"/>
        </w:rPr>
        <w:t>详见附件：12应急预案.docx</w:t>
      </w:r>
    </w:p>
    <w:p>
      <w:pPr>
        <w:pStyle w:val="null3"/>
        <w:ind w:firstLine="960"/>
      </w:pPr>
      <w:r>
        <w:rPr>
          <w:rFonts w:ascii="仿宋_GB2312" w:hAnsi="仿宋_GB2312" w:cs="仿宋_GB2312" w:eastAsia="仿宋_GB2312"/>
        </w:rPr>
        <w:t>详见附件：13售后服务方案.docx</w:t>
      </w:r>
    </w:p>
    <w:p>
      <w:pPr>
        <w:pStyle w:val="null3"/>
        <w:ind w:firstLine="960"/>
      </w:pPr>
      <w:r>
        <w:rPr>
          <w:rFonts w:ascii="仿宋_GB2312" w:hAnsi="仿宋_GB2312" w:cs="仿宋_GB2312" w:eastAsia="仿宋_GB2312"/>
        </w:rPr>
        <w:t>详见附件：14业绩统计表.docx</w:t>
      </w:r>
    </w:p>
    <w:p>
      <w:pPr>
        <w:pStyle w:val="null3"/>
        <w:ind w:firstLine="960"/>
      </w:pPr>
      <w:r>
        <w:rPr>
          <w:rFonts w:ascii="仿宋_GB2312" w:hAnsi="仿宋_GB2312" w:cs="仿宋_GB2312" w:eastAsia="仿宋_GB2312"/>
        </w:rPr>
        <w:t>详见附件：15保证金缴纳凭证.docx</w:t>
      </w:r>
    </w:p>
    <w:p>
      <w:pPr>
        <w:pStyle w:val="null3"/>
        <w:ind w:firstLine="960"/>
      </w:pPr>
      <w:r>
        <w:rPr>
          <w:rFonts w:ascii="仿宋_GB2312" w:hAnsi="仿宋_GB2312" w:cs="仿宋_GB2312" w:eastAsia="仿宋_GB2312"/>
        </w:rPr>
        <w:t>详见附件：16供应商认为有必要说明的其他资料.docx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