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版本号：ZQX-XXZC-202601720260716002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乾县第四幼儿园内部配套设施设备采购项目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ZQX-XXZC-2026017</w:t>
      </w:r>
      <w:r>
        <w:br/>
      </w:r>
      <w:r>
        <w:br/>
      </w:r>
      <w:r>
        <w:br/>
      </w:r>
    </w:p>
    <w:p>
      <w:pPr>
        <w:pStyle w:val="null3"/>
        <w:jc w:val="center"/>
        <w:outlineLvl w:val="2"/>
      </w:pPr>
      <w:r>
        <w:rPr>
          <w:rFonts w:ascii="仿宋_GB2312" w:hAnsi="仿宋_GB2312" w:cs="仿宋_GB2312" w:eastAsia="仿宋_GB2312"/>
          <w:sz w:val="28"/>
          <w:b/>
        </w:rPr>
        <w:t>乾县教育局</w:t>
      </w:r>
    </w:p>
    <w:p>
      <w:pPr>
        <w:pStyle w:val="null3"/>
        <w:jc w:val="center"/>
        <w:outlineLvl w:val="2"/>
      </w:pPr>
      <w:r>
        <w:rPr>
          <w:rFonts w:ascii="仿宋_GB2312" w:hAnsi="仿宋_GB2312" w:cs="仿宋_GB2312" w:eastAsia="仿宋_GB2312"/>
          <w:sz w:val="28"/>
          <w:b/>
        </w:rPr>
        <w:t>中启信项目咨询有限公司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中启信项目咨询有限公司</w:t>
      </w:r>
      <w:r>
        <w:rPr>
          <w:rFonts w:ascii="仿宋_GB2312" w:hAnsi="仿宋_GB2312" w:cs="仿宋_GB2312" w:eastAsia="仿宋_GB2312"/>
        </w:rPr>
        <w:t>（以下简称“代理机构”）受</w:t>
      </w:r>
      <w:r>
        <w:rPr>
          <w:rFonts w:ascii="仿宋_GB2312" w:hAnsi="仿宋_GB2312" w:cs="仿宋_GB2312" w:eastAsia="仿宋_GB2312"/>
        </w:rPr>
        <w:t>乾县教育局</w:t>
      </w:r>
      <w:r>
        <w:rPr>
          <w:rFonts w:ascii="仿宋_GB2312" w:hAnsi="仿宋_GB2312" w:cs="仿宋_GB2312" w:eastAsia="仿宋_GB2312"/>
        </w:rPr>
        <w:t>委托，拟对</w:t>
      </w:r>
      <w:r>
        <w:rPr>
          <w:rFonts w:ascii="仿宋_GB2312" w:hAnsi="仿宋_GB2312" w:cs="仿宋_GB2312" w:eastAsia="仿宋_GB2312"/>
        </w:rPr>
        <w:t>乾县第四幼儿园内部配套设施设备采购项目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ZQX-XXZC-2026017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乾县第四幼儿园内部配套设施设备采购项目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乾县第四幼儿园是政府投资建设的一所公办普惠幼儿园，为保障如期开园，现急需内部配套设施设备。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1、营业执照：具有合法有效的营业执照、组织机构代码证、税务登记证（或统一社会信用代码的营业执照）；供应商需在项目电子化交易系统中按要求上传相应证明文件并进行电子签章；</w:t>
      </w:r>
    </w:p>
    <w:p>
      <w:pPr>
        <w:pStyle w:val="null3"/>
      </w:pPr>
      <w:r>
        <w:rPr>
          <w:rFonts w:ascii="仿宋_GB2312" w:hAnsi="仿宋_GB2312" w:cs="仿宋_GB2312" w:eastAsia="仿宋_GB2312"/>
        </w:rPr>
        <w:t>2、财务状况报告：提供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证明：提供2026年1月至今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税收缴纳证明：提供2026年1月至今至少一个月已缴纳的增值税或营业税或企业所得税或印花税的凭据或完税证明；依法免税的投标人应提供相关证明文件；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声明）：参加政府采购活动前3年内在经营活动中没有重大违法记录；供应商需在项目电子化交易系统中按要求填写《投标函》完成承诺并进行电子签章；供应商需在项目电子化交易系统中按要求上传相应证明文件并进行电子签章；</w:t>
      </w:r>
    </w:p>
    <w:p>
      <w:pPr>
        <w:pStyle w:val="null3"/>
      </w:pPr>
      <w:r>
        <w:rPr>
          <w:rFonts w:ascii="仿宋_GB2312" w:hAnsi="仿宋_GB2312" w:cs="仿宋_GB2312" w:eastAsia="仿宋_GB2312"/>
        </w:rPr>
        <w:t>6、提供具有履行合同所必须的设备和专业技术能力的书面承诺：供应商需在项目电子化交易系统中提供具有履行合同所必须的设备和专业技术能力的书面承诺并进行电子签章；供应商需在项目电子化交易系统中按要求上传相应证明文件并进行电子签章；</w:t>
      </w:r>
    </w:p>
    <w:p>
      <w:pPr>
        <w:pStyle w:val="null3"/>
      </w:pPr>
      <w:r>
        <w:rPr>
          <w:rFonts w:ascii="仿宋_GB2312" w:hAnsi="仿宋_GB2312" w:cs="仿宋_GB2312" w:eastAsia="仿宋_GB2312"/>
        </w:rPr>
        <w:t>7、信用主体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8、本项目不接受联合体：供应商需在项目电子化交易系统中提供非联合体投标承诺书并进行电子签章；供应商需在项目电子化交易系统中按要求上传相应证明文件并进行电子签章；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郭长江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029-35522148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中启信项目咨询有限公司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陕西省西安市雁塔区南二环路西段88号老三届世纪星大度15E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029-88689011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采购包1：1,623,317.00元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代理服务费收费标准：参照国家发改委文件计价格〔2002〕1980号及发改价格〔2011〕534号文件规定标准计取。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乾县教育局</w:t>
      </w:r>
      <w:r>
        <w:rPr>
          <w:rFonts w:ascii="仿宋_GB2312" w:hAnsi="仿宋_GB2312" w:cs="仿宋_GB2312" w:eastAsia="仿宋_GB2312"/>
        </w:rPr>
        <w:t>和</w:t>
      </w:r>
      <w:r>
        <w:rPr>
          <w:rFonts w:ascii="仿宋_GB2312" w:hAnsi="仿宋_GB2312" w:cs="仿宋_GB2312" w:eastAsia="仿宋_GB2312"/>
        </w:rPr>
        <w:t>中启信项目咨询有限公司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中启信项目咨询有限公司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中启信项目咨询有限公司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联系人：张宁</w:t>
      </w:r>
    </w:p>
    <w:p>
      <w:pPr>
        <w:pStyle w:val="null3"/>
      </w:pPr>
      <w:r>
        <w:rPr>
          <w:rFonts w:ascii="仿宋_GB2312" w:hAnsi="仿宋_GB2312" w:cs="仿宋_GB2312" w:eastAsia="仿宋_GB2312"/>
        </w:rPr>
        <w:t>联系电话：029-88689011</w:t>
      </w:r>
    </w:p>
    <w:p>
      <w:pPr>
        <w:pStyle w:val="null3"/>
      </w:pPr>
      <w:r>
        <w:rPr>
          <w:rFonts w:ascii="仿宋_GB2312" w:hAnsi="仿宋_GB2312" w:cs="仿宋_GB2312" w:eastAsia="仿宋_GB2312"/>
        </w:rPr>
        <w:t>地址：陕西省西咸新区沣西新城天兴大厦 1709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乾县第四幼儿园是政府投资建设的一所公办普惠幼儿园，为保障如期开园，现急需内部配套设施设备。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1,623,317.00</w:t>
      </w:r>
    </w:p>
    <w:p>
      <w:pPr>
        <w:pStyle w:val="null3"/>
      </w:pPr>
      <w:r>
        <w:rPr>
          <w:rFonts w:ascii="仿宋_GB2312" w:hAnsi="仿宋_GB2312" w:cs="仿宋_GB2312" w:eastAsia="仿宋_GB2312"/>
        </w:rPr>
        <w:t>采购包最高限价（元）: 1,623,317.00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乾县第四幼儿园内部配套设施设备采购项目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1,623,317.00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标的名称：乾县第四幼儿园内部配套设施设备采购项目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具体采购数量及技术参数，详见附件。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陕西省咸阳市乾县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现行的国家标准或国家行政部门颁布的法律法规、规章制度等及行业标准。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1年（生产厂商有具体要求的，按具体要求时间提供质保）。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如果协商开始后六十（60）天还不能解决，双方可依以下一种方式解决：①双方达成仲裁协议，向约定的仲裁委员会申请仲裁；②向甲方住所地的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具有合法有效的营业执照、组织机构代码证、税务登记证（或统一社会信用代码的营业执照）；供应商需在项目电子化交易系统中按要求上传相应证明文件并进行电子签章；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法定代表人身份证明及法定代表人授权委托书.pdf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至少一个月已缴纳的增值税或营业税或企业所得税或印花税的凭据或完税证明；依法免税的投标人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投标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提供具有履行合同所必须的设备和专业技术能力的书面承诺</w:t>
            </w:r>
          </w:p>
        </w:tc>
        <w:tc>
          <w:tcPr>
            <w:tcW w:type="dxa" w:w="3322"/>
          </w:tcPr>
          <w:p>
            <w:pPr>
              <w:pStyle w:val="null3"/>
            </w:pPr>
            <w:r>
              <w:rPr>
                <w:rFonts w:ascii="仿宋_GB2312" w:hAnsi="仿宋_GB2312" w:cs="仿宋_GB2312" w:eastAsia="仿宋_GB2312"/>
              </w:rPr>
              <w:t>供应商需在项目电子化交易系统中提供具有履行合同所必须的设备和专业技术能力的书面承诺并进行电子签章；供应商需在项目电子化交易系统中按要求上传相应证明文件并进行电子签章；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供应商需在项目电子化交易系统中提供非联合体投标承诺书并进行电子签章；供应商需在项目电子化交易系统中按要求上传相应证明文件并进行电子签章；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 2023 年1月1日至今类似项目业绩（以合同签订日期为准），提供合同复印件并加盖供应商公章，每提供一份业绩计5分，满分10 分。 注： ①供应商须提供业绩清单。 ②合同内容须清晰 可辨认，无涂改，否则视为无效合同。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供应商提供针对本项目的实施方案，就其方案是否合理科学及措 施得当，是否针对本项目实施提出重点、难点并给出相应的解决方案等。满分 5 分； 方案完整合理得(4-5]分； 方案较完整合理得(2-4]分； 方案差，不合理得(1-2]分；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供应商提供针对本项目的质量保障方案，提供在设备使用、技术保障方面的承诺和保证措施，满分 5 分。 方案完整合理得(4-5]分； 方案较完整合理得(2-4]分； 方案差，不合理得(1-2]分；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供货组织安排方案</w:t>
            </w:r>
          </w:p>
        </w:tc>
        <w:tc>
          <w:tcPr>
            <w:tcW w:type="dxa" w:w="2492"/>
          </w:tcPr>
          <w:p>
            <w:pPr>
              <w:pStyle w:val="null3"/>
            </w:pPr>
            <w:r>
              <w:rPr>
                <w:rFonts w:ascii="仿宋_GB2312" w:hAnsi="仿宋_GB2312" w:cs="仿宋_GB2312" w:eastAsia="仿宋_GB2312"/>
              </w:rPr>
              <w:t>供应商针对本项目有具体的供货组织安排，有详细的人员、财力调配、运输、派送措施等方案，满分 5 分； 方案完整合理得(4-5]分； 方案较完整合理得(2-4]分； 方案差，不合理得(1-2]分；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供货组织安排方案.docx</w:t>
            </w:r>
          </w:p>
        </w:tc>
      </w:tr>
      <w:tr>
        <w:tc>
          <w:tcPr>
            <w:tcW w:type="dxa" w:w="831"/>
            <w:vMerge/>
          </w:tcPr>
          <w:p/>
        </w:tc>
        <w:tc>
          <w:tcPr>
            <w:tcW w:type="dxa" w:w="1661"/>
          </w:tcPr>
          <w:p>
            <w:pPr>
              <w:pStyle w:val="null3"/>
            </w:pPr>
            <w:r>
              <w:rPr>
                <w:rFonts w:ascii="仿宋_GB2312" w:hAnsi="仿宋_GB2312" w:cs="仿宋_GB2312" w:eastAsia="仿宋_GB2312"/>
              </w:rPr>
              <w:t>售后及运维服务方案</w:t>
            </w:r>
          </w:p>
        </w:tc>
        <w:tc>
          <w:tcPr>
            <w:tcW w:type="dxa" w:w="2492"/>
          </w:tcPr>
          <w:p>
            <w:pPr>
              <w:pStyle w:val="null3"/>
            </w:pPr>
            <w:r>
              <w:rPr>
                <w:rFonts w:ascii="仿宋_GB2312" w:hAnsi="仿宋_GB2312" w:cs="仿宋_GB2312" w:eastAsia="仿宋_GB2312"/>
              </w:rPr>
              <w:t>根据供应商制定的售后及运维服务方案，包括服务承诺、服务期限、服务内容、服务方式、响应时间、应急措施等方面，满分5分。 方案完整合理得(4-5]分； 方案较完整合理得(2-4]分； 方案差，不合理得(1-2]分；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售后及运维服务方案.docx</w:t>
            </w:r>
          </w:p>
        </w:tc>
      </w:tr>
      <w:tr>
        <w:tc>
          <w:tcPr>
            <w:tcW w:type="dxa" w:w="831"/>
            <w:vMerge/>
          </w:tcPr>
          <w:p/>
        </w:tc>
        <w:tc>
          <w:tcPr>
            <w:tcW w:type="dxa" w:w="1661"/>
          </w:tcPr>
          <w:p>
            <w:pPr>
              <w:pStyle w:val="null3"/>
            </w:pPr>
            <w:r>
              <w:rPr>
                <w:rFonts w:ascii="仿宋_GB2312" w:hAnsi="仿宋_GB2312" w:cs="仿宋_GB2312" w:eastAsia="仿宋_GB2312"/>
              </w:rPr>
              <w:t>供货期</w:t>
            </w:r>
          </w:p>
        </w:tc>
        <w:tc>
          <w:tcPr>
            <w:tcW w:type="dxa" w:w="2492"/>
          </w:tcPr>
          <w:p>
            <w:pPr>
              <w:pStyle w:val="null3"/>
            </w:pPr>
            <w:r>
              <w:rPr>
                <w:rFonts w:ascii="仿宋_GB2312" w:hAnsi="仿宋_GB2312" w:cs="仿宋_GB2312" w:eastAsia="仿宋_GB2312"/>
              </w:rPr>
              <w:t>供货期仅达到招标文件最低要求不得分，如优于招标文件规定，计 2.5 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开标一览表</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质保期仅达到招标文件最低要求不得分，如优于招标文件规定，计 2.5 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开标一览表</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拟投入本项目的人员配备情况：投入人员数量在5人以上的，得5分，投入人员数量在4～5人的，得3分，投入人员数量在3人及以下的，得1分；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项目团队人员配备.docx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1.完全满足所有产品技术参数无偏离得30分； 2.不带★号的技术参数每负偏离一项扣0.5分，总分30分扣完为止。 注：带★号的技术参数不得负偏离，并提供佐证材料，证明材料不限于产品技术说明书或检测报告或产品彩页或网页截图等。未提供佐证材料按未响应文件处理；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 87 号）的有关规定：价格分采用低价优先法计算，即满足招标文件要求且投标价格最低的投标报价为评标基准价，其价格分为满分。其他供应商的价格分统一按照下列公式计算： 投标报价得分=（评标基准价/投标报价）×价格权值（即 30%）×100 注：享受中小企业价格扣除政策的供应商，价格扣除后的投标报价进入最终评审。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详见附件：法定代表人身份证明及法定代表人授权委托书.pdf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详见附件：供货组织安排方案.docx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详见附件：售后及运维服务方案.docx</w:t>
      </w:r>
    </w:p>
    <w:p>
      <w:pPr>
        <w:pStyle w:val="null3"/>
        <w:ind w:firstLine="960"/>
      </w:pPr>
      <w:r>
        <w:rPr>
          <w:rFonts w:ascii="仿宋_GB2312" w:hAnsi="仿宋_GB2312" w:cs="仿宋_GB2312" w:eastAsia="仿宋_GB2312"/>
        </w:rPr>
        <w:t>详见附件：项目团队人员配备.docx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