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EF5745">
      <w:pPr>
        <w:pStyle w:val="4"/>
        <w:rPr>
          <w:rFonts w:ascii="宋体" w:hAnsi="宋体"/>
          <w:sz w:val="44"/>
          <w:szCs w:val="44"/>
        </w:rPr>
      </w:pPr>
    </w:p>
    <w:p w14:paraId="305154FF">
      <w:pPr>
        <w:pStyle w:val="4"/>
        <w:rPr>
          <w:rFonts w:ascii="宋体" w:hAnsi="宋体"/>
          <w:sz w:val="44"/>
          <w:szCs w:val="44"/>
        </w:rPr>
      </w:pPr>
    </w:p>
    <w:p w14:paraId="42C80337">
      <w:pPr>
        <w:pStyle w:val="4"/>
        <w:rPr>
          <w:rFonts w:ascii="宋体" w:hAnsi="宋体"/>
          <w:sz w:val="44"/>
          <w:szCs w:val="44"/>
        </w:rPr>
      </w:pPr>
    </w:p>
    <w:p w14:paraId="1C53A5BC">
      <w:pPr>
        <w:jc w:val="center"/>
        <w:rPr>
          <w:rFonts w:ascii="宋体" w:hAnsi="宋体"/>
          <w:sz w:val="44"/>
          <w:szCs w:val="44"/>
        </w:rPr>
      </w:pPr>
      <w:r>
        <w:rPr>
          <w:rFonts w:hint="eastAsia" w:ascii="宋体" w:hAnsi="宋体"/>
          <w:sz w:val="44"/>
          <w:szCs w:val="44"/>
        </w:rPr>
        <w:t>采购合同</w:t>
      </w:r>
    </w:p>
    <w:p w14:paraId="2DC9951F">
      <w:pPr>
        <w:rPr>
          <w:rFonts w:ascii="宋体" w:hAnsi="宋体"/>
          <w:szCs w:val="21"/>
        </w:rPr>
      </w:pPr>
      <w:r>
        <w:rPr>
          <w:rFonts w:hint="eastAsia" w:ascii="宋体" w:hAnsi="宋体"/>
        </w:rPr>
        <w:t xml:space="preserve"> </w:t>
      </w:r>
    </w:p>
    <w:p w14:paraId="780B09B3">
      <w:pPr>
        <w:rPr>
          <w:rFonts w:ascii="宋体" w:hAnsi="宋体"/>
        </w:rPr>
      </w:pPr>
      <w:r>
        <w:rPr>
          <w:rFonts w:hint="eastAsia" w:ascii="宋体" w:hAnsi="宋体"/>
        </w:rPr>
        <w:t xml:space="preserve"> </w:t>
      </w:r>
    </w:p>
    <w:p w14:paraId="173A2157">
      <w:pPr>
        <w:rPr>
          <w:rFonts w:ascii="宋体" w:hAnsi="宋体"/>
          <w:szCs w:val="21"/>
        </w:rPr>
      </w:pPr>
    </w:p>
    <w:p w14:paraId="6C5B2B42">
      <w:pPr>
        <w:rPr>
          <w:rFonts w:ascii="宋体" w:hAnsi="宋体"/>
        </w:rPr>
      </w:pPr>
      <w:r>
        <w:rPr>
          <w:rFonts w:hint="eastAsia" w:ascii="宋体" w:hAnsi="宋体"/>
        </w:rPr>
        <w:t xml:space="preserve"> </w:t>
      </w:r>
    </w:p>
    <w:p w14:paraId="69724715">
      <w:pPr>
        <w:spacing w:line="360" w:lineRule="auto"/>
        <w:jc w:val="center"/>
        <w:rPr>
          <w:rFonts w:ascii="宋体" w:hAnsi="宋体"/>
          <w:sz w:val="28"/>
          <w:szCs w:val="28"/>
        </w:rPr>
      </w:pPr>
      <w:r>
        <w:rPr>
          <w:rFonts w:hint="eastAsia" w:ascii="宋体" w:hAnsi="宋体"/>
          <w:sz w:val="28"/>
          <w:szCs w:val="28"/>
        </w:rPr>
        <w:t xml:space="preserve"> </w:t>
      </w:r>
    </w:p>
    <w:p w14:paraId="0E588A22">
      <w:pPr>
        <w:spacing w:line="360" w:lineRule="auto"/>
        <w:jc w:val="center"/>
        <w:rPr>
          <w:rFonts w:ascii="宋体" w:hAnsi="宋体"/>
          <w:sz w:val="28"/>
          <w:szCs w:val="28"/>
        </w:rPr>
      </w:pPr>
    </w:p>
    <w:p w14:paraId="7B77D50C">
      <w:pPr>
        <w:pStyle w:val="2"/>
        <w:rPr>
          <w:rFonts w:ascii="宋体" w:hAnsi="宋体"/>
          <w:sz w:val="28"/>
          <w:szCs w:val="28"/>
        </w:rPr>
      </w:pPr>
      <w:r>
        <w:rPr>
          <w:rFonts w:hint="eastAsia" w:ascii="宋体" w:hAnsi="宋体"/>
        </w:rPr>
        <w:t xml:space="preserve"> </w:t>
      </w:r>
    </w:p>
    <w:p w14:paraId="637F2F12">
      <w:pPr>
        <w:rPr>
          <w:rFonts w:ascii="宋体" w:hAnsi="宋体"/>
          <w:sz w:val="28"/>
          <w:szCs w:val="28"/>
        </w:rPr>
      </w:pPr>
      <w:r>
        <w:rPr>
          <w:rFonts w:hint="eastAsia" w:ascii="宋体" w:hAnsi="宋体"/>
          <w:sz w:val="28"/>
          <w:szCs w:val="28"/>
        </w:rPr>
        <w:t xml:space="preserve"> </w:t>
      </w:r>
    </w:p>
    <w:p w14:paraId="07E4C4CF">
      <w:pPr>
        <w:pStyle w:val="2"/>
        <w:rPr>
          <w:rFonts w:ascii="宋体" w:hAnsi="宋体"/>
          <w:sz w:val="28"/>
          <w:szCs w:val="28"/>
        </w:rPr>
      </w:pPr>
      <w:r>
        <w:rPr>
          <w:rFonts w:hint="eastAsia" w:ascii="宋体" w:hAnsi="宋体"/>
        </w:rPr>
        <w:t xml:space="preserve"> </w:t>
      </w:r>
    </w:p>
    <w:p w14:paraId="4B8F4903">
      <w:pPr>
        <w:rPr>
          <w:rFonts w:ascii="宋体" w:hAnsi="宋体"/>
        </w:rPr>
      </w:pPr>
      <w:r>
        <w:rPr>
          <w:rFonts w:ascii="宋体" w:hAnsi="宋体"/>
        </w:rPr>
        <w:t xml:space="preserve"> </w:t>
      </w:r>
    </w:p>
    <w:p w14:paraId="40981FDE">
      <w:pPr>
        <w:spacing w:line="360" w:lineRule="auto"/>
        <w:ind w:left="880" w:leftChars="419" w:firstLine="405" w:firstLineChars="144"/>
        <w:rPr>
          <w:rFonts w:ascii="宋体" w:hAnsi="宋体"/>
          <w:b/>
          <w:sz w:val="28"/>
          <w:szCs w:val="28"/>
        </w:rPr>
      </w:pPr>
      <w:r>
        <w:rPr>
          <w:rFonts w:hint="eastAsia" w:ascii="宋体" w:hAnsi="宋体"/>
          <w:b/>
          <w:sz w:val="28"/>
          <w:szCs w:val="28"/>
        </w:rPr>
        <w:t xml:space="preserve"> </w:t>
      </w:r>
    </w:p>
    <w:p w14:paraId="7683B864">
      <w:pPr>
        <w:spacing w:line="360" w:lineRule="auto"/>
        <w:ind w:left="880" w:leftChars="419" w:firstLine="405" w:firstLineChars="144"/>
        <w:rPr>
          <w:rFonts w:ascii="宋体" w:hAnsi="宋体"/>
          <w:b/>
          <w:sz w:val="28"/>
          <w:szCs w:val="28"/>
        </w:rPr>
      </w:pPr>
      <w:r>
        <w:rPr>
          <w:rFonts w:hint="eastAsia" w:ascii="宋体" w:hAnsi="宋体"/>
          <w:b/>
          <w:sz w:val="28"/>
          <w:szCs w:val="28"/>
        </w:rPr>
        <w:t xml:space="preserve"> </w:t>
      </w:r>
    </w:p>
    <w:p w14:paraId="50C3C0B0">
      <w:pPr>
        <w:spacing w:line="360" w:lineRule="auto"/>
        <w:rPr>
          <w:rFonts w:ascii="宋体" w:hAnsi="宋体"/>
          <w:b/>
          <w:sz w:val="28"/>
          <w:szCs w:val="28"/>
        </w:rPr>
      </w:pPr>
    </w:p>
    <w:p w14:paraId="58EC7009">
      <w:pPr>
        <w:spacing w:line="360" w:lineRule="auto"/>
        <w:ind w:left="880" w:leftChars="419" w:firstLine="405" w:firstLineChars="144"/>
        <w:rPr>
          <w:rFonts w:ascii="宋体" w:hAnsi="宋体"/>
          <w:b/>
          <w:sz w:val="28"/>
          <w:szCs w:val="28"/>
        </w:rPr>
      </w:pPr>
    </w:p>
    <w:p w14:paraId="2A6532A9">
      <w:pPr>
        <w:spacing w:line="360" w:lineRule="auto"/>
        <w:ind w:left="880" w:leftChars="419" w:firstLine="405" w:firstLineChars="144"/>
        <w:rPr>
          <w:rFonts w:ascii="宋体" w:hAnsi="宋体"/>
          <w:b/>
          <w:sz w:val="28"/>
          <w:szCs w:val="28"/>
        </w:rPr>
      </w:pPr>
    </w:p>
    <w:p w14:paraId="3E22F3E9">
      <w:pPr>
        <w:spacing w:line="480" w:lineRule="auto"/>
        <w:ind w:firstLine="419" w:firstLineChars="139"/>
        <w:rPr>
          <w:rFonts w:hint="default" w:ascii="宋体" w:hAnsi="宋体" w:eastAsia="宋体"/>
          <w:b/>
          <w:sz w:val="30"/>
          <w:szCs w:val="30"/>
          <w:u w:val="single"/>
          <w:lang w:val="en-US" w:eastAsia="zh-CN"/>
        </w:rPr>
      </w:pPr>
      <w:r>
        <w:rPr>
          <w:rFonts w:hint="eastAsia" w:ascii="宋体" w:hAnsi="宋体"/>
          <w:b/>
          <w:sz w:val="30"/>
          <w:szCs w:val="30"/>
        </w:rPr>
        <w:t>项目名称：</w:t>
      </w:r>
      <w:r>
        <w:rPr>
          <w:rFonts w:hint="eastAsia" w:ascii="宋体" w:hAnsi="宋体"/>
          <w:b/>
          <w:sz w:val="30"/>
          <w:szCs w:val="30"/>
          <w:u w:val="single"/>
          <w:lang w:val="en-US" w:eastAsia="zh-CN"/>
        </w:rPr>
        <w:t xml:space="preserve">                       </w:t>
      </w:r>
    </w:p>
    <w:p w14:paraId="6570ECB4">
      <w:pPr>
        <w:spacing w:line="480" w:lineRule="auto"/>
        <w:ind w:firstLine="419" w:firstLineChars="139"/>
        <w:rPr>
          <w:rFonts w:ascii="宋体" w:hAnsi="宋体"/>
          <w:b/>
          <w:sz w:val="30"/>
          <w:szCs w:val="30"/>
        </w:rPr>
      </w:pPr>
      <w:r>
        <w:rPr>
          <w:rFonts w:hint="eastAsia" w:ascii="宋体" w:hAnsi="宋体"/>
          <w:b/>
          <w:sz w:val="30"/>
          <w:szCs w:val="30"/>
          <w:lang w:eastAsia="zh-CN"/>
        </w:rPr>
        <w:t>采购人</w:t>
      </w:r>
      <w:r>
        <w:rPr>
          <w:rFonts w:hint="eastAsia" w:ascii="宋体" w:hAnsi="宋体"/>
          <w:b/>
          <w:sz w:val="30"/>
          <w:szCs w:val="30"/>
        </w:rPr>
        <w:t>：</w:t>
      </w:r>
      <w:r>
        <w:rPr>
          <w:rFonts w:hint="eastAsia" w:ascii="宋体" w:hAnsi="宋体"/>
          <w:b/>
          <w:sz w:val="30"/>
          <w:szCs w:val="30"/>
          <w:u w:val="single"/>
        </w:rPr>
        <w:t xml:space="preserve"> </w:t>
      </w:r>
      <w:r>
        <w:rPr>
          <w:rFonts w:ascii="宋体" w:hAnsi="宋体"/>
          <w:b/>
          <w:sz w:val="30"/>
          <w:szCs w:val="30"/>
          <w:u w:val="single"/>
        </w:rPr>
        <w:t xml:space="preserve">                        </w:t>
      </w:r>
    </w:p>
    <w:p w14:paraId="5FEF0D91">
      <w:pPr>
        <w:spacing w:line="480" w:lineRule="auto"/>
        <w:ind w:firstLine="419" w:firstLineChars="139"/>
        <w:rPr>
          <w:rFonts w:ascii="宋体" w:hAnsi="宋体"/>
          <w:b/>
          <w:sz w:val="30"/>
          <w:szCs w:val="30"/>
          <w:u w:val="single"/>
        </w:rPr>
      </w:pPr>
      <w:r>
        <w:rPr>
          <w:rFonts w:hint="eastAsia" w:ascii="宋体" w:hAnsi="宋体"/>
          <w:b/>
          <w:sz w:val="30"/>
          <w:szCs w:val="30"/>
          <w:lang w:eastAsia="zh-CN"/>
        </w:rPr>
        <w:t>供应商</w:t>
      </w:r>
      <w:r>
        <w:rPr>
          <w:rFonts w:hint="eastAsia" w:ascii="宋体" w:hAnsi="宋体"/>
          <w:b/>
          <w:sz w:val="30"/>
          <w:szCs w:val="30"/>
        </w:rPr>
        <w:t>：</w:t>
      </w:r>
      <w:r>
        <w:rPr>
          <w:rFonts w:hint="eastAsia" w:ascii="宋体" w:hAnsi="宋体"/>
          <w:b/>
          <w:sz w:val="30"/>
          <w:szCs w:val="30"/>
          <w:u w:val="single"/>
        </w:rPr>
        <w:t xml:space="preserve">      </w:t>
      </w:r>
      <w:r>
        <w:rPr>
          <w:rFonts w:ascii="宋体" w:hAnsi="宋体"/>
          <w:b/>
          <w:sz w:val="30"/>
          <w:szCs w:val="30"/>
          <w:u w:val="single"/>
        </w:rPr>
        <w:t xml:space="preserve">                  </w:t>
      </w:r>
    </w:p>
    <w:p w14:paraId="55E85B63">
      <w:pPr>
        <w:pStyle w:val="3"/>
        <w:ind w:firstLine="419" w:firstLineChars="139"/>
        <w:rPr>
          <w:rFonts w:hAnsi="宋体"/>
          <w:b/>
          <w:kern w:val="0"/>
          <w:sz w:val="30"/>
          <w:szCs w:val="30"/>
          <w:u w:val="single"/>
        </w:rPr>
      </w:pPr>
      <w:r>
        <w:rPr>
          <w:rFonts w:hint="eastAsia" w:hAnsi="宋体"/>
          <w:b/>
          <w:kern w:val="0"/>
          <w:sz w:val="30"/>
          <w:szCs w:val="30"/>
        </w:rPr>
        <w:t xml:space="preserve">日 </w:t>
      </w:r>
      <w:r>
        <w:rPr>
          <w:rFonts w:hAnsi="宋体"/>
          <w:b/>
          <w:kern w:val="0"/>
          <w:sz w:val="30"/>
          <w:szCs w:val="30"/>
        </w:rPr>
        <w:t xml:space="preserve">   </w:t>
      </w:r>
      <w:r>
        <w:rPr>
          <w:rFonts w:hint="eastAsia" w:hAnsi="宋体"/>
          <w:b/>
          <w:kern w:val="0"/>
          <w:sz w:val="30"/>
          <w:szCs w:val="30"/>
        </w:rPr>
        <w:t>期：</w:t>
      </w:r>
      <w:r>
        <w:rPr>
          <w:rFonts w:hint="eastAsia" w:hAnsi="宋体"/>
          <w:b/>
          <w:kern w:val="0"/>
          <w:sz w:val="30"/>
          <w:szCs w:val="30"/>
          <w:u w:val="single"/>
        </w:rPr>
        <w:t xml:space="preserve">               </w:t>
      </w:r>
      <w:r>
        <w:rPr>
          <w:rFonts w:hAnsi="宋体"/>
          <w:b/>
          <w:kern w:val="0"/>
          <w:sz w:val="30"/>
          <w:szCs w:val="30"/>
          <w:u w:val="single"/>
        </w:rPr>
        <w:t xml:space="preserve">       </w:t>
      </w:r>
    </w:p>
    <w:p w14:paraId="35C64914">
      <w:pPr>
        <w:pStyle w:val="3"/>
        <w:ind w:firstLine="602" w:firstLineChars="200"/>
        <w:rPr>
          <w:rFonts w:hAnsi="宋体"/>
          <w:b/>
          <w:kern w:val="0"/>
          <w:sz w:val="30"/>
          <w:szCs w:val="30"/>
          <w:u w:val="single"/>
        </w:rPr>
      </w:pPr>
    </w:p>
    <w:p w14:paraId="45F36491">
      <w:pPr>
        <w:rPr>
          <w:rFonts w:hAnsi="宋体"/>
          <w:b/>
          <w:kern w:val="0"/>
          <w:sz w:val="30"/>
          <w:szCs w:val="30"/>
          <w:u w:val="single"/>
        </w:rPr>
      </w:pPr>
      <w:r>
        <w:rPr>
          <w:rFonts w:hAnsi="宋体"/>
          <w:b/>
          <w:kern w:val="0"/>
          <w:sz w:val="30"/>
          <w:szCs w:val="30"/>
          <w:u w:val="single"/>
        </w:rPr>
        <w:br w:type="page"/>
      </w:r>
    </w:p>
    <w:p w14:paraId="0E1FBF38">
      <w:pPr>
        <w:pStyle w:val="3"/>
        <w:ind w:firstLine="602" w:firstLineChars="200"/>
        <w:rPr>
          <w:rFonts w:hAnsi="宋体"/>
          <w:b/>
          <w:kern w:val="0"/>
          <w:sz w:val="30"/>
          <w:szCs w:val="30"/>
          <w:u w:val="single"/>
        </w:rPr>
      </w:pPr>
    </w:p>
    <w:p w14:paraId="53FF2CCB">
      <w:pPr>
        <w:widowControl/>
        <w:spacing w:line="360" w:lineRule="auto"/>
        <w:jc w:val="left"/>
        <w:rPr>
          <w:rFonts w:hint="eastAsia" w:ascii="宋体" w:hAnsi="宋体" w:eastAsia="宋体" w:cs="宋体"/>
          <w:b/>
          <w:bCs/>
          <w:color w:val="000000"/>
          <w:kern w:val="0"/>
          <w:sz w:val="24"/>
          <w:szCs w:val="24"/>
          <w:lang w:bidi="ar"/>
        </w:rPr>
      </w:pPr>
      <w:r>
        <w:rPr>
          <w:rFonts w:hint="eastAsia" w:ascii="宋体" w:hAnsi="宋体" w:eastAsia="宋体" w:cs="宋体"/>
          <w:b/>
          <w:bCs/>
          <w:color w:val="000000"/>
          <w:kern w:val="0"/>
          <w:sz w:val="24"/>
          <w:szCs w:val="24"/>
          <w:lang w:bidi="ar"/>
        </w:rPr>
        <w:t>采购人（全称）：</w:t>
      </w:r>
      <w:r>
        <w:rPr>
          <w:rFonts w:hint="eastAsia" w:ascii="宋体" w:hAnsi="宋体" w:eastAsia="宋体" w:cs="宋体"/>
          <w:color w:val="333333"/>
          <w:kern w:val="0"/>
          <w:sz w:val="24"/>
          <w:szCs w:val="24"/>
          <w:u w:val="single"/>
          <w:lang w:bidi="ar"/>
        </w:rPr>
        <w:t xml:space="preserve">                                  </w:t>
      </w:r>
    </w:p>
    <w:p w14:paraId="56340AB5">
      <w:pPr>
        <w:widowControl/>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bidi="ar"/>
        </w:rPr>
        <w:t>供应商（全称）：</w:t>
      </w:r>
      <w:r>
        <w:rPr>
          <w:rFonts w:hint="eastAsia" w:ascii="宋体" w:hAnsi="宋体" w:eastAsia="宋体" w:cs="宋体"/>
          <w:color w:val="333333"/>
          <w:kern w:val="0"/>
          <w:sz w:val="24"/>
          <w:szCs w:val="24"/>
          <w:u w:val="single"/>
          <w:lang w:bidi="ar"/>
        </w:rPr>
        <w:t xml:space="preserve">                                  </w:t>
      </w:r>
      <w:r>
        <w:rPr>
          <w:rFonts w:hint="eastAsia" w:ascii="宋体" w:hAnsi="宋体" w:eastAsia="宋体" w:cs="宋体"/>
          <w:b/>
          <w:bCs/>
          <w:color w:val="000000"/>
          <w:kern w:val="0"/>
          <w:sz w:val="24"/>
          <w:szCs w:val="24"/>
          <w:lang w:bidi="ar"/>
        </w:rPr>
        <w:t xml:space="preserve"> </w:t>
      </w:r>
    </w:p>
    <w:p w14:paraId="20200A2B">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根据（</w:t>
      </w:r>
      <w:r>
        <w:rPr>
          <w:rFonts w:hint="eastAsia" w:ascii="宋体" w:hAnsi="宋体" w:eastAsia="宋体" w:cs="宋体"/>
          <w:color w:val="000000"/>
          <w:kern w:val="0"/>
          <w:sz w:val="24"/>
          <w:szCs w:val="24"/>
          <w:u w:val="single"/>
          <w:lang w:bidi="ar"/>
        </w:rPr>
        <w:t xml:space="preserve">                项目名称</w:t>
      </w:r>
      <w:r>
        <w:rPr>
          <w:rFonts w:hint="eastAsia" w:ascii="宋体" w:hAnsi="宋体" w:eastAsia="宋体" w:cs="宋体"/>
          <w:color w:val="000000"/>
          <w:kern w:val="0"/>
          <w:sz w:val="24"/>
          <w:szCs w:val="24"/>
          <w:lang w:bidi="ar"/>
        </w:rPr>
        <w:t xml:space="preserve">）的采购结果，按照《中华人民共和国民法典》及其他有关法律、法规，遵循平等、自愿、公平和诚信的原则，双方就下述项目范围与相关服务事项协商一致，订立本合同。 </w:t>
      </w:r>
    </w:p>
    <w:p w14:paraId="4B4BF496">
      <w:pPr>
        <w:widowControl/>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bidi="ar"/>
        </w:rPr>
        <w:t xml:space="preserve">一、项目概况 </w:t>
      </w:r>
    </w:p>
    <w:p w14:paraId="62A9E129">
      <w:pPr>
        <w:widowControl/>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1、项目名称：</w:t>
      </w:r>
      <w:r>
        <w:rPr>
          <w:rFonts w:hint="eastAsia" w:ascii="宋体" w:hAnsi="宋体" w:eastAsia="宋体" w:cs="宋体"/>
          <w:color w:val="333333"/>
          <w:kern w:val="0"/>
          <w:sz w:val="24"/>
          <w:szCs w:val="24"/>
          <w:u w:val="single"/>
          <w:lang w:bidi="ar"/>
        </w:rPr>
        <w:t xml:space="preserve">                                    </w:t>
      </w:r>
      <w:r>
        <w:rPr>
          <w:rFonts w:hint="eastAsia" w:ascii="宋体" w:hAnsi="宋体" w:eastAsia="宋体" w:cs="宋体"/>
          <w:color w:val="000000"/>
          <w:kern w:val="0"/>
          <w:sz w:val="24"/>
          <w:szCs w:val="24"/>
          <w:lang w:bidi="ar"/>
        </w:rPr>
        <w:t xml:space="preserve">； </w:t>
      </w:r>
    </w:p>
    <w:p w14:paraId="48A43939">
      <w:pPr>
        <w:widowControl/>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2、项目地点：</w:t>
      </w:r>
      <w:r>
        <w:rPr>
          <w:rFonts w:hint="eastAsia" w:ascii="宋体" w:hAnsi="宋体" w:eastAsia="宋体" w:cs="宋体"/>
          <w:color w:val="000000"/>
          <w:kern w:val="0"/>
          <w:sz w:val="24"/>
          <w:szCs w:val="24"/>
          <w:u w:val="single"/>
          <w:lang w:bidi="ar"/>
        </w:rPr>
        <w:t xml:space="preserve">                                   </w:t>
      </w:r>
      <w:r>
        <w:rPr>
          <w:rFonts w:hint="eastAsia" w:ascii="宋体" w:hAnsi="宋体" w:eastAsia="宋体" w:cs="宋体"/>
          <w:color w:val="000000"/>
          <w:kern w:val="0"/>
          <w:sz w:val="24"/>
          <w:szCs w:val="24"/>
          <w:lang w:bidi="ar"/>
        </w:rPr>
        <w:t xml:space="preserve"> ； </w:t>
      </w:r>
    </w:p>
    <w:p w14:paraId="572C0894">
      <w:pPr>
        <w:widowControl/>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bidi="ar"/>
        </w:rPr>
        <w:t xml:space="preserve">二、组成本合同的文件 </w:t>
      </w:r>
    </w:p>
    <w:p w14:paraId="48765F19">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1、</w:t>
      </w:r>
      <w:bookmarkStart w:id="0" w:name="_Hlk106194161"/>
      <w:r>
        <w:rPr>
          <w:rFonts w:hint="eastAsia" w:ascii="宋体" w:hAnsi="宋体" w:eastAsia="宋体" w:cs="宋体"/>
          <w:color w:val="000000"/>
          <w:sz w:val="24"/>
          <w:szCs w:val="24"/>
          <w:lang w:bidi="ar"/>
        </w:rPr>
        <w:t>中标通知书、招标文件、投标文件、澄清、补充文件</w:t>
      </w:r>
      <w:r>
        <w:rPr>
          <w:rFonts w:hint="eastAsia" w:ascii="宋体" w:hAnsi="宋体" w:eastAsia="宋体" w:cs="宋体"/>
          <w:color w:val="000000"/>
          <w:kern w:val="0"/>
          <w:sz w:val="24"/>
          <w:szCs w:val="24"/>
          <w:lang w:bidi="ar"/>
        </w:rPr>
        <w:t xml:space="preserve">； </w:t>
      </w:r>
      <w:bookmarkEnd w:id="0"/>
    </w:p>
    <w:p w14:paraId="4723088B">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2、相关服务建议书； </w:t>
      </w:r>
    </w:p>
    <w:p w14:paraId="609B36AD">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3、本合同签订后，双方依法签订的补充协议也是本合同文件的组成部分。 </w:t>
      </w:r>
    </w:p>
    <w:p w14:paraId="3666CC82">
      <w:pPr>
        <w:widowControl/>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bidi="ar"/>
        </w:rPr>
        <w:t>三、合同</w:t>
      </w:r>
      <w:r>
        <w:rPr>
          <w:rFonts w:hint="eastAsia" w:ascii="宋体" w:hAnsi="宋体" w:eastAsia="宋体" w:cs="宋体"/>
          <w:b/>
          <w:bCs/>
          <w:color w:val="000000"/>
          <w:kern w:val="0"/>
          <w:sz w:val="24"/>
          <w:szCs w:val="24"/>
          <w:lang w:val="en-US" w:eastAsia="zh-CN" w:bidi="ar"/>
        </w:rPr>
        <w:t>金额</w:t>
      </w:r>
      <w:r>
        <w:rPr>
          <w:rFonts w:hint="eastAsia" w:ascii="宋体" w:hAnsi="宋体" w:eastAsia="宋体" w:cs="宋体"/>
          <w:b/>
          <w:bCs/>
          <w:color w:val="000000"/>
          <w:kern w:val="0"/>
          <w:sz w:val="24"/>
          <w:szCs w:val="24"/>
          <w:lang w:bidi="ar"/>
        </w:rPr>
        <w:t xml:space="preserve"> </w:t>
      </w:r>
    </w:p>
    <w:p w14:paraId="568E0470">
      <w:pPr>
        <w:widowControl/>
        <w:spacing w:line="360" w:lineRule="auto"/>
        <w:ind w:firstLine="482" w:firstLineChars="200"/>
        <w:jc w:val="left"/>
        <w:rPr>
          <w:rFonts w:hint="eastAsia" w:ascii="宋体" w:hAnsi="宋体" w:eastAsia="宋体" w:cs="宋体"/>
          <w:sz w:val="24"/>
          <w:szCs w:val="24"/>
        </w:rPr>
      </w:pPr>
      <w:r>
        <w:rPr>
          <w:rFonts w:hint="eastAsia" w:ascii="宋体" w:hAnsi="宋体" w:eastAsia="宋体" w:cs="宋体"/>
          <w:b/>
          <w:bCs/>
          <w:color w:val="000000"/>
          <w:kern w:val="0"/>
          <w:sz w:val="24"/>
          <w:szCs w:val="24"/>
          <w:lang w:bidi="ar"/>
        </w:rPr>
        <w:t>合同</w:t>
      </w:r>
      <w:r>
        <w:rPr>
          <w:rFonts w:hint="eastAsia" w:ascii="宋体" w:hAnsi="宋体" w:eastAsia="宋体" w:cs="宋体"/>
          <w:b/>
          <w:bCs/>
          <w:color w:val="000000"/>
          <w:kern w:val="0"/>
          <w:sz w:val="24"/>
          <w:szCs w:val="24"/>
          <w:lang w:val="en-US" w:eastAsia="zh-CN" w:bidi="ar"/>
        </w:rPr>
        <w:t>金额为人民币</w:t>
      </w:r>
      <w:r>
        <w:rPr>
          <w:rFonts w:hint="eastAsia" w:ascii="宋体" w:hAnsi="宋体" w:eastAsia="宋体" w:cs="宋体"/>
          <w:color w:val="000000"/>
          <w:kern w:val="0"/>
          <w:sz w:val="24"/>
          <w:szCs w:val="24"/>
          <w:lang w:bidi="ar"/>
        </w:rPr>
        <w:t xml:space="preserve">（大写）： </w:t>
      </w:r>
      <w:r>
        <w:rPr>
          <w:rFonts w:hint="eastAsia" w:ascii="宋体" w:hAnsi="宋体" w:eastAsia="宋体" w:cs="宋体"/>
          <w:color w:val="000000"/>
          <w:kern w:val="0"/>
          <w:sz w:val="24"/>
          <w:szCs w:val="24"/>
          <w:u w:val="single"/>
          <w:lang w:bidi="ar"/>
        </w:rPr>
        <w:t xml:space="preserve">                              </w:t>
      </w:r>
      <w:r>
        <w:rPr>
          <w:rFonts w:hint="eastAsia" w:ascii="宋体" w:hAnsi="宋体" w:eastAsia="宋体" w:cs="宋体"/>
          <w:color w:val="000000"/>
          <w:kern w:val="0"/>
          <w:sz w:val="24"/>
          <w:szCs w:val="24"/>
          <w:lang w:bidi="ar"/>
        </w:rPr>
        <w:t>（¥</w:t>
      </w:r>
      <w:r>
        <w:rPr>
          <w:rFonts w:hint="eastAsia" w:ascii="宋体" w:hAnsi="宋体" w:eastAsia="宋体" w:cs="宋体"/>
          <w:color w:val="333333"/>
          <w:kern w:val="0"/>
          <w:sz w:val="24"/>
          <w:szCs w:val="24"/>
          <w:u w:val="single"/>
          <w:lang w:bidi="ar"/>
        </w:rPr>
        <w:t xml:space="preserve">              </w:t>
      </w:r>
      <w:r>
        <w:rPr>
          <w:rFonts w:hint="eastAsia" w:ascii="宋体" w:hAnsi="宋体" w:eastAsia="宋体" w:cs="宋体"/>
          <w:color w:val="000000"/>
          <w:kern w:val="0"/>
          <w:sz w:val="24"/>
          <w:szCs w:val="24"/>
          <w:lang w:bidi="ar"/>
        </w:rPr>
        <w:t xml:space="preserve">）； </w:t>
      </w:r>
    </w:p>
    <w:p w14:paraId="1A3B87D5">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合同总价即中标价，</w:t>
      </w:r>
      <w:r>
        <w:rPr>
          <w:rFonts w:hint="eastAsia" w:ascii="宋体" w:hAnsi="宋体" w:eastAsia="宋体" w:cs="宋体"/>
          <w:color w:val="000000"/>
          <w:kern w:val="0"/>
          <w:sz w:val="24"/>
          <w:szCs w:val="24"/>
          <w:lang w:val="en-US" w:eastAsia="zh-CN" w:bidi="ar"/>
        </w:rPr>
        <w:t>是指完成本次采购工作所需的全部费用，</w:t>
      </w:r>
      <w:r>
        <w:rPr>
          <w:rFonts w:hint="eastAsia" w:ascii="宋体" w:hAnsi="宋体" w:eastAsia="宋体" w:cs="宋体"/>
          <w:color w:val="000000"/>
          <w:kern w:val="0"/>
          <w:sz w:val="24"/>
          <w:szCs w:val="24"/>
          <w:lang w:bidi="ar"/>
        </w:rPr>
        <w:t>合同总价一次确认，不受市场价变化或实际工作量变化的影响。</w:t>
      </w:r>
      <w:r>
        <w:rPr>
          <w:rFonts w:hint="eastAsia" w:ascii="宋体" w:hAnsi="宋体" w:eastAsia="宋体" w:cs="宋体"/>
          <w:color w:val="000000"/>
          <w:kern w:val="0"/>
          <w:sz w:val="24"/>
          <w:szCs w:val="24"/>
          <w:lang w:val="en-US" w:eastAsia="zh-CN" w:bidi="ar"/>
        </w:rPr>
        <w:t>包括但不限于货物的制造、包装、运输、装卸、安装、保险、检测、验收、税金等一切费用。</w:t>
      </w:r>
      <w:r>
        <w:rPr>
          <w:rFonts w:hint="eastAsia" w:ascii="宋体" w:hAnsi="宋体" w:eastAsia="宋体" w:cs="宋体"/>
          <w:color w:val="000000"/>
          <w:kern w:val="0"/>
          <w:sz w:val="24"/>
          <w:szCs w:val="24"/>
          <w:lang w:bidi="ar"/>
        </w:rPr>
        <w:t xml:space="preserve">合同价格为含税价，供应商提供产品发生的一切税（包括增值税）费等都已包含于合同价款中。 </w:t>
      </w:r>
    </w:p>
    <w:p w14:paraId="56D05811">
      <w:pPr>
        <w:widowControl/>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bidi="ar"/>
        </w:rPr>
        <w:t>四、结算方式：</w:t>
      </w:r>
    </w:p>
    <w:p w14:paraId="79EBB5D4">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（1）结算单位：银行转账，由采购人以人民币负责结算。 </w:t>
      </w:r>
    </w:p>
    <w:p w14:paraId="161893F0">
      <w:pPr>
        <w:widowControl/>
        <w:spacing w:line="360" w:lineRule="auto"/>
        <w:ind w:firstLine="480" w:firstLineChars="200"/>
        <w:jc w:val="left"/>
        <w:rPr>
          <w:rFonts w:hint="eastAsia" w:ascii="宋体" w:hAnsi="宋体" w:eastAsia="宋体" w:cs="宋体"/>
          <w:color w:val="auto"/>
          <w:kern w:val="0"/>
          <w:sz w:val="24"/>
          <w:szCs w:val="24"/>
          <w:lang w:bidi="ar"/>
        </w:rPr>
      </w:pPr>
      <w:r>
        <w:rPr>
          <w:rFonts w:hint="eastAsia" w:ascii="宋体" w:hAnsi="宋体" w:eastAsia="宋体" w:cs="宋体"/>
          <w:color w:val="000000"/>
          <w:kern w:val="0"/>
          <w:sz w:val="24"/>
          <w:szCs w:val="24"/>
          <w:lang w:bidi="ar"/>
        </w:rPr>
        <w:t>（2）付款方式：①乙方交付全部货物完成安装调试，供货单位将相关质量证明文件及供应产品的合法来源渠道证明(包括但不限于销售协议、代理协议、原厂授权等)交付,采购单位书面确认完成验收如无相关服务等问题后，采购人向供货商依据财政投资评审审定的价款无息支付至总合同价款</w:t>
      </w:r>
      <w:r>
        <w:rPr>
          <w:rFonts w:hint="eastAsia" w:ascii="宋体" w:hAnsi="宋体" w:cs="宋体"/>
          <w:color w:val="000000"/>
          <w:kern w:val="0"/>
          <w:sz w:val="24"/>
          <w:szCs w:val="24"/>
          <w:lang w:eastAsia="zh-CN" w:bidi="ar"/>
        </w:rPr>
        <w:t>。</w:t>
      </w:r>
      <w:r>
        <w:rPr>
          <w:rFonts w:hint="eastAsia" w:ascii="宋体" w:hAnsi="宋体" w:eastAsia="宋体" w:cs="宋体"/>
          <w:color w:val="000000"/>
          <w:kern w:val="0"/>
          <w:sz w:val="24"/>
          <w:szCs w:val="24"/>
          <w:lang w:bidi="ar"/>
        </w:rPr>
        <w:t>②付款前，供货单位应根据采购单位需要提供等额增值税普通发票给采购单位，附详细清单，包括成品规格（出厂合格证）、主要材料规格等</w:t>
      </w:r>
      <w:r>
        <w:rPr>
          <w:rFonts w:hint="eastAsia" w:ascii="宋体" w:hAnsi="宋体" w:eastAsia="宋体" w:cs="宋体"/>
          <w:color w:val="auto"/>
          <w:kern w:val="0"/>
          <w:sz w:val="24"/>
          <w:szCs w:val="24"/>
          <w:lang w:bidi="ar"/>
        </w:rPr>
        <w:t xml:space="preserve">。 </w:t>
      </w:r>
    </w:p>
    <w:p w14:paraId="4E042F28">
      <w:pPr>
        <w:widowControl/>
        <w:spacing w:line="360" w:lineRule="auto"/>
        <w:jc w:val="left"/>
        <w:rPr>
          <w:rFonts w:hint="eastAsia" w:ascii="宋体" w:hAnsi="宋体" w:eastAsia="宋体" w:cs="宋体"/>
          <w:color w:val="auto"/>
          <w:sz w:val="24"/>
          <w:szCs w:val="24"/>
        </w:rPr>
      </w:pPr>
      <w:r>
        <w:rPr>
          <w:rFonts w:hint="eastAsia" w:ascii="宋体" w:hAnsi="宋体" w:eastAsia="宋体" w:cs="宋体"/>
          <w:b/>
          <w:bCs/>
          <w:color w:val="auto"/>
          <w:kern w:val="0"/>
          <w:sz w:val="24"/>
          <w:szCs w:val="24"/>
          <w:lang w:bidi="ar"/>
        </w:rPr>
        <w:t>五、交货地点、交货期及质保期</w:t>
      </w:r>
    </w:p>
    <w:p w14:paraId="778B868A">
      <w:pPr>
        <w:widowControl/>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 xml:space="preserve">1、交货地点：采购人指定地点 </w:t>
      </w:r>
    </w:p>
    <w:p w14:paraId="1350BB4D">
      <w:pPr>
        <w:tabs>
          <w:tab w:val="left" w:pos="1103"/>
        </w:tabs>
        <w:spacing w:line="360" w:lineRule="auto"/>
        <w:ind w:firstLine="480" w:firstLineChars="200"/>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2、交货期：</w:t>
      </w:r>
      <w:bookmarkStart w:id="1" w:name="_GoBack"/>
      <w:bookmarkEnd w:id="1"/>
      <w:r>
        <w:rPr>
          <w:rFonts w:hint="eastAsia" w:ascii="宋体" w:hAnsi="宋体" w:eastAsia="宋体" w:cs="宋体"/>
          <w:color w:val="auto"/>
          <w:kern w:val="0"/>
          <w:sz w:val="24"/>
          <w:szCs w:val="24"/>
          <w:lang w:bidi="ar"/>
        </w:rPr>
        <w:t>合同签订后，15日历天内完成供货。</w:t>
      </w:r>
    </w:p>
    <w:p w14:paraId="18E468DC">
      <w:pPr>
        <w:tabs>
          <w:tab w:val="left" w:pos="1103"/>
        </w:tabs>
        <w:spacing w:line="360" w:lineRule="auto"/>
        <w:ind w:firstLine="480" w:firstLineChars="200"/>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3、质保期：本项目的质保期为整体验收合格后</w:t>
      </w:r>
      <w:r>
        <w:rPr>
          <w:rFonts w:hint="eastAsia" w:ascii="宋体" w:hAnsi="宋体" w:cs="宋体"/>
          <w:color w:val="auto"/>
          <w:kern w:val="0"/>
          <w:sz w:val="24"/>
          <w:szCs w:val="24"/>
          <w:lang w:val="en-US" w:eastAsia="zh-CN" w:bidi="ar"/>
        </w:rPr>
        <w:t>1</w:t>
      </w:r>
      <w:r>
        <w:rPr>
          <w:rFonts w:hint="eastAsia" w:ascii="宋体" w:hAnsi="宋体" w:eastAsia="宋体" w:cs="宋体"/>
          <w:color w:val="auto"/>
          <w:kern w:val="0"/>
          <w:sz w:val="24"/>
          <w:szCs w:val="24"/>
          <w:lang w:bidi="ar"/>
        </w:rPr>
        <w:t>年。（</w:t>
      </w:r>
      <w:r>
        <w:rPr>
          <w:rFonts w:hint="eastAsia" w:ascii="宋体" w:hAnsi="宋体" w:cs="宋体"/>
          <w:color w:val="auto"/>
          <w:kern w:val="0"/>
          <w:sz w:val="24"/>
          <w:szCs w:val="24"/>
          <w:lang w:eastAsia="zh-CN" w:bidi="ar"/>
        </w:rPr>
        <w:t>生产厂商</w:t>
      </w:r>
      <w:r>
        <w:rPr>
          <w:rFonts w:hint="eastAsia" w:ascii="宋体" w:hAnsi="宋体" w:eastAsia="宋体" w:cs="宋体"/>
          <w:color w:val="auto"/>
          <w:kern w:val="0"/>
          <w:sz w:val="24"/>
          <w:szCs w:val="24"/>
          <w:lang w:bidi="ar"/>
        </w:rPr>
        <w:t>有具体要求的，按</w:t>
      </w:r>
      <w:r>
        <w:rPr>
          <w:rFonts w:hint="eastAsia" w:ascii="宋体" w:hAnsi="宋体" w:cs="宋体"/>
          <w:color w:val="auto"/>
          <w:kern w:val="0"/>
          <w:sz w:val="24"/>
          <w:szCs w:val="24"/>
          <w:lang w:eastAsia="zh-CN" w:bidi="ar"/>
        </w:rPr>
        <w:t>具体要求时间</w:t>
      </w:r>
      <w:r>
        <w:rPr>
          <w:rFonts w:hint="eastAsia" w:ascii="宋体" w:hAnsi="宋体" w:eastAsia="宋体" w:cs="宋体"/>
          <w:color w:val="auto"/>
          <w:kern w:val="0"/>
          <w:sz w:val="24"/>
          <w:szCs w:val="24"/>
          <w:lang w:bidi="ar"/>
        </w:rPr>
        <w:t>提供质保）。中标人承诺的质保时间超过招标文件要求的，按其承诺时间质保。</w:t>
      </w:r>
    </w:p>
    <w:p w14:paraId="24463445">
      <w:pPr>
        <w:widowControl/>
        <w:spacing w:line="360" w:lineRule="auto"/>
        <w:jc w:val="left"/>
        <w:rPr>
          <w:rFonts w:hint="eastAsia" w:ascii="宋体" w:hAnsi="宋体" w:eastAsia="宋体" w:cs="宋体"/>
          <w:color w:val="auto"/>
          <w:sz w:val="24"/>
          <w:szCs w:val="24"/>
        </w:rPr>
      </w:pPr>
      <w:r>
        <w:rPr>
          <w:rFonts w:hint="eastAsia" w:ascii="宋体" w:hAnsi="宋体" w:eastAsia="宋体" w:cs="宋体"/>
          <w:b/>
          <w:bCs/>
          <w:color w:val="auto"/>
          <w:kern w:val="0"/>
          <w:sz w:val="24"/>
          <w:szCs w:val="24"/>
          <w:lang w:bidi="ar"/>
        </w:rPr>
        <w:t xml:space="preserve">六、双方承诺 </w:t>
      </w:r>
    </w:p>
    <w:p w14:paraId="141FBF0C">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auto"/>
          <w:kern w:val="0"/>
          <w:sz w:val="24"/>
          <w:szCs w:val="24"/>
          <w:lang w:bidi="ar"/>
        </w:rPr>
        <w:t>1、供应商向采购人承诺，按照本合同约定提供相关服务。</w:t>
      </w:r>
      <w:r>
        <w:rPr>
          <w:rFonts w:hint="eastAsia" w:ascii="宋体" w:hAnsi="宋体" w:eastAsia="宋体" w:cs="宋体"/>
          <w:color w:val="000000"/>
          <w:kern w:val="0"/>
          <w:sz w:val="24"/>
          <w:szCs w:val="24"/>
          <w:lang w:bidi="ar"/>
        </w:rPr>
        <w:t xml:space="preserve"> </w:t>
      </w:r>
    </w:p>
    <w:p w14:paraId="773CA54D">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2、采购人向供应商承诺，按照本合同约定支付服务款项。 </w:t>
      </w:r>
    </w:p>
    <w:p w14:paraId="645D37B7">
      <w:pPr>
        <w:widowControl/>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bidi="ar"/>
        </w:rPr>
        <w:t xml:space="preserve">七、内容及要求： </w:t>
      </w:r>
    </w:p>
    <w:p w14:paraId="111C47A8">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即交付的产品、服务内容、数量与投标文件、招标文件等所指明的，或者与本合同所指明的产品、服务内容相一致。 </w:t>
      </w:r>
    </w:p>
    <w:p w14:paraId="66627927">
      <w:pPr>
        <w:widowControl/>
        <w:spacing w:line="360" w:lineRule="auto"/>
        <w:jc w:val="center"/>
        <w:rPr>
          <w:rFonts w:hint="eastAsia" w:ascii="宋体" w:hAnsi="宋体" w:eastAsia="宋体" w:cs="宋体"/>
          <w:b/>
          <w:bCs/>
          <w:color w:val="000000"/>
          <w:kern w:val="0"/>
          <w:sz w:val="24"/>
          <w:szCs w:val="24"/>
          <w:lang w:bidi="ar"/>
        </w:rPr>
      </w:pPr>
      <w:r>
        <w:rPr>
          <w:rFonts w:hint="eastAsia" w:ascii="宋体" w:hAnsi="宋体" w:eastAsia="宋体" w:cs="宋体"/>
          <w:b/>
          <w:bCs/>
          <w:color w:val="000000"/>
          <w:kern w:val="0"/>
          <w:sz w:val="24"/>
          <w:szCs w:val="24"/>
          <w:lang w:bidi="ar"/>
        </w:rPr>
        <w:t>供货内容一览表</w:t>
      </w:r>
    </w:p>
    <w:tbl>
      <w:tblPr>
        <w:tblStyle w:val="5"/>
        <w:tblW w:w="9432" w:type="dxa"/>
        <w:tblInd w:w="96" w:type="dxa"/>
        <w:tblLayout w:type="fixed"/>
        <w:tblCellMar>
          <w:top w:w="0" w:type="dxa"/>
          <w:left w:w="108" w:type="dxa"/>
          <w:bottom w:w="0" w:type="dxa"/>
          <w:right w:w="108" w:type="dxa"/>
        </w:tblCellMar>
      </w:tblPr>
      <w:tblGrid>
        <w:gridCol w:w="703"/>
        <w:gridCol w:w="1286"/>
        <w:gridCol w:w="1124"/>
        <w:gridCol w:w="1589"/>
        <w:gridCol w:w="917"/>
        <w:gridCol w:w="800"/>
        <w:gridCol w:w="1417"/>
        <w:gridCol w:w="1596"/>
      </w:tblGrid>
      <w:tr w14:paraId="4C17D2B3">
        <w:tblPrEx>
          <w:tblCellMar>
            <w:top w:w="0" w:type="dxa"/>
            <w:left w:w="108" w:type="dxa"/>
            <w:bottom w:w="0" w:type="dxa"/>
            <w:right w:w="108" w:type="dxa"/>
          </w:tblCellMar>
        </w:tblPrEx>
        <w:trPr>
          <w:trHeight w:val="629" w:hRule="atLeast"/>
        </w:trPr>
        <w:tc>
          <w:tcPr>
            <w:tcW w:w="703" w:type="dxa"/>
            <w:tcBorders>
              <w:top w:val="single" w:color="000000" w:sz="4" w:space="0"/>
              <w:left w:val="single" w:color="000000" w:sz="4" w:space="0"/>
              <w:bottom w:val="single" w:color="000000" w:sz="4" w:space="0"/>
              <w:right w:val="single" w:color="000000" w:sz="4" w:space="0"/>
            </w:tcBorders>
            <w:noWrap w:val="0"/>
            <w:vAlign w:val="center"/>
          </w:tcPr>
          <w:p w14:paraId="27AE5671">
            <w:pPr>
              <w:widowControl/>
              <w:spacing w:line="360" w:lineRule="auto"/>
              <w:jc w:val="center"/>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序号</w:t>
            </w:r>
          </w:p>
        </w:tc>
        <w:tc>
          <w:tcPr>
            <w:tcW w:w="1286" w:type="dxa"/>
            <w:tcBorders>
              <w:top w:val="single" w:color="000000" w:sz="4" w:space="0"/>
              <w:left w:val="single" w:color="000000" w:sz="4" w:space="0"/>
              <w:bottom w:val="single" w:color="000000" w:sz="4" w:space="0"/>
              <w:right w:val="single" w:color="000000" w:sz="4" w:space="0"/>
            </w:tcBorders>
            <w:noWrap w:val="0"/>
            <w:vAlign w:val="center"/>
          </w:tcPr>
          <w:p w14:paraId="0BE02775">
            <w:pPr>
              <w:widowControl/>
              <w:spacing w:line="360" w:lineRule="auto"/>
              <w:jc w:val="center"/>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货物名称</w:t>
            </w:r>
          </w:p>
        </w:tc>
        <w:tc>
          <w:tcPr>
            <w:tcW w:w="1124" w:type="dxa"/>
            <w:tcBorders>
              <w:top w:val="single" w:color="000000" w:sz="4" w:space="0"/>
              <w:left w:val="single" w:color="000000" w:sz="4" w:space="0"/>
              <w:bottom w:val="single" w:color="000000" w:sz="4" w:space="0"/>
              <w:right w:val="single" w:color="000000" w:sz="4" w:space="0"/>
            </w:tcBorders>
            <w:noWrap w:val="0"/>
            <w:vAlign w:val="center"/>
          </w:tcPr>
          <w:p w14:paraId="091849A7">
            <w:pPr>
              <w:widowControl/>
              <w:spacing w:line="360" w:lineRule="auto"/>
              <w:jc w:val="center"/>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品牌</w:t>
            </w:r>
          </w:p>
        </w:tc>
        <w:tc>
          <w:tcPr>
            <w:tcW w:w="1589" w:type="dxa"/>
            <w:tcBorders>
              <w:top w:val="single" w:color="000000" w:sz="4" w:space="0"/>
              <w:left w:val="single" w:color="000000" w:sz="4" w:space="0"/>
              <w:bottom w:val="single" w:color="000000" w:sz="4" w:space="0"/>
              <w:right w:val="single" w:color="000000" w:sz="4" w:space="0"/>
            </w:tcBorders>
            <w:noWrap w:val="0"/>
            <w:vAlign w:val="center"/>
          </w:tcPr>
          <w:p w14:paraId="1A46A878">
            <w:pPr>
              <w:widowControl/>
              <w:spacing w:line="360" w:lineRule="auto"/>
              <w:jc w:val="center"/>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规格、参数</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FA8EF1">
            <w:pPr>
              <w:widowControl/>
              <w:spacing w:line="360" w:lineRule="auto"/>
              <w:jc w:val="center"/>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数量</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011FD1AF">
            <w:pPr>
              <w:widowControl/>
              <w:spacing w:line="360" w:lineRule="auto"/>
              <w:jc w:val="center"/>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单位</w:t>
            </w:r>
          </w:p>
        </w:tc>
        <w:tc>
          <w:tcPr>
            <w:tcW w:w="1417" w:type="dxa"/>
            <w:tcBorders>
              <w:top w:val="single" w:color="000000" w:sz="4" w:space="0"/>
              <w:left w:val="single" w:color="000000" w:sz="4" w:space="0"/>
              <w:bottom w:val="single" w:color="000000" w:sz="4" w:space="0"/>
              <w:right w:val="single" w:color="000000" w:sz="4" w:space="0"/>
            </w:tcBorders>
            <w:noWrap w:val="0"/>
            <w:vAlign w:val="center"/>
          </w:tcPr>
          <w:p w14:paraId="19E3936C">
            <w:pPr>
              <w:widowControl/>
              <w:spacing w:line="360" w:lineRule="auto"/>
              <w:jc w:val="center"/>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单价（元）</w:t>
            </w:r>
          </w:p>
        </w:tc>
        <w:tc>
          <w:tcPr>
            <w:tcW w:w="1596" w:type="dxa"/>
            <w:tcBorders>
              <w:top w:val="single" w:color="000000" w:sz="4" w:space="0"/>
              <w:left w:val="single" w:color="000000" w:sz="4" w:space="0"/>
              <w:bottom w:val="single" w:color="000000" w:sz="4" w:space="0"/>
              <w:right w:val="single" w:color="000000" w:sz="4" w:space="0"/>
            </w:tcBorders>
            <w:noWrap w:val="0"/>
            <w:vAlign w:val="center"/>
          </w:tcPr>
          <w:p w14:paraId="0BD70192">
            <w:pPr>
              <w:widowControl/>
              <w:spacing w:line="360" w:lineRule="auto"/>
              <w:jc w:val="center"/>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合计（万元）</w:t>
            </w:r>
          </w:p>
        </w:tc>
      </w:tr>
      <w:tr w14:paraId="5B98C7FF">
        <w:tblPrEx>
          <w:tblCellMar>
            <w:top w:w="0" w:type="dxa"/>
            <w:left w:w="108" w:type="dxa"/>
            <w:bottom w:w="0" w:type="dxa"/>
            <w:right w:w="108" w:type="dxa"/>
          </w:tblCellMar>
        </w:tblPrEx>
        <w:trPr>
          <w:trHeight w:val="557" w:hRule="atLeast"/>
        </w:trPr>
        <w:tc>
          <w:tcPr>
            <w:tcW w:w="703" w:type="dxa"/>
            <w:tcBorders>
              <w:top w:val="single" w:color="000000" w:sz="4" w:space="0"/>
              <w:left w:val="single" w:color="000000" w:sz="4" w:space="0"/>
              <w:bottom w:val="single" w:color="000000" w:sz="4" w:space="0"/>
              <w:right w:val="single" w:color="000000" w:sz="4" w:space="0"/>
            </w:tcBorders>
            <w:noWrap w:val="0"/>
            <w:vAlign w:val="center"/>
          </w:tcPr>
          <w:p w14:paraId="3EC33F4D">
            <w:pPr>
              <w:widowControl/>
              <w:spacing w:line="360" w:lineRule="auto"/>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w:t>
            </w:r>
          </w:p>
        </w:tc>
        <w:tc>
          <w:tcPr>
            <w:tcW w:w="1286" w:type="dxa"/>
            <w:tcBorders>
              <w:top w:val="single" w:color="000000" w:sz="4" w:space="0"/>
              <w:left w:val="single" w:color="000000" w:sz="4" w:space="0"/>
              <w:bottom w:val="single" w:color="000000" w:sz="4" w:space="0"/>
              <w:right w:val="single" w:color="000000" w:sz="4" w:space="0"/>
            </w:tcBorders>
            <w:noWrap w:val="0"/>
            <w:vAlign w:val="center"/>
          </w:tcPr>
          <w:p w14:paraId="57B117F6">
            <w:pPr>
              <w:widowControl/>
              <w:spacing w:line="360" w:lineRule="auto"/>
              <w:jc w:val="center"/>
              <w:textAlignment w:val="center"/>
              <w:rPr>
                <w:rFonts w:hint="eastAsia" w:ascii="宋体" w:hAnsi="宋体" w:eastAsia="宋体" w:cs="宋体"/>
                <w:b/>
                <w:bCs/>
                <w:color w:val="000000"/>
                <w:kern w:val="0"/>
                <w:sz w:val="24"/>
                <w:szCs w:val="24"/>
                <w:lang w:bidi="ar"/>
              </w:rPr>
            </w:pPr>
          </w:p>
        </w:tc>
        <w:tc>
          <w:tcPr>
            <w:tcW w:w="1124" w:type="dxa"/>
            <w:tcBorders>
              <w:top w:val="single" w:color="000000" w:sz="4" w:space="0"/>
              <w:left w:val="single" w:color="000000" w:sz="4" w:space="0"/>
              <w:bottom w:val="single" w:color="000000" w:sz="4" w:space="0"/>
              <w:right w:val="single" w:color="000000" w:sz="4" w:space="0"/>
            </w:tcBorders>
            <w:noWrap w:val="0"/>
            <w:vAlign w:val="center"/>
          </w:tcPr>
          <w:p w14:paraId="20EE623A">
            <w:pPr>
              <w:widowControl/>
              <w:spacing w:line="360" w:lineRule="auto"/>
              <w:jc w:val="center"/>
              <w:textAlignment w:val="center"/>
              <w:rPr>
                <w:rFonts w:hint="eastAsia" w:ascii="宋体" w:hAnsi="宋体" w:eastAsia="宋体" w:cs="宋体"/>
                <w:b/>
                <w:bCs/>
                <w:color w:val="000000"/>
                <w:kern w:val="0"/>
                <w:sz w:val="24"/>
                <w:szCs w:val="24"/>
                <w:lang w:bidi="ar"/>
              </w:rPr>
            </w:pPr>
          </w:p>
        </w:tc>
        <w:tc>
          <w:tcPr>
            <w:tcW w:w="1589" w:type="dxa"/>
            <w:tcBorders>
              <w:top w:val="single" w:color="000000" w:sz="4" w:space="0"/>
              <w:left w:val="single" w:color="000000" w:sz="4" w:space="0"/>
              <w:bottom w:val="single" w:color="000000" w:sz="4" w:space="0"/>
              <w:right w:val="single" w:color="000000" w:sz="4" w:space="0"/>
            </w:tcBorders>
            <w:noWrap w:val="0"/>
            <w:vAlign w:val="center"/>
          </w:tcPr>
          <w:p w14:paraId="32C4A9F6">
            <w:pPr>
              <w:widowControl/>
              <w:spacing w:line="360" w:lineRule="auto"/>
              <w:jc w:val="center"/>
              <w:textAlignment w:val="center"/>
              <w:rPr>
                <w:rFonts w:hint="eastAsia" w:ascii="宋体" w:hAnsi="宋体" w:eastAsia="宋体" w:cs="宋体"/>
                <w:b/>
                <w:bCs/>
                <w:color w:val="000000"/>
                <w:kern w:val="0"/>
                <w:sz w:val="24"/>
                <w:szCs w:val="24"/>
                <w:lang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A015B7D">
            <w:pPr>
              <w:widowControl/>
              <w:spacing w:line="360" w:lineRule="auto"/>
              <w:jc w:val="center"/>
              <w:textAlignment w:val="center"/>
              <w:rPr>
                <w:rFonts w:hint="eastAsia" w:ascii="宋体" w:hAnsi="宋体" w:eastAsia="宋体" w:cs="宋体"/>
                <w:b/>
                <w:bCs/>
                <w:color w:val="000000"/>
                <w:kern w:val="0"/>
                <w:sz w:val="24"/>
                <w:szCs w:val="24"/>
                <w:lang w:bidi="ar"/>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618D2559">
            <w:pPr>
              <w:widowControl/>
              <w:spacing w:line="360" w:lineRule="auto"/>
              <w:jc w:val="center"/>
              <w:textAlignment w:val="center"/>
              <w:rPr>
                <w:rFonts w:hint="eastAsia" w:ascii="宋体" w:hAnsi="宋体" w:eastAsia="宋体" w:cs="宋体"/>
                <w:b/>
                <w:bCs/>
                <w:color w:val="000000"/>
                <w:kern w:val="0"/>
                <w:sz w:val="24"/>
                <w:szCs w:val="24"/>
                <w:lang w:bidi="ar"/>
              </w:rPr>
            </w:pPr>
          </w:p>
        </w:tc>
        <w:tc>
          <w:tcPr>
            <w:tcW w:w="1417" w:type="dxa"/>
            <w:tcBorders>
              <w:top w:val="single" w:color="000000" w:sz="4" w:space="0"/>
              <w:left w:val="single" w:color="000000" w:sz="4" w:space="0"/>
              <w:bottom w:val="single" w:color="000000" w:sz="4" w:space="0"/>
              <w:right w:val="single" w:color="000000" w:sz="4" w:space="0"/>
            </w:tcBorders>
            <w:noWrap w:val="0"/>
            <w:vAlign w:val="center"/>
          </w:tcPr>
          <w:p w14:paraId="6138B8F4">
            <w:pPr>
              <w:widowControl/>
              <w:spacing w:line="360" w:lineRule="auto"/>
              <w:jc w:val="center"/>
              <w:textAlignment w:val="center"/>
              <w:rPr>
                <w:rFonts w:hint="eastAsia" w:ascii="宋体" w:hAnsi="宋体" w:eastAsia="宋体" w:cs="宋体"/>
                <w:b/>
                <w:bCs/>
                <w:color w:val="000000"/>
                <w:kern w:val="0"/>
                <w:sz w:val="24"/>
                <w:szCs w:val="24"/>
                <w:lang w:bidi="ar"/>
              </w:rPr>
            </w:pPr>
          </w:p>
        </w:tc>
        <w:tc>
          <w:tcPr>
            <w:tcW w:w="1596" w:type="dxa"/>
            <w:tcBorders>
              <w:top w:val="single" w:color="000000" w:sz="4" w:space="0"/>
              <w:left w:val="single" w:color="000000" w:sz="4" w:space="0"/>
              <w:bottom w:val="single" w:color="000000" w:sz="4" w:space="0"/>
              <w:right w:val="single" w:color="000000" w:sz="4" w:space="0"/>
            </w:tcBorders>
            <w:noWrap w:val="0"/>
            <w:vAlign w:val="center"/>
          </w:tcPr>
          <w:p w14:paraId="4C18B695">
            <w:pPr>
              <w:widowControl/>
              <w:spacing w:line="360" w:lineRule="auto"/>
              <w:jc w:val="center"/>
              <w:textAlignment w:val="center"/>
              <w:rPr>
                <w:rFonts w:hint="eastAsia" w:ascii="宋体" w:hAnsi="宋体" w:eastAsia="宋体" w:cs="宋体"/>
                <w:b/>
                <w:bCs/>
                <w:color w:val="000000"/>
                <w:kern w:val="0"/>
                <w:sz w:val="24"/>
                <w:szCs w:val="24"/>
                <w:lang w:bidi="ar"/>
              </w:rPr>
            </w:pPr>
          </w:p>
        </w:tc>
      </w:tr>
      <w:tr w14:paraId="3EC624BE">
        <w:tblPrEx>
          <w:tblCellMar>
            <w:top w:w="0" w:type="dxa"/>
            <w:left w:w="108" w:type="dxa"/>
            <w:bottom w:w="0" w:type="dxa"/>
            <w:right w:w="108" w:type="dxa"/>
          </w:tblCellMar>
        </w:tblPrEx>
        <w:trPr>
          <w:trHeight w:val="551" w:hRule="atLeast"/>
        </w:trPr>
        <w:tc>
          <w:tcPr>
            <w:tcW w:w="703" w:type="dxa"/>
            <w:tcBorders>
              <w:top w:val="single" w:color="000000" w:sz="4" w:space="0"/>
              <w:left w:val="single" w:color="000000" w:sz="4" w:space="0"/>
              <w:bottom w:val="single" w:color="000000" w:sz="4" w:space="0"/>
              <w:right w:val="single" w:color="000000" w:sz="4" w:space="0"/>
            </w:tcBorders>
            <w:noWrap w:val="0"/>
            <w:vAlign w:val="center"/>
          </w:tcPr>
          <w:p w14:paraId="16C9AF20">
            <w:pPr>
              <w:widowControl/>
              <w:spacing w:line="360" w:lineRule="auto"/>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2</w:t>
            </w:r>
          </w:p>
        </w:tc>
        <w:tc>
          <w:tcPr>
            <w:tcW w:w="1286" w:type="dxa"/>
            <w:tcBorders>
              <w:top w:val="single" w:color="000000" w:sz="4" w:space="0"/>
              <w:left w:val="single" w:color="000000" w:sz="4" w:space="0"/>
              <w:bottom w:val="single" w:color="000000" w:sz="4" w:space="0"/>
              <w:right w:val="single" w:color="000000" w:sz="4" w:space="0"/>
            </w:tcBorders>
            <w:noWrap w:val="0"/>
            <w:vAlign w:val="center"/>
          </w:tcPr>
          <w:p w14:paraId="7C1F239D">
            <w:pPr>
              <w:widowControl/>
              <w:spacing w:line="360" w:lineRule="auto"/>
              <w:jc w:val="center"/>
              <w:textAlignment w:val="center"/>
              <w:rPr>
                <w:rFonts w:hint="eastAsia" w:ascii="宋体" w:hAnsi="宋体" w:eastAsia="宋体" w:cs="宋体"/>
                <w:b/>
                <w:bCs/>
                <w:color w:val="000000"/>
                <w:kern w:val="0"/>
                <w:sz w:val="24"/>
                <w:szCs w:val="24"/>
                <w:lang w:bidi="ar"/>
              </w:rPr>
            </w:pPr>
          </w:p>
        </w:tc>
        <w:tc>
          <w:tcPr>
            <w:tcW w:w="1124" w:type="dxa"/>
            <w:tcBorders>
              <w:top w:val="single" w:color="000000" w:sz="4" w:space="0"/>
              <w:left w:val="single" w:color="000000" w:sz="4" w:space="0"/>
              <w:bottom w:val="single" w:color="000000" w:sz="4" w:space="0"/>
              <w:right w:val="single" w:color="000000" w:sz="4" w:space="0"/>
            </w:tcBorders>
            <w:noWrap w:val="0"/>
            <w:vAlign w:val="center"/>
          </w:tcPr>
          <w:p w14:paraId="79420853">
            <w:pPr>
              <w:widowControl/>
              <w:spacing w:line="360" w:lineRule="auto"/>
              <w:jc w:val="center"/>
              <w:textAlignment w:val="center"/>
              <w:rPr>
                <w:rFonts w:hint="eastAsia" w:ascii="宋体" w:hAnsi="宋体" w:eastAsia="宋体" w:cs="宋体"/>
                <w:b/>
                <w:bCs/>
                <w:color w:val="000000"/>
                <w:kern w:val="0"/>
                <w:sz w:val="24"/>
                <w:szCs w:val="24"/>
                <w:lang w:bidi="ar"/>
              </w:rPr>
            </w:pPr>
          </w:p>
        </w:tc>
        <w:tc>
          <w:tcPr>
            <w:tcW w:w="1589" w:type="dxa"/>
            <w:tcBorders>
              <w:top w:val="single" w:color="000000" w:sz="4" w:space="0"/>
              <w:left w:val="single" w:color="000000" w:sz="4" w:space="0"/>
              <w:bottom w:val="single" w:color="000000" w:sz="4" w:space="0"/>
              <w:right w:val="single" w:color="000000" w:sz="4" w:space="0"/>
            </w:tcBorders>
            <w:noWrap w:val="0"/>
            <w:vAlign w:val="center"/>
          </w:tcPr>
          <w:p w14:paraId="3E2F30EF">
            <w:pPr>
              <w:widowControl/>
              <w:spacing w:line="360" w:lineRule="auto"/>
              <w:jc w:val="center"/>
              <w:textAlignment w:val="center"/>
              <w:rPr>
                <w:rFonts w:hint="eastAsia" w:ascii="宋体" w:hAnsi="宋体" w:eastAsia="宋体" w:cs="宋体"/>
                <w:b/>
                <w:bCs/>
                <w:color w:val="000000"/>
                <w:kern w:val="0"/>
                <w:sz w:val="24"/>
                <w:szCs w:val="24"/>
                <w:lang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224D3B8">
            <w:pPr>
              <w:widowControl/>
              <w:spacing w:line="360" w:lineRule="auto"/>
              <w:jc w:val="center"/>
              <w:textAlignment w:val="center"/>
              <w:rPr>
                <w:rFonts w:hint="eastAsia" w:ascii="宋体" w:hAnsi="宋体" w:eastAsia="宋体" w:cs="宋体"/>
                <w:b/>
                <w:bCs/>
                <w:color w:val="000000"/>
                <w:kern w:val="0"/>
                <w:sz w:val="24"/>
                <w:szCs w:val="24"/>
                <w:lang w:bidi="ar"/>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1BE1EFFB">
            <w:pPr>
              <w:widowControl/>
              <w:spacing w:line="360" w:lineRule="auto"/>
              <w:jc w:val="center"/>
              <w:textAlignment w:val="center"/>
              <w:rPr>
                <w:rFonts w:hint="eastAsia" w:ascii="宋体" w:hAnsi="宋体" w:eastAsia="宋体" w:cs="宋体"/>
                <w:b/>
                <w:bCs/>
                <w:color w:val="000000"/>
                <w:kern w:val="0"/>
                <w:sz w:val="24"/>
                <w:szCs w:val="24"/>
                <w:lang w:bidi="ar"/>
              </w:rPr>
            </w:pPr>
          </w:p>
        </w:tc>
        <w:tc>
          <w:tcPr>
            <w:tcW w:w="1417" w:type="dxa"/>
            <w:tcBorders>
              <w:top w:val="single" w:color="000000" w:sz="4" w:space="0"/>
              <w:left w:val="single" w:color="000000" w:sz="4" w:space="0"/>
              <w:bottom w:val="single" w:color="000000" w:sz="4" w:space="0"/>
              <w:right w:val="single" w:color="000000" w:sz="4" w:space="0"/>
            </w:tcBorders>
            <w:noWrap w:val="0"/>
            <w:vAlign w:val="center"/>
          </w:tcPr>
          <w:p w14:paraId="03CC4F66">
            <w:pPr>
              <w:widowControl/>
              <w:spacing w:line="360" w:lineRule="auto"/>
              <w:jc w:val="center"/>
              <w:textAlignment w:val="center"/>
              <w:rPr>
                <w:rFonts w:hint="eastAsia" w:ascii="宋体" w:hAnsi="宋体" w:eastAsia="宋体" w:cs="宋体"/>
                <w:b/>
                <w:bCs/>
                <w:color w:val="000000"/>
                <w:kern w:val="0"/>
                <w:sz w:val="24"/>
                <w:szCs w:val="24"/>
                <w:lang w:bidi="ar"/>
              </w:rPr>
            </w:pPr>
          </w:p>
        </w:tc>
        <w:tc>
          <w:tcPr>
            <w:tcW w:w="1596" w:type="dxa"/>
            <w:tcBorders>
              <w:top w:val="single" w:color="000000" w:sz="4" w:space="0"/>
              <w:left w:val="single" w:color="000000" w:sz="4" w:space="0"/>
              <w:bottom w:val="single" w:color="000000" w:sz="4" w:space="0"/>
              <w:right w:val="single" w:color="000000" w:sz="4" w:space="0"/>
            </w:tcBorders>
            <w:noWrap w:val="0"/>
            <w:vAlign w:val="center"/>
          </w:tcPr>
          <w:p w14:paraId="6085F2A1">
            <w:pPr>
              <w:widowControl/>
              <w:spacing w:line="360" w:lineRule="auto"/>
              <w:jc w:val="center"/>
              <w:textAlignment w:val="center"/>
              <w:rPr>
                <w:rFonts w:hint="eastAsia" w:ascii="宋体" w:hAnsi="宋体" w:eastAsia="宋体" w:cs="宋体"/>
                <w:b/>
                <w:bCs/>
                <w:color w:val="000000"/>
                <w:kern w:val="0"/>
                <w:sz w:val="24"/>
                <w:szCs w:val="24"/>
                <w:lang w:bidi="ar"/>
              </w:rPr>
            </w:pPr>
          </w:p>
        </w:tc>
      </w:tr>
      <w:tr w14:paraId="46BBD24B">
        <w:tblPrEx>
          <w:tblCellMar>
            <w:top w:w="0" w:type="dxa"/>
            <w:left w:w="108" w:type="dxa"/>
            <w:bottom w:w="0" w:type="dxa"/>
            <w:right w:w="108" w:type="dxa"/>
          </w:tblCellMar>
        </w:tblPrEx>
        <w:trPr>
          <w:trHeight w:val="573" w:hRule="atLeast"/>
        </w:trPr>
        <w:tc>
          <w:tcPr>
            <w:tcW w:w="703" w:type="dxa"/>
            <w:tcBorders>
              <w:top w:val="single" w:color="000000" w:sz="4" w:space="0"/>
              <w:left w:val="single" w:color="000000" w:sz="4" w:space="0"/>
              <w:bottom w:val="single" w:color="000000" w:sz="4" w:space="0"/>
              <w:right w:val="single" w:color="000000" w:sz="4" w:space="0"/>
            </w:tcBorders>
            <w:noWrap w:val="0"/>
            <w:vAlign w:val="center"/>
          </w:tcPr>
          <w:p w14:paraId="4578AE11">
            <w:pPr>
              <w:widowControl/>
              <w:spacing w:line="360" w:lineRule="auto"/>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3</w:t>
            </w:r>
          </w:p>
        </w:tc>
        <w:tc>
          <w:tcPr>
            <w:tcW w:w="1286" w:type="dxa"/>
            <w:tcBorders>
              <w:top w:val="single" w:color="000000" w:sz="4" w:space="0"/>
              <w:left w:val="single" w:color="000000" w:sz="4" w:space="0"/>
              <w:bottom w:val="single" w:color="000000" w:sz="4" w:space="0"/>
              <w:right w:val="single" w:color="000000" w:sz="4" w:space="0"/>
            </w:tcBorders>
            <w:noWrap w:val="0"/>
            <w:vAlign w:val="center"/>
          </w:tcPr>
          <w:p w14:paraId="42338E05">
            <w:pPr>
              <w:widowControl/>
              <w:spacing w:line="360" w:lineRule="auto"/>
              <w:jc w:val="center"/>
              <w:textAlignment w:val="center"/>
              <w:rPr>
                <w:rFonts w:hint="eastAsia" w:ascii="宋体" w:hAnsi="宋体" w:eastAsia="宋体" w:cs="宋体"/>
                <w:b/>
                <w:bCs/>
                <w:color w:val="000000"/>
                <w:kern w:val="0"/>
                <w:sz w:val="24"/>
                <w:szCs w:val="24"/>
                <w:lang w:bidi="ar"/>
              </w:rPr>
            </w:pPr>
          </w:p>
        </w:tc>
        <w:tc>
          <w:tcPr>
            <w:tcW w:w="1124" w:type="dxa"/>
            <w:tcBorders>
              <w:top w:val="single" w:color="000000" w:sz="4" w:space="0"/>
              <w:left w:val="single" w:color="000000" w:sz="4" w:space="0"/>
              <w:bottom w:val="single" w:color="000000" w:sz="4" w:space="0"/>
              <w:right w:val="single" w:color="000000" w:sz="4" w:space="0"/>
            </w:tcBorders>
            <w:noWrap w:val="0"/>
            <w:vAlign w:val="center"/>
          </w:tcPr>
          <w:p w14:paraId="3E33C928">
            <w:pPr>
              <w:widowControl/>
              <w:spacing w:line="360" w:lineRule="auto"/>
              <w:jc w:val="center"/>
              <w:textAlignment w:val="center"/>
              <w:rPr>
                <w:rFonts w:hint="eastAsia" w:ascii="宋体" w:hAnsi="宋体" w:eastAsia="宋体" w:cs="宋体"/>
                <w:b/>
                <w:bCs/>
                <w:color w:val="000000"/>
                <w:kern w:val="0"/>
                <w:sz w:val="24"/>
                <w:szCs w:val="24"/>
                <w:lang w:bidi="ar"/>
              </w:rPr>
            </w:pPr>
          </w:p>
        </w:tc>
        <w:tc>
          <w:tcPr>
            <w:tcW w:w="1589" w:type="dxa"/>
            <w:tcBorders>
              <w:top w:val="single" w:color="000000" w:sz="4" w:space="0"/>
              <w:left w:val="single" w:color="000000" w:sz="4" w:space="0"/>
              <w:bottom w:val="single" w:color="000000" w:sz="4" w:space="0"/>
              <w:right w:val="single" w:color="000000" w:sz="4" w:space="0"/>
            </w:tcBorders>
            <w:noWrap w:val="0"/>
            <w:vAlign w:val="center"/>
          </w:tcPr>
          <w:p w14:paraId="49587BA1">
            <w:pPr>
              <w:widowControl/>
              <w:spacing w:line="360" w:lineRule="auto"/>
              <w:jc w:val="center"/>
              <w:textAlignment w:val="center"/>
              <w:rPr>
                <w:rFonts w:hint="eastAsia" w:ascii="宋体" w:hAnsi="宋体" w:eastAsia="宋体" w:cs="宋体"/>
                <w:b/>
                <w:bCs/>
                <w:color w:val="000000"/>
                <w:kern w:val="0"/>
                <w:sz w:val="24"/>
                <w:szCs w:val="24"/>
                <w:lang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F32569">
            <w:pPr>
              <w:widowControl/>
              <w:spacing w:line="360" w:lineRule="auto"/>
              <w:jc w:val="center"/>
              <w:textAlignment w:val="center"/>
              <w:rPr>
                <w:rFonts w:hint="eastAsia" w:ascii="宋体" w:hAnsi="宋体" w:eastAsia="宋体" w:cs="宋体"/>
                <w:b/>
                <w:bCs/>
                <w:color w:val="000000"/>
                <w:kern w:val="0"/>
                <w:sz w:val="24"/>
                <w:szCs w:val="24"/>
                <w:lang w:bidi="ar"/>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06F6A2EC">
            <w:pPr>
              <w:widowControl/>
              <w:spacing w:line="360" w:lineRule="auto"/>
              <w:jc w:val="center"/>
              <w:textAlignment w:val="center"/>
              <w:rPr>
                <w:rFonts w:hint="eastAsia" w:ascii="宋体" w:hAnsi="宋体" w:eastAsia="宋体" w:cs="宋体"/>
                <w:b/>
                <w:bCs/>
                <w:color w:val="000000"/>
                <w:kern w:val="0"/>
                <w:sz w:val="24"/>
                <w:szCs w:val="24"/>
                <w:lang w:bidi="ar"/>
              </w:rPr>
            </w:pPr>
          </w:p>
        </w:tc>
        <w:tc>
          <w:tcPr>
            <w:tcW w:w="1417" w:type="dxa"/>
            <w:tcBorders>
              <w:top w:val="single" w:color="000000" w:sz="4" w:space="0"/>
              <w:left w:val="single" w:color="000000" w:sz="4" w:space="0"/>
              <w:bottom w:val="single" w:color="000000" w:sz="4" w:space="0"/>
              <w:right w:val="single" w:color="000000" w:sz="4" w:space="0"/>
            </w:tcBorders>
            <w:noWrap w:val="0"/>
            <w:vAlign w:val="center"/>
          </w:tcPr>
          <w:p w14:paraId="35525820">
            <w:pPr>
              <w:widowControl/>
              <w:spacing w:line="360" w:lineRule="auto"/>
              <w:jc w:val="center"/>
              <w:textAlignment w:val="center"/>
              <w:rPr>
                <w:rFonts w:hint="eastAsia" w:ascii="宋体" w:hAnsi="宋体" w:eastAsia="宋体" w:cs="宋体"/>
                <w:b/>
                <w:bCs/>
                <w:color w:val="000000"/>
                <w:kern w:val="0"/>
                <w:sz w:val="24"/>
                <w:szCs w:val="24"/>
                <w:lang w:bidi="ar"/>
              </w:rPr>
            </w:pPr>
          </w:p>
        </w:tc>
        <w:tc>
          <w:tcPr>
            <w:tcW w:w="1596" w:type="dxa"/>
            <w:tcBorders>
              <w:top w:val="single" w:color="000000" w:sz="4" w:space="0"/>
              <w:left w:val="single" w:color="000000" w:sz="4" w:space="0"/>
              <w:bottom w:val="single" w:color="000000" w:sz="4" w:space="0"/>
              <w:right w:val="single" w:color="000000" w:sz="4" w:space="0"/>
            </w:tcBorders>
            <w:noWrap w:val="0"/>
            <w:vAlign w:val="center"/>
          </w:tcPr>
          <w:p w14:paraId="505AE2D9">
            <w:pPr>
              <w:widowControl/>
              <w:spacing w:line="360" w:lineRule="auto"/>
              <w:jc w:val="center"/>
              <w:textAlignment w:val="center"/>
              <w:rPr>
                <w:rFonts w:hint="eastAsia" w:ascii="宋体" w:hAnsi="宋体" w:eastAsia="宋体" w:cs="宋体"/>
                <w:b/>
                <w:bCs/>
                <w:color w:val="000000"/>
                <w:kern w:val="0"/>
                <w:sz w:val="24"/>
                <w:szCs w:val="24"/>
                <w:lang w:bidi="ar"/>
              </w:rPr>
            </w:pPr>
          </w:p>
        </w:tc>
      </w:tr>
      <w:tr w14:paraId="0DC71493">
        <w:tblPrEx>
          <w:tblCellMar>
            <w:top w:w="0" w:type="dxa"/>
            <w:left w:w="108" w:type="dxa"/>
            <w:bottom w:w="0" w:type="dxa"/>
            <w:right w:w="108" w:type="dxa"/>
          </w:tblCellMar>
        </w:tblPrEx>
        <w:trPr>
          <w:trHeight w:val="552" w:hRule="atLeast"/>
        </w:trPr>
        <w:tc>
          <w:tcPr>
            <w:tcW w:w="703" w:type="dxa"/>
            <w:tcBorders>
              <w:top w:val="single" w:color="000000" w:sz="4" w:space="0"/>
              <w:left w:val="single" w:color="000000" w:sz="4" w:space="0"/>
              <w:bottom w:val="single" w:color="000000" w:sz="4" w:space="0"/>
              <w:right w:val="single" w:color="000000" w:sz="4" w:space="0"/>
            </w:tcBorders>
            <w:noWrap w:val="0"/>
            <w:vAlign w:val="center"/>
          </w:tcPr>
          <w:p w14:paraId="739A5AA4">
            <w:pPr>
              <w:widowControl/>
              <w:spacing w:line="360" w:lineRule="auto"/>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4</w:t>
            </w:r>
          </w:p>
        </w:tc>
        <w:tc>
          <w:tcPr>
            <w:tcW w:w="1286" w:type="dxa"/>
            <w:tcBorders>
              <w:top w:val="single" w:color="000000" w:sz="4" w:space="0"/>
              <w:left w:val="single" w:color="000000" w:sz="4" w:space="0"/>
              <w:bottom w:val="single" w:color="000000" w:sz="4" w:space="0"/>
              <w:right w:val="single" w:color="000000" w:sz="4" w:space="0"/>
            </w:tcBorders>
            <w:noWrap w:val="0"/>
            <w:vAlign w:val="center"/>
          </w:tcPr>
          <w:p w14:paraId="46F9D78B">
            <w:pPr>
              <w:widowControl/>
              <w:spacing w:line="360" w:lineRule="auto"/>
              <w:jc w:val="center"/>
              <w:textAlignment w:val="center"/>
              <w:rPr>
                <w:rFonts w:hint="eastAsia" w:ascii="宋体" w:hAnsi="宋体" w:eastAsia="宋体" w:cs="宋体"/>
                <w:b/>
                <w:bCs/>
                <w:color w:val="000000"/>
                <w:kern w:val="0"/>
                <w:sz w:val="24"/>
                <w:szCs w:val="24"/>
                <w:lang w:bidi="ar"/>
              </w:rPr>
            </w:pPr>
          </w:p>
        </w:tc>
        <w:tc>
          <w:tcPr>
            <w:tcW w:w="1124" w:type="dxa"/>
            <w:tcBorders>
              <w:top w:val="single" w:color="000000" w:sz="4" w:space="0"/>
              <w:left w:val="single" w:color="000000" w:sz="4" w:space="0"/>
              <w:bottom w:val="single" w:color="000000" w:sz="4" w:space="0"/>
              <w:right w:val="single" w:color="000000" w:sz="4" w:space="0"/>
            </w:tcBorders>
            <w:noWrap w:val="0"/>
            <w:vAlign w:val="center"/>
          </w:tcPr>
          <w:p w14:paraId="0F4DDB56">
            <w:pPr>
              <w:widowControl/>
              <w:spacing w:line="360" w:lineRule="auto"/>
              <w:jc w:val="center"/>
              <w:textAlignment w:val="center"/>
              <w:rPr>
                <w:rFonts w:hint="eastAsia" w:ascii="宋体" w:hAnsi="宋体" w:eastAsia="宋体" w:cs="宋体"/>
                <w:b/>
                <w:bCs/>
                <w:color w:val="000000"/>
                <w:kern w:val="0"/>
                <w:sz w:val="24"/>
                <w:szCs w:val="24"/>
                <w:lang w:bidi="ar"/>
              </w:rPr>
            </w:pPr>
          </w:p>
        </w:tc>
        <w:tc>
          <w:tcPr>
            <w:tcW w:w="1589" w:type="dxa"/>
            <w:tcBorders>
              <w:top w:val="single" w:color="000000" w:sz="4" w:space="0"/>
              <w:left w:val="single" w:color="000000" w:sz="4" w:space="0"/>
              <w:bottom w:val="single" w:color="000000" w:sz="4" w:space="0"/>
              <w:right w:val="single" w:color="000000" w:sz="4" w:space="0"/>
            </w:tcBorders>
            <w:noWrap w:val="0"/>
            <w:vAlign w:val="center"/>
          </w:tcPr>
          <w:p w14:paraId="4191C1E2">
            <w:pPr>
              <w:widowControl/>
              <w:spacing w:line="360" w:lineRule="auto"/>
              <w:jc w:val="center"/>
              <w:textAlignment w:val="center"/>
              <w:rPr>
                <w:rFonts w:hint="eastAsia" w:ascii="宋体" w:hAnsi="宋体" w:eastAsia="宋体" w:cs="宋体"/>
                <w:b/>
                <w:bCs/>
                <w:color w:val="000000"/>
                <w:kern w:val="0"/>
                <w:sz w:val="24"/>
                <w:szCs w:val="24"/>
                <w:lang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B11F04">
            <w:pPr>
              <w:widowControl/>
              <w:spacing w:line="360" w:lineRule="auto"/>
              <w:jc w:val="center"/>
              <w:textAlignment w:val="center"/>
              <w:rPr>
                <w:rFonts w:hint="eastAsia" w:ascii="宋体" w:hAnsi="宋体" w:eastAsia="宋体" w:cs="宋体"/>
                <w:b/>
                <w:bCs/>
                <w:color w:val="000000"/>
                <w:kern w:val="0"/>
                <w:sz w:val="24"/>
                <w:szCs w:val="24"/>
                <w:lang w:bidi="ar"/>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0DAB08FA">
            <w:pPr>
              <w:widowControl/>
              <w:spacing w:line="360" w:lineRule="auto"/>
              <w:jc w:val="center"/>
              <w:textAlignment w:val="center"/>
              <w:rPr>
                <w:rFonts w:hint="eastAsia" w:ascii="宋体" w:hAnsi="宋体" w:eastAsia="宋体" w:cs="宋体"/>
                <w:b/>
                <w:bCs/>
                <w:color w:val="000000"/>
                <w:kern w:val="0"/>
                <w:sz w:val="24"/>
                <w:szCs w:val="24"/>
                <w:lang w:bidi="ar"/>
              </w:rPr>
            </w:pPr>
          </w:p>
        </w:tc>
        <w:tc>
          <w:tcPr>
            <w:tcW w:w="1417" w:type="dxa"/>
            <w:tcBorders>
              <w:top w:val="single" w:color="000000" w:sz="4" w:space="0"/>
              <w:left w:val="single" w:color="000000" w:sz="4" w:space="0"/>
              <w:bottom w:val="single" w:color="000000" w:sz="4" w:space="0"/>
              <w:right w:val="single" w:color="000000" w:sz="4" w:space="0"/>
            </w:tcBorders>
            <w:noWrap w:val="0"/>
            <w:vAlign w:val="center"/>
          </w:tcPr>
          <w:p w14:paraId="4B46ABEA">
            <w:pPr>
              <w:widowControl/>
              <w:spacing w:line="360" w:lineRule="auto"/>
              <w:jc w:val="center"/>
              <w:textAlignment w:val="center"/>
              <w:rPr>
                <w:rFonts w:hint="eastAsia" w:ascii="宋体" w:hAnsi="宋体" w:eastAsia="宋体" w:cs="宋体"/>
                <w:b/>
                <w:bCs/>
                <w:color w:val="000000"/>
                <w:kern w:val="0"/>
                <w:sz w:val="24"/>
                <w:szCs w:val="24"/>
                <w:lang w:bidi="ar"/>
              </w:rPr>
            </w:pPr>
          </w:p>
        </w:tc>
        <w:tc>
          <w:tcPr>
            <w:tcW w:w="1596" w:type="dxa"/>
            <w:tcBorders>
              <w:top w:val="single" w:color="000000" w:sz="4" w:space="0"/>
              <w:left w:val="single" w:color="000000" w:sz="4" w:space="0"/>
              <w:bottom w:val="single" w:color="000000" w:sz="4" w:space="0"/>
              <w:right w:val="single" w:color="000000" w:sz="4" w:space="0"/>
            </w:tcBorders>
            <w:noWrap w:val="0"/>
            <w:vAlign w:val="center"/>
          </w:tcPr>
          <w:p w14:paraId="3C0C3FA1">
            <w:pPr>
              <w:widowControl/>
              <w:spacing w:line="360" w:lineRule="auto"/>
              <w:jc w:val="center"/>
              <w:textAlignment w:val="center"/>
              <w:rPr>
                <w:rFonts w:hint="eastAsia" w:ascii="宋体" w:hAnsi="宋体" w:eastAsia="宋体" w:cs="宋体"/>
                <w:b/>
                <w:bCs/>
                <w:color w:val="000000"/>
                <w:kern w:val="0"/>
                <w:sz w:val="24"/>
                <w:szCs w:val="24"/>
                <w:lang w:bidi="ar"/>
              </w:rPr>
            </w:pPr>
          </w:p>
        </w:tc>
      </w:tr>
      <w:tr w14:paraId="6842856B">
        <w:tblPrEx>
          <w:tblCellMar>
            <w:top w:w="0" w:type="dxa"/>
            <w:left w:w="108" w:type="dxa"/>
            <w:bottom w:w="0" w:type="dxa"/>
            <w:right w:w="108" w:type="dxa"/>
          </w:tblCellMar>
        </w:tblPrEx>
        <w:trPr>
          <w:trHeight w:val="546" w:hRule="atLeast"/>
        </w:trPr>
        <w:tc>
          <w:tcPr>
            <w:tcW w:w="703" w:type="dxa"/>
            <w:tcBorders>
              <w:top w:val="single" w:color="000000" w:sz="4" w:space="0"/>
              <w:left w:val="single" w:color="000000" w:sz="4" w:space="0"/>
              <w:bottom w:val="single" w:color="000000" w:sz="4" w:space="0"/>
              <w:right w:val="single" w:color="000000" w:sz="4" w:space="0"/>
            </w:tcBorders>
            <w:noWrap w:val="0"/>
            <w:vAlign w:val="center"/>
          </w:tcPr>
          <w:p w14:paraId="075EC5D8">
            <w:pPr>
              <w:widowControl/>
              <w:spacing w:line="360" w:lineRule="auto"/>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5</w:t>
            </w:r>
          </w:p>
        </w:tc>
        <w:tc>
          <w:tcPr>
            <w:tcW w:w="1286" w:type="dxa"/>
            <w:tcBorders>
              <w:top w:val="single" w:color="000000" w:sz="4" w:space="0"/>
              <w:left w:val="single" w:color="000000" w:sz="4" w:space="0"/>
              <w:bottom w:val="single" w:color="000000" w:sz="4" w:space="0"/>
              <w:right w:val="single" w:color="000000" w:sz="4" w:space="0"/>
            </w:tcBorders>
            <w:noWrap w:val="0"/>
            <w:vAlign w:val="center"/>
          </w:tcPr>
          <w:p w14:paraId="093BD05A">
            <w:pPr>
              <w:widowControl/>
              <w:spacing w:line="360" w:lineRule="auto"/>
              <w:jc w:val="center"/>
              <w:textAlignment w:val="center"/>
              <w:rPr>
                <w:rFonts w:hint="eastAsia" w:ascii="宋体" w:hAnsi="宋体" w:eastAsia="宋体" w:cs="宋体"/>
                <w:b/>
                <w:bCs/>
                <w:color w:val="000000"/>
                <w:kern w:val="0"/>
                <w:sz w:val="24"/>
                <w:szCs w:val="24"/>
                <w:lang w:bidi="ar"/>
              </w:rPr>
            </w:pPr>
          </w:p>
        </w:tc>
        <w:tc>
          <w:tcPr>
            <w:tcW w:w="1124" w:type="dxa"/>
            <w:tcBorders>
              <w:top w:val="single" w:color="000000" w:sz="4" w:space="0"/>
              <w:left w:val="single" w:color="000000" w:sz="4" w:space="0"/>
              <w:bottom w:val="single" w:color="000000" w:sz="4" w:space="0"/>
              <w:right w:val="single" w:color="000000" w:sz="4" w:space="0"/>
            </w:tcBorders>
            <w:noWrap w:val="0"/>
            <w:vAlign w:val="center"/>
          </w:tcPr>
          <w:p w14:paraId="16DC8DFB">
            <w:pPr>
              <w:widowControl/>
              <w:spacing w:line="360" w:lineRule="auto"/>
              <w:jc w:val="center"/>
              <w:textAlignment w:val="center"/>
              <w:rPr>
                <w:rFonts w:hint="eastAsia" w:ascii="宋体" w:hAnsi="宋体" w:eastAsia="宋体" w:cs="宋体"/>
                <w:b/>
                <w:bCs/>
                <w:color w:val="000000"/>
                <w:kern w:val="0"/>
                <w:sz w:val="24"/>
                <w:szCs w:val="24"/>
                <w:lang w:bidi="ar"/>
              </w:rPr>
            </w:pPr>
          </w:p>
        </w:tc>
        <w:tc>
          <w:tcPr>
            <w:tcW w:w="1589" w:type="dxa"/>
            <w:tcBorders>
              <w:top w:val="single" w:color="000000" w:sz="4" w:space="0"/>
              <w:left w:val="single" w:color="000000" w:sz="4" w:space="0"/>
              <w:bottom w:val="single" w:color="000000" w:sz="4" w:space="0"/>
              <w:right w:val="single" w:color="000000" w:sz="4" w:space="0"/>
            </w:tcBorders>
            <w:noWrap w:val="0"/>
            <w:vAlign w:val="center"/>
          </w:tcPr>
          <w:p w14:paraId="7BDD0EA2">
            <w:pPr>
              <w:widowControl/>
              <w:spacing w:line="360" w:lineRule="auto"/>
              <w:jc w:val="center"/>
              <w:textAlignment w:val="center"/>
              <w:rPr>
                <w:rFonts w:hint="eastAsia" w:ascii="宋体" w:hAnsi="宋体" w:eastAsia="宋体" w:cs="宋体"/>
                <w:b/>
                <w:bCs/>
                <w:color w:val="000000"/>
                <w:kern w:val="0"/>
                <w:sz w:val="24"/>
                <w:szCs w:val="24"/>
                <w:lang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8A23D7">
            <w:pPr>
              <w:widowControl/>
              <w:spacing w:line="360" w:lineRule="auto"/>
              <w:jc w:val="center"/>
              <w:textAlignment w:val="center"/>
              <w:rPr>
                <w:rFonts w:hint="eastAsia" w:ascii="宋体" w:hAnsi="宋体" w:eastAsia="宋体" w:cs="宋体"/>
                <w:b/>
                <w:bCs/>
                <w:color w:val="000000"/>
                <w:kern w:val="0"/>
                <w:sz w:val="24"/>
                <w:szCs w:val="24"/>
                <w:lang w:bidi="ar"/>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58489564">
            <w:pPr>
              <w:widowControl/>
              <w:spacing w:line="360" w:lineRule="auto"/>
              <w:jc w:val="center"/>
              <w:textAlignment w:val="center"/>
              <w:rPr>
                <w:rFonts w:hint="eastAsia" w:ascii="宋体" w:hAnsi="宋体" w:eastAsia="宋体" w:cs="宋体"/>
                <w:b/>
                <w:bCs/>
                <w:color w:val="000000"/>
                <w:kern w:val="0"/>
                <w:sz w:val="24"/>
                <w:szCs w:val="24"/>
                <w:lang w:bidi="ar"/>
              </w:rPr>
            </w:pPr>
          </w:p>
        </w:tc>
        <w:tc>
          <w:tcPr>
            <w:tcW w:w="1417" w:type="dxa"/>
            <w:tcBorders>
              <w:top w:val="single" w:color="000000" w:sz="4" w:space="0"/>
              <w:left w:val="single" w:color="000000" w:sz="4" w:space="0"/>
              <w:bottom w:val="single" w:color="000000" w:sz="4" w:space="0"/>
              <w:right w:val="single" w:color="000000" w:sz="4" w:space="0"/>
            </w:tcBorders>
            <w:noWrap w:val="0"/>
            <w:vAlign w:val="center"/>
          </w:tcPr>
          <w:p w14:paraId="008C3593">
            <w:pPr>
              <w:widowControl/>
              <w:spacing w:line="360" w:lineRule="auto"/>
              <w:jc w:val="center"/>
              <w:textAlignment w:val="center"/>
              <w:rPr>
                <w:rFonts w:hint="eastAsia" w:ascii="宋体" w:hAnsi="宋体" w:eastAsia="宋体" w:cs="宋体"/>
                <w:b/>
                <w:bCs/>
                <w:color w:val="000000"/>
                <w:kern w:val="0"/>
                <w:sz w:val="24"/>
                <w:szCs w:val="24"/>
                <w:lang w:bidi="ar"/>
              </w:rPr>
            </w:pPr>
          </w:p>
        </w:tc>
        <w:tc>
          <w:tcPr>
            <w:tcW w:w="1596" w:type="dxa"/>
            <w:tcBorders>
              <w:top w:val="single" w:color="000000" w:sz="4" w:space="0"/>
              <w:left w:val="single" w:color="000000" w:sz="4" w:space="0"/>
              <w:bottom w:val="single" w:color="000000" w:sz="4" w:space="0"/>
              <w:right w:val="single" w:color="000000" w:sz="4" w:space="0"/>
            </w:tcBorders>
            <w:noWrap w:val="0"/>
            <w:vAlign w:val="center"/>
          </w:tcPr>
          <w:p w14:paraId="238A83EB">
            <w:pPr>
              <w:widowControl/>
              <w:spacing w:line="360" w:lineRule="auto"/>
              <w:jc w:val="center"/>
              <w:textAlignment w:val="center"/>
              <w:rPr>
                <w:rFonts w:hint="eastAsia" w:ascii="宋体" w:hAnsi="宋体" w:eastAsia="宋体" w:cs="宋体"/>
                <w:b/>
                <w:bCs/>
                <w:color w:val="000000"/>
                <w:kern w:val="0"/>
                <w:sz w:val="24"/>
                <w:szCs w:val="24"/>
                <w:lang w:bidi="ar"/>
              </w:rPr>
            </w:pPr>
          </w:p>
        </w:tc>
      </w:tr>
      <w:tr w14:paraId="3810E10C">
        <w:tblPrEx>
          <w:tblCellMar>
            <w:top w:w="0" w:type="dxa"/>
            <w:left w:w="108" w:type="dxa"/>
            <w:bottom w:w="0" w:type="dxa"/>
            <w:right w:w="108" w:type="dxa"/>
          </w:tblCellMar>
        </w:tblPrEx>
        <w:trPr>
          <w:trHeight w:val="760" w:hRule="atLeast"/>
        </w:trPr>
        <w:tc>
          <w:tcPr>
            <w:tcW w:w="9432" w:type="dxa"/>
            <w:gridSpan w:val="8"/>
            <w:tcBorders>
              <w:top w:val="single" w:color="000000" w:sz="4" w:space="0"/>
              <w:left w:val="single" w:color="000000" w:sz="4" w:space="0"/>
              <w:bottom w:val="single" w:color="000000" w:sz="4" w:space="0"/>
              <w:right w:val="single" w:color="000000" w:sz="4" w:space="0"/>
            </w:tcBorders>
            <w:noWrap w:val="0"/>
            <w:vAlign w:val="center"/>
          </w:tcPr>
          <w:p w14:paraId="039AD681">
            <w:pPr>
              <w:widowControl/>
              <w:spacing w:line="360" w:lineRule="auto"/>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合计金额：</w:t>
            </w:r>
            <w:r>
              <w:rPr>
                <w:rStyle w:val="7"/>
                <w:rFonts w:hint="eastAsia" w:ascii="宋体" w:hAnsi="宋体" w:eastAsia="宋体" w:cs="宋体"/>
                <w:sz w:val="24"/>
                <w:szCs w:val="24"/>
                <w:lang w:bidi="ar"/>
              </w:rPr>
              <w:t>¥</w:t>
            </w:r>
            <w:r>
              <w:rPr>
                <w:rFonts w:hint="eastAsia" w:ascii="宋体" w:hAnsi="宋体" w:eastAsia="宋体" w:cs="宋体"/>
                <w:sz w:val="24"/>
                <w:szCs w:val="24"/>
                <w:lang w:bidi="ar"/>
              </w:rPr>
              <w:t xml:space="preserve">                          大写： </w:t>
            </w:r>
          </w:p>
        </w:tc>
      </w:tr>
    </w:tbl>
    <w:p w14:paraId="5316F80D">
      <w:pPr>
        <w:widowControl/>
        <w:spacing w:line="360" w:lineRule="auto"/>
        <w:jc w:val="center"/>
        <w:rPr>
          <w:rFonts w:hint="eastAsia" w:ascii="宋体" w:hAnsi="宋体" w:eastAsia="宋体" w:cs="宋体"/>
          <w:b/>
          <w:bCs/>
          <w:color w:val="000000"/>
          <w:kern w:val="0"/>
          <w:sz w:val="24"/>
          <w:szCs w:val="24"/>
          <w:lang w:bidi="ar"/>
        </w:rPr>
      </w:pPr>
    </w:p>
    <w:p w14:paraId="467AF626">
      <w:pPr>
        <w:widowControl/>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bidi="ar"/>
        </w:rPr>
        <w:t xml:space="preserve">八、包装要求 </w:t>
      </w:r>
    </w:p>
    <w:p w14:paraId="181F4E3E">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1、除合同另有规定外，供应商提供的全部货物，均应按标准保护措施进行包装，并确保货物安全无损运至采购人指定地点。由于包装不良造成的损失和由此产生的费用均由供应商承担。 </w:t>
      </w:r>
    </w:p>
    <w:p w14:paraId="020973CC">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2、每一个包装箱内应附一份详细装箱单和质量合格证。 </w:t>
      </w:r>
    </w:p>
    <w:p w14:paraId="258E8AEB">
      <w:pPr>
        <w:widowControl/>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bidi="ar"/>
        </w:rPr>
        <w:t>九、运输、安装、调试要求：</w:t>
      </w:r>
    </w:p>
    <w:p w14:paraId="6F84F0EA">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1、供应商根据产品特性，自行选择运输及包装方式，承担一切运输费用，包括从生产厂到采购人指定交货地点所需的装卸、运输（含保险费）及其他一切费用。</w:t>
      </w:r>
      <w:r>
        <w:rPr>
          <w:rFonts w:hint="eastAsia" w:ascii="宋体" w:hAnsi="宋体" w:eastAsia="宋体" w:cs="宋体"/>
          <w:color w:val="000000"/>
          <w:kern w:val="0"/>
          <w:sz w:val="24"/>
          <w:szCs w:val="24"/>
          <w:lang w:eastAsia="zh-Hans" w:bidi="ar"/>
        </w:rPr>
        <w:t>在运输途中，货物毁损灭失风险由供应商承担</w:t>
      </w:r>
      <w:r>
        <w:rPr>
          <w:rFonts w:hint="eastAsia" w:ascii="宋体" w:hAnsi="宋体" w:eastAsia="宋体" w:cs="宋体"/>
          <w:color w:val="000000"/>
          <w:kern w:val="0"/>
          <w:sz w:val="24"/>
          <w:szCs w:val="24"/>
          <w:lang w:bidi="ar"/>
        </w:rPr>
        <w:t xml:space="preserve">。 </w:t>
      </w:r>
    </w:p>
    <w:p w14:paraId="168C2A44">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2、由供应商负责派技术人员到现场进行安装、调试至验收合格。供应商应在合同签订后一周内，向采购人提供安装、调试及试运行的进度计划表。 </w:t>
      </w:r>
    </w:p>
    <w:p w14:paraId="57A6E44E">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3、供应商应在合同规定的安装调试期内完成该项工作,如因供应商责任而造成延期， </w:t>
      </w:r>
    </w:p>
    <w:p w14:paraId="453E4DD4">
      <w:pPr>
        <w:widowControl/>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每超过一天按合同总价款的（1‰）支付采购人误期赔偿金，直至交货或提供服务结束为止，所有因延期而产生的费用由供应商承担。 </w:t>
      </w:r>
    </w:p>
    <w:p w14:paraId="77581DE9">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4、安装和调试期间所发生的费用均由供应商负责。 </w:t>
      </w:r>
    </w:p>
    <w:p w14:paraId="783711F0">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5、供应商应对安装调试、整改等实施过程的安全负责，如发生人身伤亡、财产损失的由供应商负责解决并承担全部责任。 </w:t>
      </w:r>
    </w:p>
    <w:p w14:paraId="3EC81A8D">
      <w:pPr>
        <w:widowControl/>
        <w:spacing w:line="360" w:lineRule="auto"/>
        <w:jc w:val="left"/>
        <w:rPr>
          <w:rFonts w:hint="eastAsia" w:ascii="宋体" w:hAnsi="宋体" w:eastAsia="宋体" w:cs="宋体"/>
          <w:b/>
          <w:bCs/>
          <w:color w:val="000000"/>
          <w:kern w:val="0"/>
          <w:sz w:val="24"/>
          <w:szCs w:val="24"/>
          <w:lang w:bidi="ar"/>
        </w:rPr>
      </w:pPr>
      <w:r>
        <w:rPr>
          <w:rFonts w:hint="eastAsia" w:ascii="宋体" w:hAnsi="宋体" w:eastAsia="宋体" w:cs="宋体"/>
          <w:b/>
          <w:bCs/>
          <w:color w:val="000000"/>
          <w:kern w:val="0"/>
          <w:sz w:val="24"/>
          <w:szCs w:val="24"/>
          <w:lang w:bidi="ar"/>
        </w:rPr>
        <w:t xml:space="preserve">十、双方的权利和义务 </w:t>
      </w:r>
    </w:p>
    <w:p w14:paraId="5874F29D">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（一）甲方的权利和义务 </w:t>
      </w:r>
    </w:p>
    <w:p w14:paraId="7DA47177">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1. 产品性能必须与其标示的技术指标相符合，甲方有权在产品的有效保证期内依据技术指标对该产品进行技术验收，其主要的技术参数达不到标准时，甲方有权无条件退货或依据有关法律索赔。 </w:t>
      </w:r>
    </w:p>
    <w:p w14:paraId="05081384">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2. 提供热线及专属客户经理电话全年 7*24 小时的不间断服务，故障响应时间不超过小时，小时内到达现场。否则甲方有权指定第三方维修，维修费用由乙方承担或从质保金中扣除。每超一天从质保金扣除 500--5000 元，按天累计。 </w:t>
      </w:r>
    </w:p>
    <w:p w14:paraId="116184C8">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3. 质保期内，所投设备发生故障，乙方接到通知后，4 小时派出合格的维修人员到用户现场进行维修，维修全部费用由供应商承担，12 小时解决故障，若需将产品送回生产厂，供货方还需承担往返费用，若维修超过 72 小时，供货方提供同型号备用产品。 </w:t>
      </w:r>
    </w:p>
    <w:p w14:paraId="46B3056F">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4.. 质保期内，设备出现故障在甲方及时通知乙方后，不能及时排除故障造成停诊时间超过一个月,甲方有权向乙方提出退货,乙方除退还全部货款外,还要支付货款总额的 20%作为向甲方的赔偿。 </w:t>
      </w:r>
    </w:p>
    <w:p w14:paraId="1895D597">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5. 质保期满,继续享用甲方提供的优惠条件。 </w:t>
      </w:r>
    </w:p>
    <w:p w14:paraId="23C629C3">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6. 质保期满设备维修只收取材料费,工时费免。 </w:t>
      </w:r>
    </w:p>
    <w:p w14:paraId="2BDB5B63">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7. 质保期满消耗品只收取成本费,其他费用免。 </w:t>
      </w:r>
    </w:p>
    <w:p w14:paraId="61A53A21">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8. 甲方保证按合同规定及时付款。 </w:t>
      </w:r>
    </w:p>
    <w:p w14:paraId="5E73581A">
      <w:pPr>
        <w:widowControl/>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（二）乙方的权利和义务 </w:t>
      </w:r>
    </w:p>
    <w:p w14:paraId="5AEA34B8">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1、乙方提供给甲方的产品必须是设计科学、技术成熟、工艺精良，原厂生产的未曾使用过的、全新的合格产品。 </w:t>
      </w:r>
    </w:p>
    <w:p w14:paraId="0CE979AA">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2、设计技术专利、外型专利、应用软件专利等均应符合我国的有关法律及行业标准， </w:t>
      </w:r>
    </w:p>
    <w:p w14:paraId="5E4F4031">
      <w:pPr>
        <w:widowControl/>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凡因以上问题与第三方发生的任何纠纷均与甲方无关。 </w:t>
      </w:r>
    </w:p>
    <w:p w14:paraId="3749D04B">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3、安全可靠。在正常使用下不应对操作者造成任何人身伤害，如因产品质量或标示不明确而对操作者造成损失的，甲方将保留依法索赔的权利。 </w:t>
      </w:r>
    </w:p>
    <w:p w14:paraId="087DD14B">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4、有强制性安全标准的产品，乙方应提供该产品的制造许可证证明。 </w:t>
      </w:r>
    </w:p>
    <w:p w14:paraId="19668219">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5. 乙方有义务对本合同项目甲方需要的关键设备提供有关咨询。 </w:t>
      </w:r>
    </w:p>
    <w:p w14:paraId="3FCE9688">
      <w:pPr>
        <w:widowControl/>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bidi="ar"/>
        </w:rPr>
        <w:t xml:space="preserve">十一、技术培训： </w:t>
      </w:r>
    </w:p>
    <w:p w14:paraId="486D3284">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应包括产品使用操作、保养、维修等培训内容。供应商需按采购人要求的时间为采购人免费培训技术人员若干名，培训服务以受培训人员熟练掌握相应技能为原则。在产品投入使用初期进行必要的跟踪指导，保障产品的稳定运行。供应的产品需在培训基地培训的，供应商应按要求履行，培训产生的交通费、食宿费、培训费等均由供应商承担。 </w:t>
      </w:r>
    </w:p>
    <w:p w14:paraId="5E75D6F2">
      <w:pPr>
        <w:widowControl/>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bidi="ar"/>
        </w:rPr>
        <w:t xml:space="preserve">十二、技术资料要求： </w:t>
      </w:r>
    </w:p>
    <w:p w14:paraId="3BC63F93">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供应商应向采购人提供全套中文技术资料一套，其费用包括在合同总价款中： </w:t>
      </w:r>
    </w:p>
    <w:p w14:paraId="1724322D">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1、完整的产品操作使用手册、说明书和维护、修理技术文件、图纸、保修卡等； </w:t>
      </w:r>
    </w:p>
    <w:p w14:paraId="4A3282D9">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2、制造厂的检验、测试报告、产品检验合格证书，质量保证书等文件验收时需提供； </w:t>
      </w:r>
    </w:p>
    <w:p w14:paraId="25A76A4B">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3、必须的其它技术资料； </w:t>
      </w:r>
    </w:p>
    <w:p w14:paraId="1D7FE529">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4、产品验收标准； </w:t>
      </w:r>
    </w:p>
    <w:p w14:paraId="05A5826B">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5、技术说明书； </w:t>
      </w:r>
    </w:p>
    <w:p w14:paraId="296AF145">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6、零部件目录； </w:t>
      </w:r>
    </w:p>
    <w:p w14:paraId="171C57AE">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7、备品备件、易损件清单； </w:t>
      </w:r>
    </w:p>
    <w:p w14:paraId="04B435B8">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8、项目完工后提供验收报告； </w:t>
      </w:r>
    </w:p>
    <w:p w14:paraId="58D3E701">
      <w:pPr>
        <w:widowControl/>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000000"/>
          <w:kern w:val="0"/>
          <w:sz w:val="24"/>
          <w:szCs w:val="24"/>
          <w:lang w:bidi="ar"/>
        </w:rPr>
        <w:t>9、合同中要求</w:t>
      </w:r>
      <w:r>
        <w:rPr>
          <w:rFonts w:hint="eastAsia" w:ascii="宋体" w:hAnsi="宋体" w:eastAsia="宋体" w:cs="宋体"/>
          <w:color w:val="auto"/>
          <w:kern w:val="0"/>
          <w:sz w:val="24"/>
          <w:szCs w:val="24"/>
          <w:lang w:bidi="ar"/>
        </w:rPr>
        <w:t xml:space="preserve">的其他文件资料。 </w:t>
      </w:r>
    </w:p>
    <w:p w14:paraId="2A7CE31C">
      <w:pPr>
        <w:widowControl/>
        <w:spacing w:line="360" w:lineRule="auto"/>
        <w:jc w:val="left"/>
        <w:rPr>
          <w:rFonts w:hint="eastAsia" w:ascii="宋体" w:hAnsi="宋体" w:eastAsia="宋体" w:cs="宋体"/>
          <w:color w:val="auto"/>
          <w:sz w:val="24"/>
          <w:szCs w:val="24"/>
        </w:rPr>
      </w:pPr>
      <w:r>
        <w:rPr>
          <w:rFonts w:hint="eastAsia" w:ascii="宋体" w:hAnsi="宋体" w:eastAsia="宋体" w:cs="宋体"/>
          <w:b/>
          <w:bCs/>
          <w:color w:val="auto"/>
          <w:kern w:val="0"/>
          <w:sz w:val="24"/>
          <w:szCs w:val="24"/>
          <w:lang w:bidi="ar"/>
        </w:rPr>
        <w:t xml:space="preserve">十三、质保及维保服务（提供售后服务承诺书）： </w:t>
      </w:r>
    </w:p>
    <w:p w14:paraId="309A4C5F">
      <w:pPr>
        <w:widowControl/>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1、本项目的质保期为整体验收合格后</w:t>
      </w:r>
      <w:r>
        <w:rPr>
          <w:rFonts w:hint="eastAsia" w:ascii="宋体" w:hAnsi="宋体" w:cs="宋体"/>
          <w:color w:val="auto"/>
          <w:kern w:val="0"/>
          <w:sz w:val="24"/>
          <w:szCs w:val="24"/>
          <w:lang w:val="en-US" w:eastAsia="zh-CN" w:bidi="ar"/>
        </w:rPr>
        <w:t>1</w:t>
      </w:r>
      <w:r>
        <w:rPr>
          <w:rFonts w:hint="eastAsia" w:ascii="宋体" w:hAnsi="宋体" w:eastAsia="宋体" w:cs="宋体"/>
          <w:color w:val="auto"/>
          <w:kern w:val="0"/>
          <w:sz w:val="24"/>
          <w:szCs w:val="24"/>
          <w:lang w:bidi="ar"/>
        </w:rPr>
        <w:t xml:space="preserve">年。 </w:t>
      </w:r>
    </w:p>
    <w:p w14:paraId="234274F2">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auto"/>
          <w:kern w:val="0"/>
          <w:sz w:val="24"/>
          <w:szCs w:val="24"/>
          <w:lang w:bidi="ar"/>
        </w:rPr>
        <w:t>2、供应商提供的产品及材料必须保证质量可靠，为市场最新或主流产品，进货渠道正常，配置合理齐全，应全面满足招标文件的要求，招标文件未明确要求的内容，采购人须按招标产品主流标准配置或以采购人的补充要求为准。所供产品工艺质量应严格按国家最新发布的规范标准执行，如发生</w:t>
      </w:r>
      <w:r>
        <w:rPr>
          <w:rFonts w:hint="eastAsia" w:ascii="宋体" w:hAnsi="宋体" w:eastAsia="宋体" w:cs="宋体"/>
          <w:color w:val="000000"/>
          <w:kern w:val="0"/>
          <w:sz w:val="24"/>
          <w:szCs w:val="24"/>
          <w:lang w:bidi="ar"/>
        </w:rPr>
        <w:t xml:space="preserve">质量问题由供应商承担全部责任。采购人使用产品过程中因产品质量、产品缺陷及安装质量等造成人身伤亡、财产损失的，由供应商负责解决并承担全部责任。 </w:t>
      </w:r>
    </w:p>
    <w:p w14:paraId="18708274">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3、供应商应提供可承担维修职能的公司或全资分公司或办事处，并驻守多名维护技术人员，并提供地点、联系人（常驻工程师）及联系电话（服务热线），随时解答各种疑问（需提供相关证明材料）。 </w:t>
      </w:r>
    </w:p>
    <w:p w14:paraId="05B73562">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4、服务方式：现场服务，产品按照国家三包规定执行，提供终身技术支持。在质保期内，如果发生故障，供应商要调查故障原因，由供应商提供的产品出现的问题，供应商须免费修复直至满足最终验收指标和性能。在质保期间，供应商须提供 7*24 小时售后服务，并且实现 4 小时内到达现场服务，产品故障修复时间不超过 12 小时，对无法立即修复的产品及时提供备件更换服务，备件提供时间不超过 24 小时，产品维修时间超过 3 天的，则须提供同档次的备用产品。 </w:t>
      </w:r>
    </w:p>
    <w:p w14:paraId="7D7C8A80">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5、每年至少二次免费上门维护，回访。 </w:t>
      </w:r>
    </w:p>
    <w:p w14:paraId="642D94CB">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6、对于存在质量问题或者短少的产品，供应商应在接到采购人的通知 2 个日历日内负责修复，调换、重新制作或补齐。 </w:t>
      </w:r>
    </w:p>
    <w:p w14:paraId="40C38F0D">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7、在最终验收后的质量保证期内，供应商应对设计、工艺或材料等的缺陷而产生的故障负责（负责解决并承担全部费用）。质保期满后如出现此类问题亦应负责。 </w:t>
      </w:r>
    </w:p>
    <w:p w14:paraId="2B0ABC78">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8、供应商及所投产品的制造厂商应承诺质保期、维保期的售后服务条款（包括具体的服务内容、故障响应时间、响应方式、维修措施及时限、维护响应计划等方面），未提供任何质保期、维保期的售后服务条款或提供的内容不实的以不满足招标文件要求对待。 </w:t>
      </w:r>
    </w:p>
    <w:p w14:paraId="3D5A5654">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9、对于未按约定提供质保服务的供应商或违约的供应商，采购人将拒绝其参加采购人单位的政府采购项目。且采购人有权委托第三方进行维修，所产生的费用由供应商承担，采购人有权从质保金中直接扣除，不足部分应由供应商支付。 </w:t>
      </w:r>
    </w:p>
    <w:p w14:paraId="096EF6C3">
      <w:pPr>
        <w:widowControl/>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bidi="ar"/>
        </w:rPr>
        <w:t xml:space="preserve">十四、验收: </w:t>
      </w:r>
    </w:p>
    <w:p w14:paraId="17D24C82">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由采购人和供应商共同对项目进行验收。其内容包括确认产品的产地、规格、型号和数量，对其产品技术指标、性能参数、样式、颜色，以及质量是否达到现行国家有关验收规范“合格”标准、是否按照采购人要求安装到位、是否按照采购人要求进行调试和提供相关培训、是否在规定时间内安装完毕、所有产品的配套包装是否完好无损等进行逐项检查。</w:t>
      </w:r>
    </w:p>
    <w:p w14:paraId="7561CD5C">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1、所验产品的指标、性能参数通过验收达不到招标文件要求和投标文件承诺的，或在使用中发现设计缺陷等，将视为产品验收不合格，供应商应无条件免费更换或退货。</w:t>
      </w:r>
    </w:p>
    <w:p w14:paraId="4E8DF1BF">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2、若发现供应商有弄虚作假的，在投标阶段故意或随意夸大产品技术性能，供应商应无条件退货，并赔偿采购人相应的损失。 </w:t>
      </w:r>
    </w:p>
    <w:p w14:paraId="6F9CD4E7">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3、验收标准：按招标文件、投标文件及澄清函等技术指标进行验收。各项指标均应符合验收标准及要求。 </w:t>
      </w:r>
    </w:p>
    <w:p w14:paraId="650F200F">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4、验收合格后，填写验收单，双方签字盖章后生效。 </w:t>
      </w:r>
    </w:p>
    <w:p w14:paraId="24F4F44E">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5、验收依据： </w:t>
      </w:r>
    </w:p>
    <w:p w14:paraId="7A0918F8">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1）合同文本； </w:t>
      </w:r>
    </w:p>
    <w:p w14:paraId="68C5C49D">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2）投标文件及澄清函、招标文件；  </w:t>
      </w:r>
    </w:p>
    <w:p w14:paraId="3429EBF4">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3）国家和行业制定的相应的标准和规范； </w:t>
      </w:r>
    </w:p>
    <w:p w14:paraId="572F5091">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4)产品验收清单（注明各部件的品名、数量、规格型号和原产地或生产厂家）。 </w:t>
      </w:r>
    </w:p>
    <w:p w14:paraId="00D776B9">
      <w:pPr>
        <w:widowControl/>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bidi="ar"/>
        </w:rPr>
        <w:t xml:space="preserve">十五、保密 </w:t>
      </w:r>
    </w:p>
    <w:p w14:paraId="0D0D35A1">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须严格保密，对工作中了解到的采购人的技术、机密等进行保密，不得向他人泄漏。 </w:t>
      </w:r>
    </w:p>
    <w:p w14:paraId="2CAF78F4">
      <w:pPr>
        <w:widowControl/>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本合同的解除或终止不免除供应商应承担的保密义务。 </w:t>
      </w:r>
    </w:p>
    <w:p w14:paraId="322EF80B">
      <w:pPr>
        <w:widowControl/>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bidi="ar"/>
        </w:rPr>
        <w:t xml:space="preserve">十六、知识产权 </w:t>
      </w:r>
    </w:p>
    <w:p w14:paraId="09B663A6">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w:t>
      </w:r>
      <w:r>
        <w:rPr>
          <w:rFonts w:hint="eastAsia" w:ascii="宋体" w:hAnsi="宋体" w:eastAsia="宋体" w:cs="宋体"/>
          <w:color w:val="000000"/>
          <w:kern w:val="0"/>
          <w:sz w:val="24"/>
          <w:szCs w:val="24"/>
          <w:lang w:eastAsia="zh-Hans" w:bidi="ar"/>
        </w:rPr>
        <w:t>并承担采购人的损失</w:t>
      </w:r>
      <w:r>
        <w:rPr>
          <w:rFonts w:hint="eastAsia" w:ascii="宋体" w:hAnsi="宋体" w:eastAsia="宋体" w:cs="宋体"/>
          <w:color w:val="000000"/>
          <w:kern w:val="0"/>
          <w:sz w:val="24"/>
          <w:szCs w:val="24"/>
          <w:lang w:bidi="ar"/>
        </w:rPr>
        <w:t xml:space="preserve">。 </w:t>
      </w:r>
    </w:p>
    <w:p w14:paraId="366E0756">
      <w:pPr>
        <w:widowControl/>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bidi="ar"/>
        </w:rPr>
        <w:t>十七、合同争议的解决：</w:t>
      </w:r>
      <w:r>
        <w:rPr>
          <w:rFonts w:hint="eastAsia" w:ascii="宋体" w:hAnsi="宋体" w:eastAsia="宋体" w:cs="宋体"/>
          <w:color w:val="000000"/>
          <w:kern w:val="0"/>
          <w:sz w:val="24"/>
          <w:szCs w:val="24"/>
          <w:lang w:bidi="ar"/>
        </w:rPr>
        <w:t>合同执行中发生争议的，当事人双方应协商解决，协商达不成一致时，可向</w:t>
      </w:r>
      <w:r>
        <w:rPr>
          <w:rFonts w:hint="eastAsia" w:ascii="宋体" w:hAnsi="宋体" w:eastAsia="宋体" w:cs="宋体"/>
          <w:sz w:val="24"/>
          <w:szCs w:val="24"/>
          <w:lang w:eastAsia="zh-Hans"/>
        </w:rPr>
        <w:t>应向采购人所在地人民法院提请诉讼</w:t>
      </w:r>
      <w:r>
        <w:rPr>
          <w:rFonts w:hint="eastAsia" w:ascii="宋体" w:hAnsi="宋体" w:eastAsia="宋体" w:cs="宋体"/>
          <w:color w:val="000000"/>
          <w:kern w:val="0"/>
          <w:sz w:val="24"/>
          <w:szCs w:val="24"/>
          <w:lang w:bidi="ar"/>
        </w:rPr>
        <w:t xml:space="preserve">。 </w:t>
      </w:r>
    </w:p>
    <w:p w14:paraId="69CF18C8">
      <w:pPr>
        <w:widowControl/>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bidi="ar"/>
        </w:rPr>
        <w:t>十八、</w:t>
      </w:r>
      <w:r>
        <w:rPr>
          <w:rFonts w:hint="eastAsia" w:ascii="宋体" w:hAnsi="宋体" w:eastAsia="宋体" w:cs="宋体"/>
          <w:color w:val="000000"/>
          <w:kern w:val="0"/>
          <w:sz w:val="24"/>
          <w:szCs w:val="24"/>
          <w:lang w:bidi="ar"/>
        </w:rPr>
        <w:t>不可抗力情况下的免责约定，双方约定不可抗力情况</w:t>
      </w:r>
      <w:r>
        <w:rPr>
          <w:rFonts w:hint="eastAsia" w:ascii="宋体" w:hAnsi="宋体" w:eastAsia="宋体" w:cs="宋体"/>
          <w:sz w:val="24"/>
          <w:szCs w:val="24"/>
          <w:lang w:eastAsia="zh-Hans"/>
        </w:rPr>
        <w:t>包括但不限于</w:t>
      </w:r>
      <w:r>
        <w:rPr>
          <w:rFonts w:hint="eastAsia" w:ascii="宋体" w:hAnsi="宋体" w:eastAsia="宋体" w:cs="宋体"/>
          <w:color w:val="000000"/>
          <w:kern w:val="0"/>
          <w:sz w:val="24"/>
          <w:szCs w:val="24"/>
          <w:lang w:bidi="ar"/>
        </w:rPr>
        <w:t>：五级以上地震、大风、大雨、</w:t>
      </w:r>
      <w:r>
        <w:rPr>
          <w:rFonts w:hint="eastAsia" w:ascii="宋体" w:hAnsi="宋体" w:eastAsia="宋体" w:cs="宋体"/>
          <w:sz w:val="24"/>
          <w:szCs w:val="24"/>
          <w:lang w:eastAsia="zh-Hans"/>
        </w:rPr>
        <w:t>大雪、战争、疫情等</w:t>
      </w:r>
      <w:r>
        <w:rPr>
          <w:rFonts w:hint="eastAsia" w:ascii="宋体" w:hAnsi="宋体" w:eastAsia="宋体" w:cs="宋体"/>
          <w:color w:val="000000"/>
          <w:kern w:val="0"/>
          <w:sz w:val="24"/>
          <w:szCs w:val="24"/>
          <w:lang w:bidi="ar"/>
        </w:rPr>
        <w:t xml:space="preserve">。 </w:t>
      </w:r>
    </w:p>
    <w:p w14:paraId="36DFFD53">
      <w:pPr>
        <w:widowControl/>
        <w:spacing w:line="360" w:lineRule="auto"/>
        <w:jc w:val="left"/>
        <w:rPr>
          <w:rFonts w:hint="eastAsia" w:ascii="宋体" w:hAnsi="宋体" w:eastAsia="宋体" w:cs="宋体"/>
          <w:b/>
          <w:bCs/>
          <w:color w:val="000000"/>
          <w:kern w:val="0"/>
          <w:sz w:val="24"/>
          <w:szCs w:val="24"/>
          <w:lang w:bidi="ar"/>
        </w:rPr>
      </w:pPr>
      <w:r>
        <w:rPr>
          <w:rFonts w:hint="eastAsia" w:ascii="宋体" w:hAnsi="宋体" w:eastAsia="宋体" w:cs="宋体"/>
          <w:b/>
          <w:bCs/>
          <w:color w:val="000000"/>
          <w:kern w:val="0"/>
          <w:sz w:val="24"/>
          <w:szCs w:val="24"/>
          <w:lang w:bidi="ar"/>
        </w:rPr>
        <w:t>十九、违约责任：</w:t>
      </w:r>
      <w:r>
        <w:rPr>
          <w:rFonts w:hint="eastAsia" w:ascii="宋体" w:hAnsi="宋体" w:eastAsia="宋体" w:cs="宋体"/>
          <w:color w:val="000000"/>
          <w:kern w:val="0"/>
          <w:sz w:val="24"/>
          <w:szCs w:val="24"/>
          <w:lang w:bidi="ar"/>
        </w:rPr>
        <w:t xml:space="preserve">依据《中华人民共和国民法典》、《中华人民共和国政府采购法》 的相关条款和本合同约定，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 </w:t>
      </w:r>
    </w:p>
    <w:p w14:paraId="2565293B">
      <w:pPr>
        <w:widowControl/>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bidi="ar"/>
        </w:rPr>
        <w:t>二十、其他（</w:t>
      </w:r>
      <w:r>
        <w:rPr>
          <w:rFonts w:hint="eastAsia" w:ascii="宋体" w:hAnsi="宋体" w:eastAsia="宋体" w:cs="宋体"/>
          <w:color w:val="000000"/>
          <w:kern w:val="0"/>
          <w:sz w:val="24"/>
          <w:szCs w:val="24"/>
          <w:lang w:bidi="ar"/>
        </w:rPr>
        <w:t xml:space="preserve">在合同中具体明确） </w:t>
      </w:r>
    </w:p>
    <w:p w14:paraId="53265DE0">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如甲方因施工等实际情况的原因，临时决定的基于合同内容的产品供应清单发生增补添加，应与乙方协商一致后另行签订《补充协议》或《产品添加清单》确认，双方签字后生效执行，补充协议或《产品添加清单》等与本协议具有同等法律效力。 </w:t>
      </w:r>
    </w:p>
    <w:p w14:paraId="57C6A368">
      <w:pPr>
        <w:widowControl/>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bidi="ar"/>
        </w:rPr>
        <w:t xml:space="preserve">二十一、合同订立 </w:t>
      </w:r>
    </w:p>
    <w:p w14:paraId="7FE95D92">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1. 订立时间：</w:t>
      </w:r>
      <w:r>
        <w:rPr>
          <w:rFonts w:hint="eastAsia" w:ascii="宋体" w:hAnsi="宋体" w:eastAsia="宋体" w:cs="宋体"/>
          <w:color w:val="000000"/>
          <w:kern w:val="0"/>
          <w:sz w:val="24"/>
          <w:szCs w:val="24"/>
          <w:u w:val="single"/>
          <w:lang w:bidi="ar"/>
        </w:rPr>
        <w:t xml:space="preserve">      </w:t>
      </w:r>
      <w:r>
        <w:rPr>
          <w:rFonts w:hint="eastAsia" w:ascii="宋体" w:hAnsi="宋体" w:eastAsia="宋体" w:cs="宋体"/>
          <w:color w:val="000000"/>
          <w:kern w:val="0"/>
          <w:sz w:val="24"/>
          <w:szCs w:val="24"/>
          <w:lang w:bidi="ar"/>
        </w:rPr>
        <w:t>年</w:t>
      </w:r>
      <w:r>
        <w:rPr>
          <w:rFonts w:hint="eastAsia" w:ascii="宋体" w:hAnsi="宋体" w:eastAsia="宋体" w:cs="宋体"/>
          <w:color w:val="000000"/>
          <w:kern w:val="0"/>
          <w:sz w:val="24"/>
          <w:szCs w:val="24"/>
          <w:u w:val="single"/>
          <w:lang w:bidi="ar"/>
        </w:rPr>
        <w:t xml:space="preserve">     </w:t>
      </w:r>
      <w:r>
        <w:rPr>
          <w:rFonts w:hint="eastAsia" w:ascii="宋体" w:hAnsi="宋体" w:eastAsia="宋体" w:cs="宋体"/>
          <w:color w:val="000000"/>
          <w:kern w:val="0"/>
          <w:sz w:val="24"/>
          <w:szCs w:val="24"/>
          <w:lang w:bidi="ar"/>
        </w:rPr>
        <w:t xml:space="preserve"> 月</w:t>
      </w:r>
      <w:r>
        <w:rPr>
          <w:rFonts w:hint="eastAsia" w:ascii="宋体" w:hAnsi="宋体" w:eastAsia="宋体" w:cs="宋体"/>
          <w:color w:val="000000"/>
          <w:kern w:val="0"/>
          <w:sz w:val="24"/>
          <w:szCs w:val="24"/>
          <w:u w:val="single"/>
          <w:lang w:bidi="ar"/>
        </w:rPr>
        <w:t xml:space="preserve">    </w:t>
      </w:r>
      <w:r>
        <w:rPr>
          <w:rFonts w:hint="eastAsia" w:ascii="宋体" w:hAnsi="宋体" w:eastAsia="宋体" w:cs="宋体"/>
          <w:color w:val="000000"/>
          <w:kern w:val="0"/>
          <w:sz w:val="24"/>
          <w:szCs w:val="24"/>
          <w:lang w:bidi="ar"/>
        </w:rPr>
        <w:t xml:space="preserve"> 日。 </w:t>
      </w:r>
    </w:p>
    <w:p w14:paraId="4130645E">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2. 订立地点：</w:t>
      </w:r>
      <w:r>
        <w:rPr>
          <w:rFonts w:hint="eastAsia" w:ascii="宋体" w:hAnsi="宋体" w:eastAsia="宋体" w:cs="宋体"/>
          <w:color w:val="000000"/>
          <w:kern w:val="0"/>
          <w:sz w:val="24"/>
          <w:szCs w:val="24"/>
          <w:u w:val="single"/>
          <w:lang w:bidi="ar"/>
        </w:rPr>
        <w:t xml:space="preserve">                       </w:t>
      </w:r>
      <w:r>
        <w:rPr>
          <w:rFonts w:hint="eastAsia" w:ascii="宋体" w:hAnsi="宋体" w:eastAsia="宋体" w:cs="宋体"/>
          <w:color w:val="000000"/>
          <w:kern w:val="0"/>
          <w:sz w:val="24"/>
          <w:szCs w:val="24"/>
          <w:lang w:bidi="ar"/>
        </w:rPr>
        <w:t xml:space="preserve"> 。 </w:t>
      </w:r>
    </w:p>
    <w:p w14:paraId="00119DE0">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3. 本合同一式</w:t>
      </w:r>
      <w:r>
        <w:rPr>
          <w:rFonts w:hint="eastAsia" w:ascii="宋体" w:hAnsi="宋体" w:eastAsia="宋体" w:cs="宋体"/>
          <w:color w:val="000000"/>
          <w:kern w:val="0"/>
          <w:sz w:val="24"/>
          <w:szCs w:val="24"/>
          <w:u w:val="single"/>
          <w:lang w:bidi="ar"/>
        </w:rPr>
        <w:t>陆</w:t>
      </w:r>
      <w:r>
        <w:rPr>
          <w:rFonts w:hint="eastAsia" w:ascii="宋体" w:hAnsi="宋体" w:eastAsia="宋体" w:cs="宋体"/>
          <w:color w:val="000000"/>
          <w:kern w:val="0"/>
          <w:sz w:val="24"/>
          <w:szCs w:val="24"/>
          <w:lang w:bidi="ar"/>
        </w:rPr>
        <w:t>份，其中，合同正本一式贰份，副本一式</w:t>
      </w:r>
      <w:r>
        <w:rPr>
          <w:rFonts w:hint="eastAsia" w:ascii="宋体" w:hAnsi="宋体" w:cs="宋体"/>
          <w:color w:val="000000"/>
          <w:kern w:val="0"/>
          <w:sz w:val="24"/>
          <w:szCs w:val="24"/>
          <w:lang w:eastAsia="zh-CN" w:bidi="ar"/>
        </w:rPr>
        <w:t>肆</w:t>
      </w:r>
      <w:r>
        <w:rPr>
          <w:rFonts w:hint="eastAsia" w:ascii="宋体" w:hAnsi="宋体" w:eastAsia="宋体" w:cs="宋体"/>
          <w:color w:val="000000"/>
          <w:kern w:val="0"/>
          <w:sz w:val="24"/>
          <w:szCs w:val="24"/>
          <w:lang w:bidi="ar"/>
        </w:rPr>
        <w:t xml:space="preserve">份，具有同等法律效力， </w:t>
      </w:r>
    </w:p>
    <w:p w14:paraId="7716F57F">
      <w:pPr>
        <w:widowControl/>
        <w:spacing w:line="360" w:lineRule="auto"/>
        <w:jc w:val="left"/>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 xml:space="preserve">正副本不一致，以正本为准。各方签字盖章后生效，合同执行完毕自动失效。（合同的服务承诺则长期有效）。 </w:t>
      </w:r>
    </w:p>
    <w:p w14:paraId="66C117FA">
      <w:pPr>
        <w:pStyle w:val="4"/>
        <w:rPr>
          <w:rFonts w:hint="eastAsia" w:eastAsia="宋体"/>
          <w:lang w:val="en-US" w:eastAsia="zh-CN"/>
        </w:rPr>
      </w:pPr>
      <w:r>
        <w:rPr>
          <w:rFonts w:hint="eastAsia" w:ascii="宋体" w:hAnsi="宋体" w:eastAsia="宋体" w:cs="宋体"/>
          <w:color w:val="000000"/>
          <w:kern w:val="0"/>
          <w:sz w:val="24"/>
          <w:szCs w:val="24"/>
          <w:lang w:val="en-US" w:eastAsia="zh-CN" w:bidi="ar"/>
        </w:rPr>
        <w:t>（以下无正文）</w:t>
      </w:r>
    </w:p>
    <w:p w14:paraId="6F50E29A">
      <w:pPr>
        <w:widowControl/>
        <w:spacing w:line="360" w:lineRule="auto"/>
        <w:jc w:val="left"/>
        <w:rPr>
          <w:rFonts w:hint="eastAsia" w:ascii="宋体" w:hAnsi="宋体" w:eastAsia="宋体" w:cs="宋体"/>
          <w:sz w:val="24"/>
          <w:szCs w:val="24"/>
        </w:rPr>
      </w:pPr>
    </w:p>
    <w:p w14:paraId="6C71B26C">
      <w:pPr>
        <w:widowControl/>
        <w:spacing w:line="360" w:lineRule="auto"/>
        <w:jc w:val="left"/>
        <w:rPr>
          <w:rFonts w:hint="eastAsia" w:ascii="宋体" w:hAnsi="宋体" w:eastAsia="宋体" w:cs="宋体"/>
          <w:color w:val="000000"/>
          <w:kern w:val="0"/>
          <w:sz w:val="24"/>
          <w:szCs w:val="24"/>
          <w:lang w:bidi="ar"/>
        </w:rPr>
      </w:pPr>
    </w:p>
    <w:p w14:paraId="6582B2FA">
      <w:pPr>
        <w:widowControl/>
        <w:spacing w:line="360" w:lineRule="auto"/>
        <w:jc w:val="left"/>
        <w:rPr>
          <w:rFonts w:hint="eastAsia" w:ascii="宋体" w:hAnsi="宋体" w:eastAsia="宋体" w:cs="宋体"/>
          <w:color w:val="000000"/>
          <w:kern w:val="0"/>
          <w:sz w:val="24"/>
          <w:szCs w:val="24"/>
          <w:lang w:eastAsia="zh-CN" w:bidi="ar"/>
        </w:rPr>
      </w:pPr>
    </w:p>
    <w:p w14:paraId="784EB334">
      <w:pPr>
        <w:widowControl/>
        <w:spacing w:line="360" w:lineRule="auto"/>
        <w:jc w:val="left"/>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eastAsia="zh-CN" w:bidi="ar"/>
        </w:rPr>
        <w:br w:type="page"/>
      </w:r>
      <w:r>
        <w:rPr>
          <w:rFonts w:hint="eastAsia" w:ascii="宋体" w:hAnsi="宋体" w:eastAsia="宋体" w:cs="宋体"/>
          <w:color w:val="000000"/>
          <w:kern w:val="0"/>
          <w:sz w:val="24"/>
          <w:szCs w:val="24"/>
          <w:lang w:eastAsia="zh-CN" w:bidi="ar"/>
        </w:rPr>
        <w:t>（</w:t>
      </w:r>
      <w:r>
        <w:rPr>
          <w:rFonts w:hint="eastAsia" w:ascii="宋体" w:hAnsi="宋体" w:eastAsia="宋体" w:cs="宋体"/>
          <w:color w:val="000000"/>
          <w:kern w:val="0"/>
          <w:sz w:val="24"/>
          <w:szCs w:val="24"/>
          <w:lang w:val="en-US" w:eastAsia="zh-CN" w:bidi="ar"/>
        </w:rPr>
        <w:t>本页仅为签字盖章页</w:t>
      </w:r>
      <w:r>
        <w:rPr>
          <w:rFonts w:hint="eastAsia" w:ascii="宋体" w:hAnsi="宋体" w:eastAsia="宋体" w:cs="宋体"/>
          <w:color w:val="000000"/>
          <w:kern w:val="0"/>
          <w:sz w:val="24"/>
          <w:szCs w:val="24"/>
          <w:lang w:eastAsia="zh-CN" w:bidi="ar"/>
        </w:rPr>
        <w:t>）</w:t>
      </w:r>
    </w:p>
    <w:p w14:paraId="7FB5DE78">
      <w:pPr>
        <w:widowControl/>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采购人： </w:t>
      </w:r>
      <w:r>
        <w:rPr>
          <w:rFonts w:hint="eastAsia" w:ascii="宋体" w:hAnsi="宋体" w:eastAsia="宋体" w:cs="宋体"/>
          <w:color w:val="000000"/>
          <w:kern w:val="0"/>
          <w:sz w:val="24"/>
          <w:szCs w:val="24"/>
          <w:u w:val="single"/>
          <w:lang w:bidi="ar"/>
        </w:rPr>
        <w:t xml:space="preserve">                  </w:t>
      </w:r>
      <w:r>
        <w:rPr>
          <w:rFonts w:hint="eastAsia" w:ascii="宋体" w:hAnsi="宋体" w:eastAsia="宋体" w:cs="宋体"/>
          <w:color w:val="000000"/>
          <w:kern w:val="0"/>
          <w:sz w:val="24"/>
          <w:szCs w:val="24"/>
          <w:lang w:bidi="ar"/>
        </w:rPr>
        <w:t xml:space="preserve">（盖章）   供应商： </w:t>
      </w:r>
      <w:r>
        <w:rPr>
          <w:rFonts w:hint="eastAsia" w:ascii="宋体" w:hAnsi="宋体" w:eastAsia="宋体" w:cs="宋体"/>
          <w:color w:val="000000"/>
          <w:kern w:val="0"/>
          <w:sz w:val="24"/>
          <w:szCs w:val="24"/>
          <w:u w:val="single"/>
          <w:lang w:bidi="ar"/>
        </w:rPr>
        <w:t xml:space="preserve">                     </w:t>
      </w:r>
      <w:r>
        <w:rPr>
          <w:rFonts w:hint="eastAsia" w:ascii="宋体" w:hAnsi="宋体" w:eastAsia="宋体" w:cs="宋体"/>
          <w:color w:val="000000"/>
          <w:kern w:val="0"/>
          <w:sz w:val="24"/>
          <w:szCs w:val="24"/>
          <w:lang w:bidi="ar"/>
        </w:rPr>
        <w:t xml:space="preserve">（盖章） </w:t>
      </w:r>
    </w:p>
    <w:p w14:paraId="54D7F117">
      <w:pPr>
        <w:widowControl/>
        <w:spacing w:line="360" w:lineRule="auto"/>
        <w:jc w:val="left"/>
        <w:rPr>
          <w:rFonts w:hint="eastAsia" w:ascii="宋体" w:hAnsi="宋体" w:eastAsia="宋体" w:cs="宋体"/>
          <w:sz w:val="24"/>
          <w:szCs w:val="24"/>
          <w:u w:val="single"/>
        </w:rPr>
      </w:pPr>
      <w:r>
        <w:rPr>
          <w:rFonts w:hint="eastAsia" w:ascii="宋体" w:hAnsi="宋体" w:eastAsia="宋体" w:cs="宋体"/>
          <w:color w:val="000000"/>
          <w:kern w:val="0"/>
          <w:sz w:val="24"/>
          <w:szCs w:val="24"/>
          <w:lang w:bidi="ar"/>
        </w:rPr>
        <w:t xml:space="preserve">地址： </w:t>
      </w:r>
      <w:r>
        <w:rPr>
          <w:rFonts w:hint="eastAsia" w:ascii="宋体" w:hAnsi="宋体" w:eastAsia="宋体" w:cs="宋体"/>
          <w:color w:val="000000"/>
          <w:kern w:val="0"/>
          <w:sz w:val="24"/>
          <w:szCs w:val="24"/>
          <w:u w:val="single"/>
          <w:lang w:bidi="ar"/>
        </w:rPr>
        <w:t xml:space="preserve">                          </w:t>
      </w:r>
      <w:r>
        <w:rPr>
          <w:rFonts w:hint="eastAsia" w:ascii="宋体" w:hAnsi="宋体" w:eastAsia="宋体" w:cs="宋体"/>
          <w:color w:val="000000"/>
          <w:kern w:val="0"/>
          <w:sz w:val="24"/>
          <w:szCs w:val="24"/>
          <w:lang w:bidi="ar"/>
        </w:rPr>
        <w:t xml:space="preserve">     地址：</w:t>
      </w:r>
      <w:r>
        <w:rPr>
          <w:rFonts w:hint="eastAsia" w:ascii="宋体" w:hAnsi="宋体" w:eastAsia="宋体" w:cs="宋体"/>
          <w:color w:val="000000"/>
          <w:kern w:val="0"/>
          <w:sz w:val="24"/>
          <w:szCs w:val="24"/>
          <w:u w:val="single"/>
          <w:lang w:bidi="ar"/>
        </w:rPr>
        <w:t xml:space="preserve">                                  </w:t>
      </w:r>
    </w:p>
    <w:p w14:paraId="5755B872">
      <w:pPr>
        <w:widowControl/>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邮政编码：</w:t>
      </w:r>
      <w:r>
        <w:rPr>
          <w:rFonts w:hint="eastAsia" w:ascii="宋体" w:hAnsi="宋体" w:eastAsia="宋体" w:cs="宋体"/>
          <w:color w:val="000000"/>
          <w:kern w:val="0"/>
          <w:sz w:val="24"/>
          <w:szCs w:val="24"/>
          <w:u w:val="single"/>
          <w:lang w:bidi="ar"/>
        </w:rPr>
        <w:t xml:space="preserve">                       </w:t>
      </w:r>
      <w:r>
        <w:rPr>
          <w:rFonts w:hint="eastAsia" w:ascii="宋体" w:hAnsi="宋体" w:eastAsia="宋体" w:cs="宋体"/>
          <w:color w:val="000000"/>
          <w:kern w:val="0"/>
          <w:sz w:val="24"/>
          <w:szCs w:val="24"/>
          <w:lang w:bidi="ar"/>
        </w:rPr>
        <w:t xml:space="preserve">     邮政编码：</w:t>
      </w:r>
      <w:r>
        <w:rPr>
          <w:rFonts w:hint="eastAsia" w:ascii="宋体" w:hAnsi="宋体" w:eastAsia="宋体" w:cs="宋体"/>
          <w:color w:val="000000"/>
          <w:kern w:val="0"/>
          <w:sz w:val="24"/>
          <w:szCs w:val="24"/>
          <w:u w:val="single"/>
          <w:lang w:bidi="ar"/>
        </w:rPr>
        <w:t xml:space="preserve">                               </w:t>
      </w:r>
    </w:p>
    <w:p w14:paraId="4D39D329">
      <w:pPr>
        <w:widowControl/>
        <w:spacing w:line="360" w:lineRule="auto"/>
        <w:jc w:val="left"/>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 xml:space="preserve">法定代表人或其授权                   法定代表人或其授权                       </w:t>
      </w:r>
    </w:p>
    <w:p w14:paraId="5FED6F72">
      <w:pPr>
        <w:widowControl/>
        <w:spacing w:line="360" w:lineRule="auto"/>
        <w:jc w:val="left"/>
        <w:rPr>
          <w:rFonts w:hint="eastAsia" w:ascii="宋体" w:hAnsi="宋体" w:eastAsia="宋体" w:cs="宋体"/>
          <w:sz w:val="24"/>
          <w:szCs w:val="24"/>
          <w:u w:val="single"/>
        </w:rPr>
      </w:pPr>
      <w:r>
        <w:rPr>
          <w:rFonts w:hint="eastAsia" w:ascii="宋体" w:hAnsi="宋体" w:eastAsia="宋体" w:cs="宋体"/>
          <w:color w:val="000000"/>
          <w:kern w:val="0"/>
          <w:sz w:val="24"/>
          <w:szCs w:val="24"/>
          <w:lang w:bidi="ar"/>
        </w:rPr>
        <w:t>的代理人：</w:t>
      </w:r>
      <w:r>
        <w:rPr>
          <w:rFonts w:hint="eastAsia" w:ascii="宋体" w:hAnsi="宋体" w:eastAsia="宋体" w:cs="宋体"/>
          <w:color w:val="000000"/>
          <w:kern w:val="0"/>
          <w:sz w:val="24"/>
          <w:szCs w:val="24"/>
          <w:u w:val="single"/>
          <w:lang w:bidi="ar"/>
        </w:rPr>
        <w:t xml:space="preserve">（签字）                 </w:t>
      </w:r>
      <w:r>
        <w:rPr>
          <w:rFonts w:hint="eastAsia" w:ascii="宋体" w:hAnsi="宋体" w:eastAsia="宋体" w:cs="宋体"/>
          <w:color w:val="000000"/>
          <w:kern w:val="0"/>
          <w:sz w:val="24"/>
          <w:szCs w:val="24"/>
          <w:lang w:bidi="ar"/>
        </w:rPr>
        <w:t xml:space="preserve">  的代理人：</w:t>
      </w:r>
      <w:r>
        <w:rPr>
          <w:rFonts w:hint="eastAsia" w:ascii="宋体" w:hAnsi="宋体" w:eastAsia="宋体" w:cs="宋体"/>
          <w:color w:val="000000"/>
          <w:kern w:val="0"/>
          <w:sz w:val="24"/>
          <w:szCs w:val="24"/>
          <w:u w:val="single"/>
          <w:lang w:bidi="ar"/>
        </w:rPr>
        <w:t xml:space="preserve">（签字）                       </w:t>
      </w:r>
    </w:p>
    <w:p w14:paraId="285DE04C">
      <w:pPr>
        <w:widowControl/>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bidi="ar"/>
        </w:rPr>
        <w:t>开户银行：</w:t>
      </w:r>
      <w:r>
        <w:rPr>
          <w:rFonts w:hint="eastAsia" w:ascii="宋体" w:hAnsi="宋体" w:eastAsia="宋体" w:cs="宋体"/>
          <w:color w:val="000000"/>
          <w:kern w:val="0"/>
          <w:sz w:val="24"/>
          <w:szCs w:val="24"/>
          <w:u w:val="single"/>
          <w:lang w:bidi="ar"/>
        </w:rPr>
        <w:t xml:space="preserve">                        </w:t>
      </w:r>
      <w:r>
        <w:rPr>
          <w:rFonts w:hint="eastAsia" w:ascii="宋体" w:hAnsi="宋体" w:eastAsia="宋体" w:cs="宋体"/>
          <w:color w:val="000000"/>
          <w:kern w:val="0"/>
          <w:sz w:val="24"/>
          <w:szCs w:val="24"/>
          <w:lang w:bidi="ar"/>
        </w:rPr>
        <w:t xml:space="preserve">   开户银行：</w:t>
      </w:r>
      <w:r>
        <w:rPr>
          <w:rFonts w:hint="eastAsia" w:ascii="宋体" w:hAnsi="宋体" w:eastAsia="宋体" w:cs="宋体"/>
          <w:sz w:val="24"/>
          <w:szCs w:val="24"/>
          <w:u w:val="single"/>
        </w:rPr>
        <w:t xml:space="preserve">                               </w:t>
      </w:r>
      <w:r>
        <w:rPr>
          <w:rFonts w:hint="eastAsia" w:ascii="宋体" w:hAnsi="宋体" w:eastAsia="宋体" w:cs="宋体"/>
          <w:color w:val="000000"/>
          <w:kern w:val="0"/>
          <w:sz w:val="24"/>
          <w:szCs w:val="24"/>
          <w:lang w:bidi="ar"/>
        </w:rPr>
        <w:t xml:space="preserve"> </w:t>
      </w:r>
    </w:p>
    <w:p w14:paraId="69B1698D">
      <w:pPr>
        <w:widowControl/>
        <w:spacing w:line="360" w:lineRule="auto"/>
        <w:jc w:val="left"/>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 xml:space="preserve">账号：  </w:t>
      </w:r>
      <w:r>
        <w:rPr>
          <w:rFonts w:hint="eastAsia" w:ascii="宋体" w:hAnsi="宋体" w:eastAsia="宋体" w:cs="宋体"/>
          <w:color w:val="000000"/>
          <w:kern w:val="0"/>
          <w:sz w:val="24"/>
          <w:szCs w:val="24"/>
          <w:u w:val="single"/>
          <w:lang w:bidi="ar"/>
        </w:rPr>
        <w:t xml:space="preserve">                         </w:t>
      </w:r>
      <w:r>
        <w:rPr>
          <w:rFonts w:hint="eastAsia" w:ascii="宋体" w:hAnsi="宋体" w:eastAsia="宋体" w:cs="宋体"/>
          <w:color w:val="000000"/>
          <w:kern w:val="0"/>
          <w:sz w:val="24"/>
          <w:szCs w:val="24"/>
          <w:lang w:bidi="ar"/>
        </w:rPr>
        <w:t xml:space="preserve">    账号：</w:t>
      </w:r>
      <w:r>
        <w:rPr>
          <w:rFonts w:hint="eastAsia" w:ascii="宋体" w:hAnsi="宋体" w:eastAsia="宋体" w:cs="宋体"/>
          <w:color w:val="000000"/>
          <w:kern w:val="0"/>
          <w:sz w:val="24"/>
          <w:szCs w:val="24"/>
          <w:u w:val="single"/>
          <w:lang w:bidi="ar"/>
        </w:rPr>
        <w:t xml:space="preserve">                                    </w:t>
      </w:r>
    </w:p>
    <w:p w14:paraId="7342A9EA">
      <w:pPr>
        <w:widowControl/>
        <w:spacing w:line="360" w:lineRule="auto"/>
        <w:jc w:val="left"/>
        <w:rPr>
          <w:rFonts w:hint="eastAsia" w:ascii="宋体" w:hAnsi="宋体" w:eastAsia="宋体" w:cs="宋体"/>
          <w:color w:val="000000"/>
          <w:kern w:val="0"/>
          <w:sz w:val="24"/>
          <w:szCs w:val="24"/>
          <w:u w:val="single"/>
          <w:lang w:bidi="ar"/>
        </w:rPr>
      </w:pPr>
      <w:r>
        <w:rPr>
          <w:rFonts w:hint="eastAsia" w:ascii="宋体" w:hAnsi="宋体" w:eastAsia="宋体" w:cs="宋体"/>
          <w:color w:val="000000"/>
          <w:kern w:val="0"/>
          <w:sz w:val="24"/>
          <w:szCs w:val="24"/>
          <w:lang w:bidi="ar"/>
        </w:rPr>
        <w:t xml:space="preserve">电话：  </w:t>
      </w:r>
      <w:r>
        <w:rPr>
          <w:rFonts w:hint="eastAsia" w:ascii="宋体" w:hAnsi="宋体" w:eastAsia="宋体" w:cs="宋体"/>
          <w:color w:val="000000"/>
          <w:kern w:val="0"/>
          <w:sz w:val="24"/>
          <w:szCs w:val="24"/>
          <w:u w:val="single"/>
          <w:lang w:bidi="ar"/>
        </w:rPr>
        <w:t xml:space="preserve">                          </w:t>
      </w:r>
      <w:r>
        <w:rPr>
          <w:rFonts w:hint="eastAsia" w:ascii="宋体" w:hAnsi="宋体" w:eastAsia="宋体" w:cs="宋体"/>
          <w:color w:val="000000"/>
          <w:kern w:val="0"/>
          <w:sz w:val="24"/>
          <w:szCs w:val="24"/>
          <w:lang w:bidi="ar"/>
        </w:rPr>
        <w:t xml:space="preserve">   电话：  </w:t>
      </w:r>
      <w:r>
        <w:rPr>
          <w:rFonts w:hint="eastAsia" w:ascii="宋体" w:hAnsi="宋体" w:eastAsia="宋体" w:cs="宋体"/>
          <w:color w:val="000000"/>
          <w:kern w:val="0"/>
          <w:sz w:val="24"/>
          <w:szCs w:val="24"/>
          <w:u w:val="single"/>
          <w:lang w:bidi="ar"/>
        </w:rPr>
        <w:t xml:space="preserve">                                 </w:t>
      </w:r>
    </w:p>
    <w:p w14:paraId="0F29607F">
      <w:pPr>
        <w:widowControl/>
        <w:spacing w:line="360" w:lineRule="auto"/>
        <w:jc w:val="left"/>
        <w:rPr>
          <w:rFonts w:hint="eastAsia" w:ascii="宋体" w:hAnsi="宋体" w:eastAsia="宋体" w:cs="宋体"/>
          <w:sz w:val="24"/>
          <w:szCs w:val="24"/>
          <w:u w:val="single"/>
        </w:rPr>
      </w:pPr>
      <w:r>
        <w:rPr>
          <w:rFonts w:hint="eastAsia" w:ascii="宋体" w:hAnsi="宋体" w:eastAsia="宋体" w:cs="宋体"/>
          <w:color w:val="000000"/>
          <w:kern w:val="0"/>
          <w:sz w:val="24"/>
          <w:szCs w:val="24"/>
          <w:lang w:bidi="ar"/>
        </w:rPr>
        <w:t xml:space="preserve">传真：  </w:t>
      </w:r>
      <w:r>
        <w:rPr>
          <w:rFonts w:hint="eastAsia" w:ascii="宋体" w:hAnsi="宋体" w:eastAsia="宋体" w:cs="宋体"/>
          <w:color w:val="000000"/>
          <w:kern w:val="0"/>
          <w:sz w:val="24"/>
          <w:szCs w:val="24"/>
          <w:u w:val="single"/>
          <w:lang w:bidi="ar"/>
        </w:rPr>
        <w:t xml:space="preserve">                           </w:t>
      </w:r>
      <w:r>
        <w:rPr>
          <w:rFonts w:hint="eastAsia" w:ascii="宋体" w:hAnsi="宋体" w:eastAsia="宋体" w:cs="宋体"/>
          <w:color w:val="000000"/>
          <w:kern w:val="0"/>
          <w:sz w:val="24"/>
          <w:szCs w:val="24"/>
          <w:lang w:bidi="ar"/>
        </w:rPr>
        <w:t xml:space="preserve">  传真： </w:t>
      </w:r>
      <w:r>
        <w:rPr>
          <w:rFonts w:hint="eastAsia" w:ascii="宋体" w:hAnsi="宋体" w:eastAsia="宋体" w:cs="宋体"/>
          <w:color w:val="000000"/>
          <w:kern w:val="0"/>
          <w:sz w:val="24"/>
          <w:szCs w:val="24"/>
          <w:u w:val="single"/>
          <w:lang w:bidi="ar"/>
        </w:rPr>
        <w:t xml:space="preserve">                                  </w:t>
      </w:r>
    </w:p>
    <w:p w14:paraId="487F7DE0">
      <w:pPr>
        <w:widowControl/>
        <w:spacing w:line="360" w:lineRule="auto"/>
        <w:jc w:val="left"/>
        <w:rPr>
          <w:rFonts w:hint="eastAsia" w:ascii="宋体" w:hAnsi="宋体" w:eastAsia="宋体" w:cs="宋体"/>
          <w:sz w:val="24"/>
          <w:szCs w:val="24"/>
          <w:u w:val="single"/>
        </w:rPr>
      </w:pPr>
      <w:r>
        <w:rPr>
          <w:rFonts w:hint="eastAsia" w:ascii="宋体" w:hAnsi="宋体" w:eastAsia="宋体" w:cs="宋体"/>
          <w:color w:val="000000"/>
          <w:kern w:val="0"/>
          <w:sz w:val="24"/>
          <w:szCs w:val="24"/>
          <w:lang w:bidi="ar"/>
        </w:rPr>
        <w:t xml:space="preserve">电子邮箱： </w:t>
      </w:r>
      <w:r>
        <w:rPr>
          <w:rFonts w:hint="eastAsia" w:ascii="宋体" w:hAnsi="宋体" w:eastAsia="宋体" w:cs="宋体"/>
          <w:color w:val="000000"/>
          <w:kern w:val="0"/>
          <w:sz w:val="24"/>
          <w:szCs w:val="24"/>
          <w:u w:val="single"/>
          <w:lang w:bidi="ar"/>
        </w:rPr>
        <w:t xml:space="preserve">                        </w:t>
      </w:r>
      <w:r>
        <w:rPr>
          <w:rFonts w:hint="eastAsia" w:ascii="宋体" w:hAnsi="宋体" w:eastAsia="宋体" w:cs="宋体"/>
          <w:color w:val="000000"/>
          <w:kern w:val="0"/>
          <w:sz w:val="24"/>
          <w:szCs w:val="24"/>
          <w:lang w:bidi="ar"/>
        </w:rPr>
        <w:t xml:space="preserve">  电子邮箱：</w:t>
      </w:r>
      <w:r>
        <w:rPr>
          <w:rFonts w:hint="eastAsia" w:ascii="宋体" w:hAnsi="宋体" w:eastAsia="宋体" w:cs="宋体"/>
          <w:color w:val="000000"/>
          <w:kern w:val="0"/>
          <w:sz w:val="24"/>
          <w:szCs w:val="24"/>
          <w:u w:val="single"/>
          <w:lang w:bidi="ar"/>
        </w:rPr>
        <w:t xml:space="preserve">                              </w:t>
      </w:r>
    </w:p>
    <w:p w14:paraId="03012CEB">
      <w:pPr>
        <w:rPr>
          <w:rFonts w:hint="eastAsia" w:ascii="宋体" w:hAnsi="宋体" w:eastAsia="宋体" w:cs="宋体"/>
          <w:sz w:val="24"/>
          <w:szCs w:val="24"/>
        </w:rPr>
      </w:pPr>
    </w:p>
    <w:p w14:paraId="095C0FB1">
      <w:pPr>
        <w:rPr>
          <w:rFonts w:ascii="宋体" w:hAnsi="宋体" w:cs="仿宋_GB2312"/>
          <w:szCs w:val="21"/>
        </w:rPr>
      </w:pPr>
    </w:p>
    <w:p w14:paraId="0B005732">
      <w:pPr>
        <w:rPr>
          <w:rFonts w:ascii="宋体" w:hAnsi="宋体" w:cs="仿宋_GB2312"/>
          <w:szCs w:val="21"/>
        </w:rPr>
      </w:pPr>
    </w:p>
    <w:p w14:paraId="4DF14140">
      <w:pPr>
        <w:rPr>
          <w:rFonts w:ascii="宋体" w:hAnsi="宋体" w:cs="仿宋_GB2312"/>
          <w:szCs w:val="21"/>
        </w:rPr>
      </w:pPr>
    </w:p>
    <w:p w14:paraId="0FD1A7D3">
      <w:pPr>
        <w:rPr>
          <w:rFonts w:ascii="宋体" w:hAnsi="宋体" w:cs="仿宋_GB2312"/>
          <w:szCs w:val="21"/>
        </w:rPr>
      </w:pPr>
    </w:p>
    <w:p w14:paraId="0F0248C3"/>
    <w:sectPr>
      <w:pgSz w:w="11906" w:h="16838"/>
      <w:pgMar w:top="1134" w:right="1134" w:bottom="1134" w:left="1134" w:header="720" w:footer="720" w:gutter="0"/>
      <w:cols w:space="72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FC575E"/>
    <w:rsid w:val="48070D68"/>
    <w:rsid w:val="6799691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uiPriority w:val="0"/>
    <w:tblPr>
      <w:tblStyle w:val="5"/>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Plain Text"/>
    <w:basedOn w:val="1"/>
    <w:qFormat/>
    <w:uiPriority w:val="99"/>
    <w:pPr>
      <w:spacing w:line="324" w:lineRule="auto"/>
    </w:pPr>
    <w:rPr>
      <w:rFonts w:ascii="宋体" w:hAnsi="Courier New" w:cs="黑体"/>
      <w:szCs w:val="21"/>
    </w:rPr>
  </w:style>
  <w:style w:type="paragraph" w:styleId="4">
    <w:name w:val="Body Text 2"/>
    <w:basedOn w:val="1"/>
    <w:qFormat/>
    <w:uiPriority w:val="99"/>
    <w:rPr>
      <w:rFonts w:ascii="宋体" w:hAnsi="Times New Roman"/>
      <w:sz w:val="24"/>
      <w:szCs w:val="24"/>
    </w:rPr>
  </w:style>
  <w:style w:type="character" w:customStyle="1" w:styleId="7">
    <w:name w:val="font41"/>
    <w:qFormat/>
    <w:uiPriority w:val="0"/>
    <w:rPr>
      <w:rFonts w:ascii="宋体" w:hAnsi="宋体" w:eastAsia="宋体"/>
      <w:color w:val="000000"/>
      <w:sz w:val="18"/>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4633</Words>
  <Characters>4668</Characters>
  <Lines>0</Lines>
  <Paragraphs>0</Paragraphs>
  <TotalTime>0</TotalTime>
  <ScaleCrop>false</ScaleCrop>
  <LinksUpToDate>false</LinksUpToDate>
  <CharactersWithSpaces>5742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2023-11-01T03:20:00Z</dcterms:created>
  <dc:creator>Administrator</dc:creator>
  <cp:lastModifiedBy>。</cp:lastModifiedBy>
  <dcterms:modified xsi:type="dcterms:W3CDTF">2026-07-15T03:48:37Z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BC268FB9702B44328B7B04CF76EB282E_13</vt:lpwstr>
  </property>
  <property fmtid="{D5CDD505-2E9C-101B-9397-08002B2CF9AE}" pid="4" name="KSOTemplateDocerSaveRecord">
    <vt:lpwstr>eyJoZGlkIjoiMzkxMWQwNzc3MTg3M2FmOTM1YjkzNzlmZTQ0YzRlNjkiLCJ1c2VySWQiOiI4NTIxNDQwNzIifQ==</vt:lpwstr>
  </property>
</Properties>
</file>