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版本号：SXCFY2026050220260527001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耕地占补平衡相关资金审计反馈问题整改“回头看”项目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SXCFY20260502</w:t>
      </w:r>
      <w:r>
        <w:br/>
      </w:r>
      <w:r>
        <w:br/>
      </w:r>
      <w:r>
        <w:br/>
      </w:r>
    </w:p>
    <w:p>
      <w:pPr>
        <w:pStyle w:val="null3"/>
        <w:jc w:val="center"/>
        <w:outlineLvl w:val="2"/>
      </w:pPr>
      <w:r>
        <w:rPr>
          <w:rFonts w:ascii="仿宋_GB2312" w:hAnsi="仿宋_GB2312" w:cs="仿宋_GB2312" w:eastAsia="仿宋_GB2312"/>
          <w:sz w:val="28"/>
          <w:b/>
        </w:rPr>
        <w:t>白水县自然资源局</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白水县自然资源局</w:t>
      </w:r>
      <w:r>
        <w:rPr>
          <w:rFonts w:ascii="仿宋_GB2312" w:hAnsi="仿宋_GB2312" w:cs="仿宋_GB2312" w:eastAsia="仿宋_GB2312"/>
        </w:rPr>
        <w:t>委托，拟对</w:t>
      </w:r>
      <w:r>
        <w:rPr>
          <w:rFonts w:ascii="仿宋_GB2312" w:hAnsi="仿宋_GB2312" w:cs="仿宋_GB2312" w:eastAsia="仿宋_GB2312"/>
        </w:rPr>
        <w:t>耕地占补平衡相关资金审计反馈问题整改“回头看”项目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SXCFY20260502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耕地占补平衡相关资金审计反馈问题整改“回头看”项目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白水县历年耕地占补平衡项目、增减挂钩项目审计“回头看”反馈问题整改任务逐地块进行外业核查，确定项目内“非农化”及撂荒地块，并反馈县自然资源局。对整改完成的项目逐地块再次外业举证、数据套合，通过带角度定位软件拍照形成整改图册，直至项目区内全部整改完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采购包1（耕地占补平衡相关资金审计反馈问题整改“回头看”项目）：属于专门面向中小企业采购。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1、法定代表人或其授权代表委托书：法定代表人直接参加磋商的，须出具法定代表人身份证明书；法定代表人授权代表参加磋商的，须出具法定代表人授权委托书</w:t>
      </w:r>
    </w:p>
    <w:p>
      <w:pPr>
        <w:pStyle w:val="null3"/>
      </w:pPr>
      <w:r>
        <w:rPr>
          <w:rFonts w:ascii="仿宋_GB2312" w:hAnsi="仿宋_GB2312" w:cs="仿宋_GB2312" w:eastAsia="仿宋_GB2312"/>
        </w:rPr>
        <w:t>2、企业资质：具有测绘主管部门颁发的乙级及以上测绘资质</w:t>
      </w:r>
    </w:p>
    <w:p>
      <w:pPr>
        <w:pStyle w:val="null3"/>
      </w:pPr>
      <w:r>
        <w:rPr>
          <w:rFonts w:ascii="仿宋_GB2312" w:hAnsi="仿宋_GB2312" w:cs="仿宋_GB2312" w:eastAsia="仿宋_GB2312"/>
        </w:rPr>
        <w:t>3、项目负责人：拟派项目负责人须具备注册测绘师资格或相关专业中级以上（含中级）技术职称</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白水县雷公路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09136183600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陕西省西安市新城区金花北路169号天彩大厦B座20层2001室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阮旭静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09138483373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开户名称：陕西诚方源项目管理有限公司</w:t>
            </w:r>
          </w:p>
          <w:p>
            <w:pPr>
              <w:pStyle w:val="null3"/>
            </w:pPr>
            <w:r>
              <w:rPr>
                <w:rFonts w:ascii="仿宋_GB2312" w:hAnsi="仿宋_GB2312" w:cs="仿宋_GB2312" w:eastAsia="仿宋_GB2312"/>
              </w:rPr>
              <w:t>开户银行：中信银行股份有限公司西安咸宁路支行（缴纳保证金时需备注“SXCFY20260502磋商保证金”）</w:t>
            </w:r>
          </w:p>
          <w:p>
            <w:pPr>
              <w:pStyle w:val="null3"/>
            </w:pPr>
            <w:r>
              <w:rPr>
                <w:rFonts w:ascii="仿宋_GB2312" w:hAnsi="仿宋_GB2312" w:cs="仿宋_GB2312" w:eastAsia="仿宋_GB2312"/>
              </w:rPr>
              <w:t>银行账号：8111701011600592875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标准。 2、采购代理服务费账户： 公司名称：陕西诚方源项目管理有限公司 账 号: 8111701011600592875 开 户 行：中信银行股份有限公司西安咸宁路支行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白水县自然资源局</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符合采购文件和乙方响应文件标准和要求以及国家相关技术标准，对所有地块进行举证，并制作好图册，通过省政府组织的核查验收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联系人：阮旭静</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地址：陕西省西安市新城区金花北路169号天彩大厦B座20层2001室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白水县历年耕地占补平衡项目、增减挂钩项目审计“回头看”反馈问题整改任务逐地块进行外业核查，确定项目内“非农化”及撂荒地块，并反馈县自然资源局。对整改完成的项目逐地块再次外业举证、数据套合，通过带角度定位软件拍照形成整改图册，直至项目区内全部整改完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819,000.00</w:t>
      </w:r>
    </w:p>
    <w:p>
      <w:pPr>
        <w:pStyle w:val="null3"/>
      </w:pPr>
      <w:r>
        <w:rPr>
          <w:rFonts w:ascii="仿宋_GB2312" w:hAnsi="仿宋_GB2312" w:cs="仿宋_GB2312" w:eastAsia="仿宋_GB2312"/>
        </w:rPr>
        <w:t>采购包最高限价（元）: 819,000.00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 耕地占补平衡相关资金审计反馈问题整改回头看项目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819,000.00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耕地占补平衡相关资金审计反馈问题整改回头看项目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对白水县历年耕地占补平衡项目、增减挂钩项目审计“回头看”反馈问题整改任务逐地块进行外业核查，确定项目内“非农化”及撂荒地块，并反馈县自然资源局。对整改完成的项目逐地块再次外业举证、数据套合，通过带角度定位软件拍照形成整改图册，直至项目区内全部整改完成。整改项目共计</w:t>
            </w:r>
            <w:r>
              <w:rPr>
                <w:rFonts w:ascii="仿宋_GB2312" w:hAnsi="仿宋_GB2312" w:cs="仿宋_GB2312" w:eastAsia="仿宋_GB2312"/>
              </w:rPr>
              <w:t>43个子项目，2659个地块，总面积7461亩。共制作图册43套。</w:t>
            </w:r>
          </w:p>
          <w:p>
            <w:pPr>
              <w:pStyle w:val="null3"/>
              <w:jc w:val="both"/>
            </w:pPr>
            <w:r>
              <w:rPr>
                <w:rFonts w:ascii="仿宋_GB2312" w:hAnsi="仿宋_GB2312" w:cs="仿宋_GB2312" w:eastAsia="仿宋_GB2312"/>
              </w:rPr>
              <w:t>技术标准：</w:t>
            </w:r>
          </w:p>
          <w:p>
            <w:pPr>
              <w:pStyle w:val="null3"/>
              <w:jc w:val="both"/>
            </w:pPr>
            <w:r>
              <w:rPr>
                <w:rFonts w:ascii="仿宋_GB2312" w:hAnsi="仿宋_GB2312" w:cs="仿宋_GB2312" w:eastAsia="仿宋_GB2312"/>
              </w:rPr>
              <w:t>（</w:t>
            </w:r>
            <w:r>
              <w:rPr>
                <w:rFonts w:ascii="仿宋_GB2312" w:hAnsi="仿宋_GB2312" w:cs="仿宋_GB2312" w:eastAsia="仿宋_GB2312"/>
              </w:rPr>
              <w:t>1）TD/T 1001-2012  地籍调查规程</w:t>
            </w:r>
          </w:p>
          <w:p>
            <w:pPr>
              <w:pStyle w:val="null3"/>
              <w:jc w:val="both"/>
            </w:pPr>
            <w:r>
              <w:rPr>
                <w:rFonts w:ascii="仿宋_GB2312" w:hAnsi="仿宋_GB2312" w:cs="仿宋_GB2312" w:eastAsia="仿宋_GB2312"/>
              </w:rPr>
              <w:t>（</w:t>
            </w:r>
            <w:r>
              <w:rPr>
                <w:rFonts w:ascii="仿宋_GB2312" w:hAnsi="仿宋_GB2312" w:cs="仿宋_GB2312" w:eastAsia="仿宋_GB2312"/>
              </w:rPr>
              <w:t>2）TD/T 1055-2019  第三次全国国土调查技术规程</w:t>
            </w:r>
          </w:p>
          <w:p>
            <w:pPr>
              <w:pStyle w:val="null3"/>
            </w:pPr>
            <w:r>
              <w:rPr>
                <w:rFonts w:ascii="仿宋_GB2312" w:hAnsi="仿宋_GB2312" w:cs="仿宋_GB2312" w:eastAsia="仿宋_GB2312"/>
                <w:sz w:val="21"/>
              </w:rPr>
              <w:t>（</w:t>
            </w:r>
            <w:r>
              <w:rPr>
                <w:rFonts w:ascii="仿宋_GB2312" w:hAnsi="仿宋_GB2312" w:cs="仿宋_GB2312" w:eastAsia="仿宋_GB2312"/>
                <w:sz w:val="21"/>
              </w:rPr>
              <w:t>3）国土空间调查、规划、用途管制用地用海分类指南（自然资发〔2023〕234号）</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 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 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自合同签订之日起180天提交服务成果文件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符合采购文件和乙方响应文件标准和要求以及国家相关技术标准，对所有地块进行举证，并制作好图册，通过省政府组织的核查验收。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进度款，提交成果文件，验收合格后一次性支付，达到付款条件起30个工作日内，支付合同总金额的100.0%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本项目结果公告发布后，成交单位应向代理机构提供纸质响应文件一套（一正二副），纸质响应文件应与系统上传响应文件内容保持一致。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基本开户银行出具的资信证明或担保函（附基本户开户许可证）；注：根据“【财办2022】32号”的规定，2022年后出具的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提供2026年1月至今已缴纳的至少一个月的纳税证明或完税证明（任意税种），依法免税的单位应提供相关证明材料；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基本资格要求.docx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法定代表人或其授权代表委托书</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法定代表人直接参加磋商的，须出具法定代表人身份证明书；法定代表人授权代表参加磋商的，须出具法定代表人授权委托书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具有测绘主管部门颁发的乙级及以上测绘资质</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拟派项目负责人须具备注册测绘师资格或相关专业中级以上（含中级）技术职称</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报价未超过预算和最高限价。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磋商有效期不少于磋商文件要求，否则其响应无效。</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供应商未提供拒绝政府采购领域商业贿赂承诺书，响应无效。</w:t>
            </w:r>
          </w:p>
        </w:tc>
        <w:tc>
          <w:tcPr>
            <w:tcW w:type="dxa" w:w="1661"/>
          </w:tcPr>
          <w:p>
            <w:pPr>
              <w:pStyle w:val="null3"/>
            </w:pPr>
            <w:r>
              <w:rPr>
                <w:rFonts w:ascii="仿宋_GB2312" w:hAnsi="仿宋_GB2312" w:cs="仿宋_GB2312" w:eastAsia="仿宋_GB2312"/>
              </w:rPr>
              <w:t>拒绝贿赂承诺书.docx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采购文件服务要求响应情况，若负偏离，响应无效。</w:t>
            </w:r>
          </w:p>
        </w:tc>
        <w:tc>
          <w:tcPr>
            <w:tcW w:type="dxa" w:w="1661"/>
          </w:tcPr>
          <w:p>
            <w:pPr>
              <w:pStyle w:val="null3"/>
            </w:pPr>
            <w:r>
              <w:rPr>
                <w:rFonts w:ascii="仿宋_GB2312" w:hAnsi="仿宋_GB2312" w:cs="仿宋_GB2312" w:eastAsia="仿宋_GB2312"/>
              </w:rPr>
              <w:t>服务应答表.docx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采购文件商务要求响应情况，若负偏离，响应无效。</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出现不符合法律法规和采购文件中规定的其他实质性要求的情况，响应无效。</w:t>
            </w:r>
          </w:p>
        </w:tc>
        <w:tc>
          <w:tcPr>
            <w:tcW w:type="dxa" w:w="1661"/>
          </w:tcPr>
          <w:p>
            <w:pPr>
              <w:pStyle w:val="null3"/>
            </w:pPr>
            <w:r>
              <w:rPr>
                <w:rFonts w:ascii="仿宋_GB2312" w:hAnsi="仿宋_GB2312" w:cs="仿宋_GB2312" w:eastAsia="仿宋_GB2312"/>
              </w:rPr>
              <w:t>中小企业声明函 报价表 商务应答表.docx 响应文件封面 分项报价表.docx 特殊资格要求.docx 拒绝贿赂承诺书.docx 残疾人福利性单位声明函 标的清单 响应函 基本资格要求.docx 监狱企业的证明文件 服务应答表.docx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项目总体思路</w:t>
            </w:r>
          </w:p>
        </w:tc>
        <w:tc>
          <w:tcPr>
            <w:tcW w:type="dxa" w:w="2492"/>
          </w:tcPr>
          <w:p>
            <w:pPr>
              <w:pStyle w:val="null3"/>
            </w:pPr>
            <w:r>
              <w:rPr>
                <w:rFonts w:ascii="仿宋_GB2312" w:hAnsi="仿宋_GB2312" w:cs="仿宋_GB2312" w:eastAsia="仿宋_GB2312"/>
              </w:rPr>
              <w:t>一、评审内容 本项目总体思路，符合国家及地方有关技术规范及标准规定，以及本项目工作背景、目的和工作范围认识准确性、深入程度等，符合磋商文件要求，内容包括：①本项目的基本情况和背景；②工作理解、工作思路。 二、评审标准 1、完整性：方案须全面，对评审内容中的各项要求有详细描述及说明； 2、可实施性：切合本项目实际情况，实施步骤清晰、合理； 3、针对性：方案能够紧扣项目实际情况，内容科学合理。 三、赋分标准（满分12分） ①本项目的基本情况和背景：每完全满足一项评审标准2分，满分6分； ②工作理解、工作思路:每完全满足一项评审标准得2分，满分6分。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1、项目总体思路.docx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规划修编技术服务方案结构清晰、内容完整、表述准确、归纳凝练， 方案中工作程序、工作方法科学严谨及深度切实可行，明确规范性条款、 技术标准、方法、工作重点与技术难点等。 二、评审标准 1、完整性：方案须全面，对评审内容中的各项要求有详细描述及说明； 2、可实施性：切合本项目实际情况，实施步骤清晰、合理； 3、针对性：方案能够紧扣项目实际情况，内容科学合理。 三、赋分标准（满分15分） 规划修编技术服务方案：每完全满足一项评审标准5分，满分15分。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2、技术服务方案.docx</w:t>
            </w:r>
          </w:p>
        </w:tc>
      </w:tr>
      <w:tr>
        <w:tc>
          <w:tcPr>
            <w:tcW w:type="dxa" w:w="831"/>
            <w:vMerge/>
          </w:tcPr>
          <w:p/>
        </w:tc>
        <w:tc>
          <w:tcPr>
            <w:tcW w:type="dxa" w:w="1661"/>
          </w:tcPr>
          <w:p>
            <w:pPr>
              <w:pStyle w:val="null3"/>
            </w:pPr>
            <w:r>
              <w:rPr>
                <w:rFonts w:ascii="仿宋_GB2312" w:hAnsi="仿宋_GB2312" w:cs="仿宋_GB2312" w:eastAsia="仿宋_GB2312"/>
              </w:rPr>
              <w:t>保障服务方案</w:t>
            </w:r>
          </w:p>
        </w:tc>
        <w:tc>
          <w:tcPr>
            <w:tcW w:type="dxa" w:w="2492"/>
          </w:tcPr>
          <w:p>
            <w:pPr>
              <w:pStyle w:val="null3"/>
            </w:pPr>
            <w:r>
              <w:rPr>
                <w:rFonts w:ascii="仿宋_GB2312" w:hAnsi="仿宋_GB2312" w:cs="仿宋_GB2312" w:eastAsia="仿宋_GB2312"/>
              </w:rPr>
              <w:t>一、评审内容 服务期保障服务方案，提供的实施进度计划及工期保证措施方案， 且有实施的工期保障服务承诺等，内容包括：①施进度计划； ②工期保证措施方案； ③实施的工期保障服务承诺。 二、评审标准 1、完整性：方案须全面，对评审内容中的各项要求有详细描述及说明； 2、可实施性：切合本项目实际情况，实施步骤清晰、合理； 3、针对性：方案能够紧扣项目实际情况，内容科学合理。 三、赋分标准（满分9分） ①施进度计划：每完全满足一项评审标准1分，满分3分； ②工期保证措施方案：每完全满足一项评审标准得1分，满分3分； ③实施的工期保障服务承诺：每完全满足一项评审标准得1分，满分3分。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3、质量保证措施.docx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对本项目制定服务质量方案、技术服务流程、技术档案管理、人员组织及保障情况，内容包括：①制定服务质量方案； ②技术服务流程，③技术档案管理，④人员组织及保障情况。 二、评审标准 1、完整性：方案须全面，对评审内容中的各项要求有详细描述及说明； 2、可实施性：切合本项目实际情况，实施步骤清晰、合理； 3、针对性：方案能够紧扣项目实际情况，内容科学合理。 三、赋分标准（满分12分） ①制定服务质量方案：每完全满足一项评审标准1分，满分3分； ②技术服务流程:每完全满足一项评审标准得1分，满分3分； ③技术档案管理：每完全满足一项评审标准1分，满分3分 ④人员组织及保障情况:每完全满足一项评审标准得1分，满分3分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4、服务方案.docx</w:t>
            </w:r>
          </w:p>
        </w:tc>
      </w:tr>
      <w:tr>
        <w:tc>
          <w:tcPr>
            <w:tcW w:type="dxa" w:w="831"/>
            <w:vMerge/>
          </w:tcPr>
          <w:p/>
        </w:tc>
        <w:tc>
          <w:tcPr>
            <w:tcW w:type="dxa" w:w="1661"/>
          </w:tcPr>
          <w:p>
            <w:pPr>
              <w:pStyle w:val="null3"/>
            </w:pPr>
            <w:r>
              <w:rPr>
                <w:rFonts w:ascii="仿宋_GB2312" w:hAnsi="仿宋_GB2312" w:cs="仿宋_GB2312" w:eastAsia="仿宋_GB2312"/>
              </w:rPr>
              <w:t>工作组织与项目进度安排</w:t>
            </w:r>
          </w:p>
        </w:tc>
        <w:tc>
          <w:tcPr>
            <w:tcW w:type="dxa" w:w="2492"/>
          </w:tcPr>
          <w:p>
            <w:pPr>
              <w:pStyle w:val="null3"/>
            </w:pPr>
            <w:r>
              <w:rPr>
                <w:rFonts w:ascii="仿宋_GB2312" w:hAnsi="仿宋_GB2312" w:cs="仿宋_GB2312" w:eastAsia="仿宋_GB2312"/>
              </w:rPr>
              <w:t>一、评审内容 针对本项目服务内容提出工作组织与项目进度安排，内容包括：①工作总体安排； ②项目进度安排。 二、评审标准 1、完整性：方案须全面，对评审内容中的各项要求有详细描述及说明； 2、可实施性：切合本项目实际情况，实施步骤清晰、合理； 3、针对性：方案能够紧扣项目实际情况，内容科学合理。 三、赋分标准（满分6分） ①工作总体安排：每完全满足一项评审标准1分，满分3分； ②项目进度安排:每完全满足一项评审标准得1分，满分3分。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5、工作组织与项目进度安排.docx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针对本项目提供的详细的后续服务方案，后续服务方案包含后续服务人员实力、保证措施、服务流程、响应速度、服务承诺等，内容包括：①后续服务人员实力； ②保证措施；③服务流程；④响应速度；⑤服务承诺。 二、评审标准 1、完整性：方案须全面，对评审内容中的各项要求有详细描述及说明； 2、可实施性：切合本项目实际情况，实施步骤清晰、合理； 3、针对性：方案能够紧扣项目实际情况，内容科学合理。 三、赋分标准（满分9分） ①后续服务人员实力：每完全满足一项评审标准1分，满分3分； ②保证措施:每完全满足一项评审标准得0.5分，满分1.5分； ③服务流程：每完全满足一项评审标准得0.5分，满分1.5分； ④响应速度：每完全满足一项评审标准得0.5分，满分1.5分； ⑤服务承诺：每完全满足一项评审标准得0.5分，满分1.5分；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6、后续服务方案.docx</w:t>
            </w:r>
          </w:p>
          <w:p>
            <w:pPr>
              <w:pStyle w:val="null3"/>
            </w:pPr>
            <w:r>
              <w:rPr>
                <w:rFonts w:ascii="仿宋_GB2312" w:hAnsi="仿宋_GB2312" w:cs="仿宋_GB2312" w:eastAsia="仿宋_GB2312"/>
              </w:rPr>
              <w:t>6、后续服务方案.docx</w:t>
            </w:r>
          </w:p>
        </w:tc>
      </w:tr>
      <w:tr>
        <w:tc>
          <w:tcPr>
            <w:tcW w:type="dxa" w:w="831"/>
            <w:vMerge/>
          </w:tcPr>
          <w:p/>
        </w:tc>
        <w:tc>
          <w:tcPr>
            <w:tcW w:type="dxa" w:w="1661"/>
          </w:tcPr>
          <w:p>
            <w:pPr>
              <w:pStyle w:val="null3"/>
            </w:pPr>
            <w:r>
              <w:rPr>
                <w:rFonts w:ascii="仿宋_GB2312" w:hAnsi="仿宋_GB2312" w:cs="仿宋_GB2312" w:eastAsia="仿宋_GB2312"/>
              </w:rPr>
              <w:t>项目组成员情况</w:t>
            </w:r>
          </w:p>
        </w:tc>
        <w:tc>
          <w:tcPr>
            <w:tcW w:type="dxa" w:w="2492"/>
          </w:tcPr>
          <w:p>
            <w:pPr>
              <w:pStyle w:val="null3"/>
            </w:pPr>
            <w:r>
              <w:rPr>
                <w:rFonts w:ascii="仿宋_GB2312" w:hAnsi="仿宋_GB2312" w:cs="仿宋_GB2312" w:eastAsia="仿宋_GB2312"/>
              </w:rPr>
              <w:t>拟投入本项目的专业技术人员（不含项目负责人）：每提供一个相关专业中级职称人员得1分，每提供一个高级职称人员得2分，每提供1个相关专业注册证人员得3分，最高得9分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7、项目组成员情况.docx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提供2023年5月至今供应商类似项目业绩，以合同为准，每份2分，最高得8分。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满足竞争性磋商文件要求且最低的磋商报价为评标基准价，其价格分为满分。 各供应商的报价得分按下列公式计算： （基准价/磋商报价）×20×100％。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详见附件：基本资格要求.docx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详见附件：拒绝贿赂承诺书.docx</w:t>
      </w:r>
    </w:p>
    <w:p>
      <w:pPr>
        <w:pStyle w:val="null3"/>
        <w:ind w:firstLine="960"/>
      </w:pPr>
      <w:r>
        <w:rPr>
          <w:rFonts w:ascii="仿宋_GB2312" w:hAnsi="仿宋_GB2312" w:cs="仿宋_GB2312" w:eastAsia="仿宋_GB2312"/>
        </w:rPr>
        <w:t>详见附件：服务应答表.docx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详见附件：1、项目总体思路.docx</w:t>
      </w:r>
    </w:p>
    <w:p>
      <w:pPr>
        <w:pStyle w:val="null3"/>
        <w:ind w:firstLine="960"/>
      </w:pPr>
      <w:r>
        <w:rPr>
          <w:rFonts w:ascii="仿宋_GB2312" w:hAnsi="仿宋_GB2312" w:cs="仿宋_GB2312" w:eastAsia="仿宋_GB2312"/>
        </w:rPr>
        <w:t>详见附件：2、技术服务方案.docx</w:t>
      </w:r>
    </w:p>
    <w:p>
      <w:pPr>
        <w:pStyle w:val="null3"/>
        <w:ind w:firstLine="960"/>
      </w:pPr>
      <w:r>
        <w:rPr>
          <w:rFonts w:ascii="仿宋_GB2312" w:hAnsi="仿宋_GB2312" w:cs="仿宋_GB2312" w:eastAsia="仿宋_GB2312"/>
        </w:rPr>
        <w:t>详见附件：3、质量保证措施.docx</w:t>
      </w:r>
    </w:p>
    <w:p>
      <w:pPr>
        <w:pStyle w:val="null3"/>
        <w:ind w:firstLine="960"/>
      </w:pPr>
      <w:r>
        <w:rPr>
          <w:rFonts w:ascii="仿宋_GB2312" w:hAnsi="仿宋_GB2312" w:cs="仿宋_GB2312" w:eastAsia="仿宋_GB2312"/>
        </w:rPr>
        <w:t>详见附件：4、服务方案.docx</w:t>
      </w:r>
    </w:p>
    <w:p>
      <w:pPr>
        <w:pStyle w:val="null3"/>
        <w:ind w:firstLine="960"/>
      </w:pPr>
      <w:r>
        <w:rPr>
          <w:rFonts w:ascii="仿宋_GB2312" w:hAnsi="仿宋_GB2312" w:cs="仿宋_GB2312" w:eastAsia="仿宋_GB2312"/>
        </w:rPr>
        <w:t>详见附件：5、工作组织与项目进度安排.docx</w:t>
      </w:r>
    </w:p>
    <w:p>
      <w:pPr>
        <w:pStyle w:val="null3"/>
        <w:ind w:firstLine="960"/>
      </w:pPr>
      <w:r>
        <w:rPr>
          <w:rFonts w:ascii="仿宋_GB2312" w:hAnsi="仿宋_GB2312" w:cs="仿宋_GB2312" w:eastAsia="仿宋_GB2312"/>
        </w:rPr>
        <w:t>详见附件：6、后续服务方案.docx</w:t>
      </w:r>
    </w:p>
    <w:p>
      <w:pPr>
        <w:pStyle w:val="null3"/>
        <w:ind w:firstLine="960"/>
      </w:pPr>
      <w:r>
        <w:rPr>
          <w:rFonts w:ascii="仿宋_GB2312" w:hAnsi="仿宋_GB2312" w:cs="仿宋_GB2312" w:eastAsia="仿宋_GB2312"/>
        </w:rPr>
        <w:t>详见附件：6、后续服务方案.docx</w:t>
      </w:r>
    </w:p>
    <w:p>
      <w:pPr>
        <w:pStyle w:val="null3"/>
        <w:ind w:firstLine="960"/>
      </w:pPr>
      <w:r>
        <w:rPr>
          <w:rFonts w:ascii="仿宋_GB2312" w:hAnsi="仿宋_GB2312" w:cs="仿宋_GB2312" w:eastAsia="仿宋_GB2312"/>
        </w:rPr>
        <w:t>详见附件：7、项目组成员情况.docx</w:t>
      </w:r>
    </w:p>
    <w:p>
      <w:pPr>
        <w:pStyle w:val="null3"/>
        <w:ind w:firstLine="960"/>
      </w:pPr>
      <w:r>
        <w:rPr>
          <w:rFonts w:ascii="仿宋_GB2312" w:hAnsi="仿宋_GB2312" w:cs="仿宋_GB2312" w:eastAsia="仿宋_GB2312"/>
        </w:rPr>
        <w:t>详见附件：8、业绩.docx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