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95018">
      <w:pPr>
        <w:pStyle w:val="3"/>
        <w:spacing w:line="312" w:lineRule="auto"/>
        <w:jc w:val="center"/>
        <w:rPr>
          <w:rFonts w:hint="eastAsia" w:ascii="宋体" w:hAnsi="宋体" w:eastAsia="宋体" w:cs="宋体"/>
          <w:color w:val="auto"/>
          <w:szCs w:val="32"/>
          <w:highlight w:val="none"/>
          <w:lang w:val="en-US" w:eastAsia="zh-CN"/>
        </w:rPr>
      </w:pPr>
      <w:bookmarkStart w:id="1" w:name="_GoBack"/>
      <w:bookmarkEnd w:id="1"/>
      <w:bookmarkStart w:id="0" w:name="_Toc9102"/>
      <w:r>
        <w:rPr>
          <w:rFonts w:hint="eastAsia" w:ascii="宋体" w:hAnsi="宋体" w:eastAsia="宋体" w:cs="宋体"/>
          <w:color w:val="auto"/>
          <w:szCs w:val="32"/>
          <w:highlight w:val="none"/>
          <w:lang w:val="en-US" w:eastAsia="zh-CN"/>
        </w:rPr>
        <w:t>合同条款及格式</w:t>
      </w:r>
      <w:bookmarkEnd w:id="0"/>
      <w:r>
        <w:rPr>
          <w:rFonts w:hint="eastAsia" w:ascii="宋体" w:hAnsi="宋体" w:eastAsia="宋体" w:cs="宋体"/>
          <w:color w:val="auto"/>
          <w:szCs w:val="32"/>
          <w:highlight w:val="none"/>
          <w:lang w:val="en-US" w:eastAsia="zh-CN"/>
        </w:rPr>
        <w:t xml:space="preserve"> </w:t>
      </w:r>
    </w:p>
    <w:p w14:paraId="12C168E2">
      <w:pPr>
        <w:spacing w:line="520" w:lineRule="exact"/>
        <w:ind w:firstLine="480" w:firstLineChars="200"/>
        <w:jc w:val="center"/>
        <w:textAlignment w:val="baseline"/>
        <w:rPr>
          <w:rFonts w:hint="eastAsia" w:ascii="宋体" w:hAnsi="宋体" w:eastAsia="宋体" w:cs="宋体"/>
          <w:sz w:val="24"/>
          <w:szCs w:val="24"/>
          <w:lang w:val="zh-CN"/>
        </w:rPr>
      </w:pPr>
      <w:r>
        <w:rPr>
          <w:rFonts w:hint="eastAsia" w:ascii="宋体" w:hAnsi="宋体" w:eastAsia="宋体" w:cs="宋体"/>
          <w:sz w:val="24"/>
          <w:szCs w:val="24"/>
          <w:lang w:val="zh-CN"/>
        </w:rPr>
        <w:t>（说明 ：本合同模板仅供参考，合同具体条款由采购人与中标单位自行协商，</w:t>
      </w:r>
    </w:p>
    <w:p w14:paraId="441A411A">
      <w:pPr>
        <w:spacing w:line="520" w:lineRule="exact"/>
        <w:ind w:firstLine="480" w:firstLineChars="200"/>
        <w:jc w:val="center"/>
        <w:textAlignment w:val="baseline"/>
        <w:rPr>
          <w:rFonts w:hint="eastAsia" w:ascii="宋体" w:hAnsi="宋体" w:eastAsia="宋体" w:cs="宋体"/>
          <w:sz w:val="24"/>
          <w:szCs w:val="24"/>
          <w:lang w:val="zh-CN"/>
        </w:rPr>
      </w:pPr>
      <w:r>
        <w:rPr>
          <w:rFonts w:hint="eastAsia" w:ascii="宋体" w:hAnsi="宋体" w:eastAsia="宋体" w:cs="宋体"/>
          <w:sz w:val="24"/>
          <w:szCs w:val="24"/>
          <w:lang w:val="zh-CN"/>
        </w:rPr>
        <w:t>最终合同以采购人给出的合同定稿为准。）</w:t>
      </w:r>
    </w:p>
    <w:p w14:paraId="4E1D1A0B">
      <w:pPr>
        <w:keepNext w:val="0"/>
        <w:keepLines w:val="0"/>
        <w:pageBreakBefore w:val="0"/>
        <w:kinsoku/>
        <w:wordWrap/>
        <w:overflowPunct/>
        <w:topLinePunct w:val="0"/>
        <w:autoSpaceDE w:val="0"/>
        <w:autoSpaceDN w:val="0"/>
        <w:bidi w:val="0"/>
        <w:adjustRightInd w:val="0"/>
        <w:spacing w:line="360" w:lineRule="auto"/>
        <w:jc w:val="both"/>
        <w:textAlignment w:val="auto"/>
        <w:rPr>
          <w:rFonts w:hint="eastAsia" w:ascii="宋体" w:hAnsi="宋体" w:eastAsia="宋体" w:cs="宋体"/>
          <w:sz w:val="24"/>
          <w:szCs w:val="24"/>
          <w:highlight w:val="none"/>
          <w:u w:val="single"/>
        </w:rPr>
      </w:pPr>
      <w:r>
        <w:rPr>
          <w:rFonts w:hint="eastAsia" w:ascii="宋体" w:hAnsi="宋体" w:eastAsia="宋体" w:cs="宋体"/>
          <w:bCs/>
          <w:sz w:val="24"/>
          <w:szCs w:val="24"/>
          <w:highlight w:val="none"/>
        </w:rPr>
        <w:t>甲方（采购人）：</w:t>
      </w:r>
      <w:r>
        <w:rPr>
          <w:rFonts w:hint="eastAsia" w:ascii="宋体" w:hAnsi="宋体" w:eastAsia="宋体" w:cs="宋体"/>
          <w:bCs/>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p>
    <w:p w14:paraId="0A0F77B1">
      <w:pPr>
        <w:keepNext w:val="0"/>
        <w:keepLines w:val="0"/>
        <w:pageBreakBefore w:val="0"/>
        <w:kinsoku/>
        <w:wordWrap/>
        <w:overflowPunct/>
        <w:topLinePunct w:val="0"/>
        <w:autoSpaceDE w:val="0"/>
        <w:autoSpaceDN w:val="0"/>
        <w:bidi w:val="0"/>
        <w:adjustRightInd w:val="0"/>
        <w:spacing w:line="360" w:lineRule="auto"/>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乙方（成交供应商）：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p>
    <w:p w14:paraId="7D119744">
      <w:pPr>
        <w:keepNext w:val="0"/>
        <w:keepLines w:val="0"/>
        <w:pageBreakBefore w:val="0"/>
        <w:widowControl w:val="0"/>
        <w:kinsoku/>
        <w:wordWrap w:val="0"/>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u w:val="single"/>
          <w:lang w:val="en-US" w:eastAsia="zh-CN"/>
        </w:rPr>
        <w:t>2026年度企业研发投入数据复核服务合同包（）</w:t>
      </w:r>
      <w:r>
        <w:rPr>
          <w:rFonts w:hint="eastAsia" w:ascii="宋体" w:hAnsi="宋体" w:eastAsia="宋体" w:cs="宋体"/>
          <w:bCs/>
          <w:sz w:val="24"/>
          <w:szCs w:val="24"/>
          <w:highlight w:val="none"/>
          <w:u w:val="single"/>
        </w:rPr>
        <w:t>(项目编号：</w:t>
      </w:r>
      <w:r>
        <w:rPr>
          <w:rFonts w:hint="eastAsia" w:ascii="宋体" w:hAnsi="宋体" w:eastAsia="宋体" w:cs="宋体"/>
          <w:bCs/>
          <w:sz w:val="24"/>
          <w:szCs w:val="24"/>
          <w:highlight w:val="none"/>
          <w:u w:val="single"/>
          <w:lang w:eastAsia="zh-CN"/>
        </w:rPr>
        <w:t xml:space="preserve">TYRZHC-2026-007 </w:t>
      </w:r>
      <w:r>
        <w:rPr>
          <w:rFonts w:hint="eastAsia" w:ascii="宋体" w:hAnsi="宋体" w:eastAsia="宋体" w:cs="宋体"/>
          <w:bCs/>
          <w:sz w:val="24"/>
          <w:szCs w:val="24"/>
          <w:highlight w:val="none"/>
          <w:u w:val="single"/>
        </w:rPr>
        <w:t>)</w:t>
      </w:r>
      <w:r>
        <w:rPr>
          <w:rFonts w:hint="eastAsia" w:ascii="宋体" w:hAnsi="宋体" w:eastAsia="宋体" w:cs="宋体"/>
          <w:bCs/>
          <w:sz w:val="24"/>
          <w:szCs w:val="24"/>
          <w:highlight w:val="none"/>
        </w:rPr>
        <w:t>由天煜荣泽工程咨询有限公司组织竞争性磋商，</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西安市科学技术局</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(以下简称“甲方”)确定</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（以下简称“乙方”）为</w:t>
      </w:r>
      <w:r>
        <w:rPr>
          <w:rFonts w:hint="eastAsia" w:ascii="宋体" w:hAnsi="宋体" w:eastAsia="宋体" w:cs="宋体"/>
          <w:bCs/>
          <w:sz w:val="24"/>
          <w:szCs w:val="24"/>
          <w:highlight w:val="none"/>
          <w:lang w:val="en-US" w:eastAsia="zh-CN"/>
        </w:rPr>
        <w:t>该项目的</w:t>
      </w:r>
      <w:r>
        <w:rPr>
          <w:rFonts w:hint="eastAsia" w:ascii="宋体" w:hAnsi="宋体" w:eastAsia="宋体" w:cs="宋体"/>
          <w:bCs/>
          <w:sz w:val="24"/>
          <w:szCs w:val="24"/>
          <w:highlight w:val="none"/>
        </w:rPr>
        <w:t>成交供应商。</w:t>
      </w:r>
    </w:p>
    <w:p w14:paraId="7DFB1AE6">
      <w:pPr>
        <w:autoSpaceDE w:val="0"/>
        <w:autoSpaceDN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依据《中华人民共和国</w:t>
      </w:r>
      <w:r>
        <w:rPr>
          <w:rFonts w:hint="eastAsia" w:ascii="宋体" w:hAnsi="宋体" w:eastAsia="宋体" w:cs="宋体"/>
          <w:bCs/>
          <w:sz w:val="24"/>
          <w:szCs w:val="24"/>
          <w:highlight w:val="none"/>
          <w:lang w:val="en-US" w:eastAsia="zh-CN"/>
        </w:rPr>
        <w:t>民法典</w:t>
      </w:r>
      <w:r>
        <w:rPr>
          <w:rFonts w:hint="eastAsia" w:ascii="宋体" w:hAnsi="宋体" w:eastAsia="宋体" w:cs="宋体"/>
          <w:bCs/>
          <w:sz w:val="24"/>
          <w:szCs w:val="24"/>
          <w:highlight w:val="none"/>
        </w:rPr>
        <w:t>》和《中华人民共和国政府采购法》之规定，经双方在平等、自愿、互利的基础上，签订本合同，共同信守。</w:t>
      </w:r>
    </w:p>
    <w:p w14:paraId="1B95EB3D">
      <w:pPr>
        <w:autoSpaceDE w:val="0"/>
        <w:autoSpaceDN w:val="0"/>
        <w:adjustRightIn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一、合同价款</w:t>
      </w:r>
    </w:p>
    <w:p w14:paraId="4B4A2C57">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（一）合同价款（最终磋商报价）为人民币（大写）      （¥      ）。</w:t>
      </w:r>
    </w:p>
    <w:p w14:paraId="36C04A6C">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（二）合同价款包括但不限于人员工资、投入的材料费和机械费、工作、生活、交通、通讯、设备（仪器）、劳动力、财务、管理费、利润、风险、各种税金等所有成本。</w:t>
      </w:r>
    </w:p>
    <w:p w14:paraId="42D3DCC0">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（三）合同价款一次性包死，不受市场价格变化因素的影响。</w:t>
      </w:r>
    </w:p>
    <w:p w14:paraId="3DE57C4A">
      <w:pPr>
        <w:autoSpaceDE w:val="0"/>
        <w:autoSpaceDN w:val="0"/>
        <w:adjustRightInd w:val="0"/>
        <w:spacing w:line="360" w:lineRule="auto"/>
        <w:ind w:firstLine="562"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b/>
          <w:bCs/>
          <w:sz w:val="28"/>
          <w:szCs w:val="28"/>
          <w:highlight w:val="none"/>
          <w:lang w:val="en-US" w:eastAsia="zh-CN"/>
        </w:rPr>
        <w:t>二、委托工作内容：</w:t>
      </w:r>
      <w:r>
        <w:rPr>
          <w:rFonts w:hint="eastAsia" w:ascii="宋体" w:hAnsi="宋体" w:eastAsia="宋体" w:cs="宋体"/>
          <w:color w:val="000000"/>
          <w:sz w:val="24"/>
          <w:szCs w:val="24"/>
          <w:highlight w:val="none"/>
          <w:u w:val="single"/>
          <w:lang w:val="en-US" w:eastAsia="zh-CN"/>
        </w:rPr>
        <w:t xml:space="preserve"> 对2025年企业研发经费（R&amp;D）投入数据进行审计核实，拟审计企业约185家。   </w:t>
      </w:r>
    </w:p>
    <w:p w14:paraId="11A77319">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三、款项结算</w:t>
      </w:r>
    </w:p>
    <w:p w14:paraId="12B584FB">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（一）付款方式：待整个项目按照甲方要求按质按量完成后一次性支付全部款项。</w:t>
      </w:r>
    </w:p>
    <w:p w14:paraId="201DEE06">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（二）结算方式：银行转账。</w:t>
      </w:r>
    </w:p>
    <w:p w14:paraId="46518A91">
      <w:pPr>
        <w:autoSpaceDE w:val="0"/>
        <w:autoSpaceDN w:val="0"/>
        <w:adjustRightInd w:val="0"/>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（三）结算单位：由甲方负责结算，乙方开具合同总价款的全额发票交甲方。</w:t>
      </w:r>
    </w:p>
    <w:p w14:paraId="7853F794">
      <w:pPr>
        <w:autoSpaceDE w:val="0"/>
        <w:autoSpaceDN w:val="0"/>
        <w:adjustRightInd w:val="0"/>
        <w:spacing w:line="360" w:lineRule="auto"/>
        <w:ind w:firstLine="562" w:firstLineChars="20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四、服务地点及服务期</w:t>
      </w:r>
    </w:p>
    <w:p w14:paraId="68CD5602">
      <w:pPr>
        <w:adjustRightInd w:val="0"/>
        <w:snapToGrid w:val="0"/>
        <w:spacing w:line="360"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（一）服务地点</w:t>
      </w:r>
      <w:r>
        <w:rPr>
          <w:rFonts w:hint="eastAsia" w:ascii="宋体" w:hAnsi="宋体" w:eastAsia="宋体" w:cs="宋体"/>
          <w:color w:val="000000"/>
          <w:sz w:val="24"/>
          <w:szCs w:val="24"/>
          <w:highlight w:val="none"/>
          <w:lang w:val="en-US" w:eastAsia="zh-CN"/>
        </w:rPr>
        <w:t>：西安</w:t>
      </w:r>
      <w:r>
        <w:rPr>
          <w:rFonts w:hint="eastAsia" w:ascii="宋体" w:hAnsi="宋体" w:cs="宋体"/>
          <w:color w:val="000000"/>
          <w:sz w:val="24"/>
          <w:szCs w:val="24"/>
          <w:highlight w:val="none"/>
          <w:lang w:val="en-US" w:eastAsia="zh-CN"/>
        </w:rPr>
        <w:t>市</w:t>
      </w:r>
    </w:p>
    <w:p w14:paraId="7C607831">
      <w:pPr>
        <w:adjustRightInd w:val="0"/>
        <w:snapToGrid w:val="0"/>
        <w:spacing w:line="360"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（二）服务期：自合同签订之日起30日历天。</w:t>
      </w:r>
    </w:p>
    <w:p w14:paraId="18A0D2B2">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五、服务质量保证</w:t>
      </w:r>
    </w:p>
    <w:p w14:paraId="59576143">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（一）乙方提供的成果文件必须保证符合国家相关程序和相关规定。</w:t>
      </w:r>
    </w:p>
    <w:p w14:paraId="36B091E7">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（二）乙方提供相关成果文件确保真实性、可靠性。</w:t>
      </w:r>
    </w:p>
    <w:p w14:paraId="294C1C43">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六、服务要求</w:t>
      </w:r>
    </w:p>
    <w:p w14:paraId="79001320">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（一）在服务期内，乙方不得因价格优惠而降低服务质量。</w:t>
      </w:r>
    </w:p>
    <w:p w14:paraId="0D9B23A1">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（二）在服务期内，乙方不得以任何形式将工作任务再委托其他个人和机构。</w:t>
      </w:r>
    </w:p>
    <w:p w14:paraId="3D3A4123">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（三）乙方如遇到不能按时提供服务或完成工作的情况，应及时通知甲方，协商解决。</w:t>
      </w:r>
    </w:p>
    <w:p w14:paraId="7B1A64B9">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乙方应按合同约定派驻人员从事具体会计工作，并接受甲方检查我方派驻人员的资质和基本情况。派驻人员工作水平不能达到甲方的工作任务要求，甲方可要求更换人员。确因人员变动等原因有调整的，须经甲方认定会计人员资格后方可参与工作。</w:t>
      </w:r>
    </w:p>
    <w:p w14:paraId="473B57D5">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（五）在服务期内，乙方若发生足以影响服务能力的重大变化，应在变化发生后十个工作日内书面通知甲方，甲方有权根据实际情况决定是否保留定点服务资格。</w:t>
      </w:r>
    </w:p>
    <w:p w14:paraId="3F971335">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（六）乙方对审计项目的违法及违规行为，应及时向甲方书面反映。</w:t>
      </w:r>
    </w:p>
    <w:p w14:paraId="1ACAD94F">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七）为保证质量、服务进度，乙方应当建立健全服务保障体系，保障体系应当包含主要业务联系人、项目负责人、投诉管理人、联系方式及分工、响应时间等内容。甲方根据工作实际或乙方配合及服务质量情况，有权对工作内容进行调整。</w:t>
      </w:r>
    </w:p>
    <w:p w14:paraId="1B144C2E">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（八）乙方应当对审计工作质量负责，甲方有权对乙方的成果文件进行复核，乙方应当无条件配合核实、更正等相关工作。</w:t>
      </w:r>
    </w:p>
    <w:p w14:paraId="01446F7E">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九）乙方应建立健全档案管理制度，完整、准确、真实地反映和记录项目的审计过程和结果，做好各类资料的归集、存档和保管工作。乙方在提供审计服务过程中应根据甲方要求及时完整的移交审计实施方案、审计工作底稿、审计报告等审计资料，包含纸质版、电子版资料。</w:t>
      </w:r>
    </w:p>
    <w:p w14:paraId="049EE486">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（十）乙方在完成审计现场工作后五个工作日内向甲方提供成果文件。</w:t>
      </w:r>
    </w:p>
    <w:p w14:paraId="7564594F">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（十一）在服务期内，乙方的登记、注册及乙方承诺配备项目组人员等信息发生变化时，应及时向甲方申请更新。</w:t>
      </w:r>
    </w:p>
    <w:p w14:paraId="52CEC2A2">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（十二）甲方在服务期限内从工作态度、业务能力、综合素质等方面对乙方的服务情况进行综合评价，对履约评价不合格的服务机构，取消服务资格。</w:t>
      </w:r>
    </w:p>
    <w:p w14:paraId="4450A407">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（十三）下列行为作为服务机构的专项评价内容，服务机构在服务期内有下列行为之一的，甲方将单方面解除合同，并计入政府采购不良行为记录名单，追究其相关责任：</w:t>
      </w:r>
    </w:p>
    <w:p w14:paraId="358325DB">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1.通过捏造事实、隐瞒真相、提供虚假信息等不正当方式，骗取入库资格的；</w:t>
      </w:r>
    </w:p>
    <w:p w14:paraId="48BCD32B">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2.无正当理由放弃中选机会或拒不履行服务义务的；</w:t>
      </w:r>
    </w:p>
    <w:p w14:paraId="4F51D643">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3.无相应能力承揽业务或未尽职履责造成重大失误，导致委托单位遭受重大损失的；</w:t>
      </w:r>
    </w:p>
    <w:p w14:paraId="59A94144">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4.提供的审计（审核）意见严重失实、审计结论不准确，并且拒绝进行重新审计或纠正的；</w:t>
      </w:r>
    </w:p>
    <w:p w14:paraId="69501EA6">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5.在开展业务过程中，串通违规操作、弄虚作假、提供虚假报告的或对可能存在的重大舞弊以及违纪违法行为未能及时告知，导致审计结果不客观的；</w:t>
      </w:r>
    </w:p>
    <w:p w14:paraId="6ADDFFE3">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6.转包或分包委托审计业务的；</w:t>
      </w:r>
    </w:p>
    <w:p w14:paraId="5276C3BD">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7.出现其他影响甲方声誉和利益的；</w:t>
      </w:r>
    </w:p>
    <w:p w14:paraId="00431307">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8.服务机构及其从业人员在服务过程中，利用便利违规操作谋取不正当利益的；</w:t>
      </w:r>
    </w:p>
    <w:p w14:paraId="79F178B4">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9.违反保密协议，泄露审计项目信息，给被审单位造成损失和不良影响的；</w:t>
      </w:r>
    </w:p>
    <w:p w14:paraId="6B8E1FB6">
      <w:pPr>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10.发生与服务相关的其他违规违纪行为。</w:t>
      </w:r>
    </w:p>
    <w:p w14:paraId="0B768754">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七、双方的权利和义务</w:t>
      </w:r>
    </w:p>
    <w:p w14:paraId="7D68B670">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（一）甲方的权利与义务</w:t>
      </w:r>
    </w:p>
    <w:p w14:paraId="507AF6F5">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1、甲方负责配合本次项目服务工作；</w:t>
      </w:r>
    </w:p>
    <w:p w14:paraId="2C87C9C2">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2、甲方应按本合同的约定向乙方支付合同价款；</w:t>
      </w:r>
    </w:p>
    <w:p w14:paraId="22EC43DE">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3、甲方根据需要对乙方提供的实施方案进行审核，提供建议及意见，确定最终实施的方案，以便乙方遵照执行；</w:t>
      </w:r>
    </w:p>
    <w:p w14:paraId="7EF46CBF">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4、甲方有权对乙方的工作进行监督和考核。</w:t>
      </w:r>
    </w:p>
    <w:p w14:paraId="6A2308FE">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（二）乙方的权利与义务</w:t>
      </w:r>
    </w:p>
    <w:p w14:paraId="157D7451">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1、乙方的工作人员必须严格遵守甲方的规章制度，以良好的形象和积极的工作态度，按甲方要求开展工作；</w:t>
      </w:r>
    </w:p>
    <w:p w14:paraId="4AA59182">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2、乙方应服从甲方统筹管理并按流程开展工作；</w:t>
      </w:r>
    </w:p>
    <w:p w14:paraId="7C2128D2">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3、乙方保证安排的相关人员需按照指定时间到达指定地点进行服务。</w:t>
      </w:r>
    </w:p>
    <w:p w14:paraId="076CAC4C">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八、知识产权</w:t>
      </w:r>
    </w:p>
    <w:p w14:paraId="6F29FBBC">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（一）本次采购所涉及到的所有成果的知识产权归甲方所有。 </w:t>
      </w:r>
    </w:p>
    <w:p w14:paraId="188977F3">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（二）乙方为执行本合同而提供的技术资料使用权归甲方所有。</w:t>
      </w:r>
    </w:p>
    <w:p w14:paraId="1DC10EAD">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九、保密规定</w:t>
      </w:r>
    </w:p>
    <w:p w14:paraId="49E119BB">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62A17D06">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十、双方约定的其他事项</w:t>
      </w:r>
    </w:p>
    <w:p w14:paraId="68D6B0A8">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（一）甲方有权对已签订的合同根据具体执行情况及实际需要，在合同有效期内，调整、变更服务的相关内容。</w:t>
      </w:r>
    </w:p>
    <w:p w14:paraId="1F6E2961">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（二）合同未尽事宜，经双方协商后签订补充协议，补充协议为本合同的组成部分，具有同等法律效力。</w:t>
      </w:r>
    </w:p>
    <w:p w14:paraId="4BFC404C">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（三）磋商文件、补充说明、成交通知书、响应文件及澄清承诺等，都是合同文件的有效组成部分。</w:t>
      </w:r>
    </w:p>
    <w:p w14:paraId="2F085950">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十一、违约责任</w:t>
      </w:r>
    </w:p>
    <w:p w14:paraId="6A8A0352">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（一）按《中华人民共和国民法典》中的相关条款执行。</w:t>
      </w:r>
    </w:p>
    <w:p w14:paraId="127DE817">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（二）未按合同要求提供服务或服务质量不能满足本次招标要求，甲方会同监督机构、采购代理机构有权终止合同和对乙方违约行为进行追究，同时按政府采购法的有关规定进行相应的处罚。</w:t>
      </w:r>
    </w:p>
    <w:p w14:paraId="6F1C6FA1">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十二、合同争议解决的方式</w:t>
      </w:r>
    </w:p>
    <w:p w14:paraId="35F4CA34">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本合同在履行过程中发生的争议，由甲、乙双方当事人协商解决，协商不成的按下列第（二）种方式解决：</w:t>
      </w:r>
    </w:p>
    <w:p w14:paraId="6BD8687F">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（一）提交西安仲裁委员会仲裁；</w:t>
      </w:r>
    </w:p>
    <w:p w14:paraId="50E83027">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（二）依法向甲方所在地人民法院起诉。</w:t>
      </w:r>
    </w:p>
    <w:p w14:paraId="474EF549">
      <w:pPr>
        <w:autoSpaceDE w:val="0"/>
        <w:autoSpaceDN w:val="0"/>
        <w:adjustRightInd w:val="0"/>
        <w:spacing w:line="360" w:lineRule="auto"/>
        <w:ind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十三、合同生效</w:t>
      </w:r>
    </w:p>
    <w:p w14:paraId="2DC56B52">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（一）本合同须经甲、乙双方的法定代表人（授权代表）在合同书上签字并加盖本单位公章后正式生效。</w:t>
      </w:r>
    </w:p>
    <w:p w14:paraId="4A2E3DBD">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（二）合同生效后，甲、乙双方须严格执行本合同条款的规定，全面履行合同，违者按《中华人民共和国民法典》的有关规定承担相应责任。</w:t>
      </w:r>
    </w:p>
    <w:p w14:paraId="41EF8D4A">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（三）本合同一式 肆 份，甲乙双方各执 贰 份。</w:t>
      </w:r>
    </w:p>
    <w:p w14:paraId="382CBA95">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（四）本合同如有未尽事宜，甲、乙双方协商解决。</w:t>
      </w:r>
    </w:p>
    <w:p w14:paraId="138BEFC2">
      <w:pP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br w:type="page"/>
      </w:r>
      <w:r>
        <w:rPr>
          <w:rFonts w:hint="eastAsia" w:ascii="宋体" w:hAnsi="宋体" w:eastAsia="宋体" w:cs="宋体"/>
          <w:sz w:val="32"/>
          <w:szCs w:val="32"/>
          <w:highlight w:val="none"/>
          <w:lang w:eastAsia="zh-CN"/>
        </w:rPr>
        <w:t>（此页无正文）</w:t>
      </w:r>
    </w:p>
    <w:p w14:paraId="7FDE04B0">
      <w:pPr>
        <w:pStyle w:val="2"/>
        <w:rPr>
          <w:rFonts w:hint="default"/>
          <w:lang w:val="en-US" w:eastAsia="zh-CN"/>
        </w:rPr>
      </w:pPr>
    </w:p>
    <w:tbl>
      <w:tblPr>
        <w:tblStyle w:val="4"/>
        <w:tblW w:w="52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2"/>
        <w:gridCol w:w="4766"/>
      </w:tblGrid>
      <w:tr w14:paraId="139C2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9" w:hRule="exact"/>
          <w:jc w:val="center"/>
        </w:trPr>
        <w:tc>
          <w:tcPr>
            <w:tcW w:w="2360" w:type="pct"/>
            <w:noWrap w:val="0"/>
            <w:vAlign w:val="center"/>
          </w:tcPr>
          <w:p w14:paraId="5E6B38EA">
            <w:pPr>
              <w:rPr>
                <w:rFonts w:hint="eastAsia"/>
                <w:sz w:val="24"/>
                <w:szCs w:val="24"/>
                <w:lang w:eastAsia="zh-CN"/>
              </w:rPr>
            </w:pPr>
            <w:r>
              <w:rPr>
                <w:rFonts w:hint="eastAsia"/>
                <w:sz w:val="24"/>
                <w:szCs w:val="24"/>
              </w:rPr>
              <w:t>甲  方</w:t>
            </w:r>
            <w:r>
              <w:rPr>
                <w:rFonts w:hint="eastAsia"/>
                <w:sz w:val="24"/>
                <w:szCs w:val="24"/>
                <w:lang w:eastAsia="zh-CN"/>
              </w:rPr>
              <w:t>：</w:t>
            </w:r>
            <w:r>
              <w:rPr>
                <w:rFonts w:hint="eastAsia"/>
                <w:sz w:val="24"/>
                <w:szCs w:val="24"/>
                <w:lang w:val="en-US" w:eastAsia="zh-CN"/>
              </w:rPr>
              <w:t xml:space="preserve"> </w:t>
            </w:r>
          </w:p>
        </w:tc>
        <w:tc>
          <w:tcPr>
            <w:tcW w:w="2639" w:type="pct"/>
            <w:noWrap w:val="0"/>
            <w:vAlign w:val="center"/>
          </w:tcPr>
          <w:p w14:paraId="7A159A3B">
            <w:pPr>
              <w:rPr>
                <w:rFonts w:hint="eastAsia"/>
                <w:sz w:val="24"/>
                <w:szCs w:val="24"/>
                <w:lang w:val="en-US" w:eastAsia="zh-CN"/>
              </w:rPr>
            </w:pPr>
            <w:r>
              <w:rPr>
                <w:rFonts w:hint="eastAsia"/>
                <w:sz w:val="24"/>
                <w:szCs w:val="24"/>
              </w:rPr>
              <w:t>乙  方</w:t>
            </w:r>
            <w:r>
              <w:rPr>
                <w:rFonts w:hint="eastAsia"/>
                <w:sz w:val="24"/>
                <w:szCs w:val="24"/>
                <w:lang w:eastAsia="zh-CN"/>
              </w:rPr>
              <w:t>：</w:t>
            </w:r>
            <w:r>
              <w:rPr>
                <w:rFonts w:hint="eastAsia"/>
                <w:sz w:val="24"/>
                <w:szCs w:val="24"/>
                <w:lang w:val="en-US" w:eastAsia="zh-CN"/>
              </w:rPr>
              <w:t xml:space="preserve"> </w:t>
            </w:r>
          </w:p>
        </w:tc>
      </w:tr>
      <w:tr w14:paraId="7DB37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1" w:hRule="exact"/>
          <w:jc w:val="center"/>
        </w:trPr>
        <w:tc>
          <w:tcPr>
            <w:tcW w:w="2360" w:type="pct"/>
            <w:noWrap w:val="0"/>
            <w:vAlign w:val="center"/>
          </w:tcPr>
          <w:p w14:paraId="36B91F19">
            <w:pPr>
              <w:rPr>
                <w:rFonts w:hint="eastAsia"/>
                <w:sz w:val="24"/>
                <w:szCs w:val="24"/>
              </w:rPr>
            </w:pPr>
            <w:r>
              <w:rPr>
                <w:rFonts w:hint="eastAsia"/>
                <w:sz w:val="24"/>
                <w:szCs w:val="24"/>
              </w:rPr>
              <w:t>（盖章）</w:t>
            </w:r>
          </w:p>
        </w:tc>
        <w:tc>
          <w:tcPr>
            <w:tcW w:w="2639" w:type="pct"/>
            <w:noWrap w:val="0"/>
            <w:vAlign w:val="center"/>
          </w:tcPr>
          <w:p w14:paraId="4125C906">
            <w:pPr>
              <w:rPr>
                <w:rFonts w:hint="eastAsia"/>
                <w:sz w:val="24"/>
                <w:szCs w:val="24"/>
              </w:rPr>
            </w:pPr>
            <w:r>
              <w:rPr>
                <w:rFonts w:hint="eastAsia"/>
                <w:sz w:val="24"/>
                <w:szCs w:val="24"/>
              </w:rPr>
              <w:t>（盖章）</w:t>
            </w:r>
          </w:p>
        </w:tc>
      </w:tr>
      <w:tr w14:paraId="39317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5" w:hRule="exact"/>
          <w:jc w:val="center"/>
        </w:trPr>
        <w:tc>
          <w:tcPr>
            <w:tcW w:w="2360" w:type="pct"/>
            <w:noWrap w:val="0"/>
            <w:vAlign w:val="center"/>
          </w:tcPr>
          <w:p w14:paraId="1E8F53F0">
            <w:pPr>
              <w:rPr>
                <w:rFonts w:hint="eastAsia"/>
                <w:sz w:val="24"/>
                <w:szCs w:val="24"/>
              </w:rPr>
            </w:pPr>
            <w:r>
              <w:rPr>
                <w:rFonts w:hint="eastAsia"/>
                <w:sz w:val="24"/>
                <w:szCs w:val="24"/>
              </w:rPr>
              <w:t>地址：</w:t>
            </w:r>
            <w:r>
              <w:rPr>
                <w:rFonts w:hint="eastAsia"/>
                <w:sz w:val="24"/>
                <w:szCs w:val="24"/>
                <w:lang w:val="en-US" w:eastAsia="zh-CN"/>
              </w:rPr>
              <w:t xml:space="preserve"> </w:t>
            </w:r>
          </w:p>
        </w:tc>
        <w:tc>
          <w:tcPr>
            <w:tcW w:w="2639" w:type="pct"/>
            <w:noWrap w:val="0"/>
            <w:vAlign w:val="center"/>
          </w:tcPr>
          <w:p w14:paraId="72B8F6D9">
            <w:pPr>
              <w:rPr>
                <w:rFonts w:hint="eastAsia"/>
                <w:sz w:val="24"/>
                <w:szCs w:val="24"/>
                <w:lang w:val="en-US" w:eastAsia="zh-CN"/>
              </w:rPr>
            </w:pPr>
            <w:r>
              <w:rPr>
                <w:rFonts w:hint="eastAsia"/>
                <w:sz w:val="24"/>
                <w:szCs w:val="24"/>
              </w:rPr>
              <w:t>地址：</w:t>
            </w:r>
            <w:r>
              <w:rPr>
                <w:rFonts w:hint="eastAsia"/>
                <w:sz w:val="24"/>
                <w:szCs w:val="24"/>
                <w:lang w:val="en-US" w:eastAsia="zh-CN"/>
              </w:rPr>
              <w:t xml:space="preserve"> </w:t>
            </w:r>
          </w:p>
        </w:tc>
      </w:tr>
      <w:tr w14:paraId="14833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exact"/>
          <w:jc w:val="center"/>
        </w:trPr>
        <w:tc>
          <w:tcPr>
            <w:tcW w:w="2360" w:type="pct"/>
            <w:noWrap w:val="0"/>
            <w:vAlign w:val="center"/>
          </w:tcPr>
          <w:p w14:paraId="657B6242">
            <w:pPr>
              <w:rPr>
                <w:rFonts w:hint="eastAsia"/>
                <w:sz w:val="24"/>
                <w:szCs w:val="24"/>
                <w:lang w:val="en-US" w:eastAsia="zh-CN"/>
              </w:rPr>
            </w:pPr>
            <w:r>
              <w:rPr>
                <w:rFonts w:hint="eastAsia"/>
                <w:sz w:val="24"/>
                <w:szCs w:val="24"/>
              </w:rPr>
              <w:t>邮编：</w:t>
            </w:r>
            <w:r>
              <w:rPr>
                <w:rFonts w:hint="eastAsia"/>
                <w:sz w:val="24"/>
                <w:szCs w:val="24"/>
                <w:lang w:val="en-US" w:eastAsia="zh-CN"/>
              </w:rPr>
              <w:t xml:space="preserve"> </w:t>
            </w:r>
          </w:p>
        </w:tc>
        <w:tc>
          <w:tcPr>
            <w:tcW w:w="2639" w:type="pct"/>
            <w:noWrap w:val="0"/>
            <w:vAlign w:val="center"/>
          </w:tcPr>
          <w:p w14:paraId="1C5C5671">
            <w:pPr>
              <w:rPr>
                <w:rFonts w:hint="eastAsia"/>
                <w:sz w:val="24"/>
                <w:szCs w:val="24"/>
              </w:rPr>
            </w:pPr>
            <w:r>
              <w:rPr>
                <w:rFonts w:hint="eastAsia"/>
                <w:sz w:val="24"/>
                <w:szCs w:val="24"/>
              </w:rPr>
              <w:t>邮编：</w:t>
            </w:r>
          </w:p>
        </w:tc>
      </w:tr>
      <w:tr w14:paraId="1791E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50168D25">
            <w:pPr>
              <w:rPr>
                <w:rFonts w:hint="eastAsia"/>
                <w:sz w:val="24"/>
                <w:szCs w:val="24"/>
              </w:rPr>
            </w:pPr>
            <w:r>
              <w:rPr>
                <w:rFonts w:hint="eastAsia"/>
                <w:sz w:val="24"/>
                <w:szCs w:val="24"/>
              </w:rPr>
              <w:t xml:space="preserve">法定代表人： </w:t>
            </w:r>
          </w:p>
        </w:tc>
        <w:tc>
          <w:tcPr>
            <w:tcW w:w="2639" w:type="pct"/>
            <w:noWrap w:val="0"/>
            <w:vAlign w:val="center"/>
          </w:tcPr>
          <w:p w14:paraId="1ABC5227">
            <w:pPr>
              <w:rPr>
                <w:rFonts w:hint="eastAsia"/>
                <w:sz w:val="24"/>
                <w:szCs w:val="24"/>
              </w:rPr>
            </w:pPr>
            <w:r>
              <w:rPr>
                <w:rFonts w:hint="eastAsia"/>
                <w:sz w:val="24"/>
                <w:szCs w:val="24"/>
              </w:rPr>
              <w:t>法定代表人：</w:t>
            </w:r>
          </w:p>
        </w:tc>
      </w:tr>
      <w:tr w14:paraId="58B5B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392DF7E2">
            <w:pPr>
              <w:rPr>
                <w:rFonts w:hint="eastAsia"/>
                <w:sz w:val="24"/>
                <w:szCs w:val="24"/>
              </w:rPr>
            </w:pPr>
            <w:r>
              <w:rPr>
                <w:rFonts w:hint="eastAsia"/>
                <w:sz w:val="24"/>
                <w:szCs w:val="24"/>
              </w:rPr>
              <w:t>被授权代表：</w:t>
            </w:r>
          </w:p>
        </w:tc>
        <w:tc>
          <w:tcPr>
            <w:tcW w:w="2639" w:type="pct"/>
            <w:noWrap w:val="0"/>
            <w:vAlign w:val="center"/>
          </w:tcPr>
          <w:p w14:paraId="429621E4">
            <w:pPr>
              <w:rPr>
                <w:rFonts w:hint="eastAsia"/>
                <w:sz w:val="24"/>
                <w:szCs w:val="24"/>
              </w:rPr>
            </w:pPr>
            <w:r>
              <w:rPr>
                <w:rFonts w:hint="eastAsia"/>
                <w:sz w:val="24"/>
                <w:szCs w:val="24"/>
              </w:rPr>
              <w:t>被授权代表：</w:t>
            </w:r>
          </w:p>
        </w:tc>
      </w:tr>
      <w:tr w14:paraId="073D8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278DA5FD">
            <w:pPr>
              <w:rPr>
                <w:rFonts w:hint="eastAsia"/>
                <w:sz w:val="24"/>
                <w:szCs w:val="24"/>
                <w:lang w:val="en-US" w:eastAsia="zh-CN"/>
              </w:rPr>
            </w:pPr>
            <w:r>
              <w:rPr>
                <w:rFonts w:hint="eastAsia"/>
                <w:sz w:val="24"/>
                <w:szCs w:val="24"/>
              </w:rPr>
              <w:t>电话：</w:t>
            </w:r>
            <w:r>
              <w:rPr>
                <w:rFonts w:hint="eastAsia"/>
                <w:sz w:val="24"/>
                <w:szCs w:val="24"/>
                <w:lang w:val="en-US" w:eastAsia="zh-CN"/>
              </w:rPr>
              <w:t xml:space="preserve"> </w:t>
            </w:r>
          </w:p>
        </w:tc>
        <w:tc>
          <w:tcPr>
            <w:tcW w:w="2639" w:type="pct"/>
            <w:noWrap w:val="0"/>
            <w:vAlign w:val="center"/>
          </w:tcPr>
          <w:p w14:paraId="65C08906">
            <w:pPr>
              <w:rPr>
                <w:rFonts w:hint="eastAsia"/>
                <w:sz w:val="24"/>
                <w:szCs w:val="24"/>
                <w:lang w:val="en-US" w:eastAsia="zh-CN"/>
              </w:rPr>
            </w:pPr>
            <w:r>
              <w:rPr>
                <w:rFonts w:hint="eastAsia"/>
                <w:sz w:val="24"/>
                <w:szCs w:val="24"/>
              </w:rPr>
              <w:t>电话：</w:t>
            </w:r>
            <w:r>
              <w:rPr>
                <w:rFonts w:hint="eastAsia"/>
                <w:sz w:val="24"/>
                <w:szCs w:val="24"/>
                <w:lang w:val="en-US" w:eastAsia="zh-CN"/>
              </w:rPr>
              <w:t xml:space="preserve"> </w:t>
            </w:r>
          </w:p>
        </w:tc>
      </w:tr>
      <w:tr w14:paraId="75B73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5F3B7E96">
            <w:pPr>
              <w:rPr>
                <w:rFonts w:hint="eastAsia"/>
                <w:sz w:val="24"/>
                <w:szCs w:val="24"/>
                <w:lang w:val="en-US" w:eastAsia="zh-CN"/>
              </w:rPr>
            </w:pPr>
          </w:p>
        </w:tc>
        <w:tc>
          <w:tcPr>
            <w:tcW w:w="2639" w:type="pct"/>
            <w:noWrap w:val="0"/>
            <w:vAlign w:val="center"/>
          </w:tcPr>
          <w:p w14:paraId="3512CBA7">
            <w:pPr>
              <w:rPr>
                <w:rFonts w:hint="eastAsia"/>
                <w:sz w:val="24"/>
                <w:szCs w:val="24"/>
                <w:lang w:val="en-US" w:eastAsia="zh-CN"/>
              </w:rPr>
            </w:pPr>
            <w:r>
              <w:rPr>
                <w:rFonts w:hint="eastAsia"/>
                <w:sz w:val="24"/>
                <w:szCs w:val="24"/>
              </w:rPr>
              <w:t>开户银行：</w:t>
            </w:r>
            <w:r>
              <w:rPr>
                <w:rFonts w:hint="eastAsia"/>
                <w:sz w:val="24"/>
                <w:szCs w:val="24"/>
                <w:lang w:val="en-US" w:eastAsia="zh-CN"/>
              </w:rPr>
              <w:t xml:space="preserve"> </w:t>
            </w:r>
          </w:p>
        </w:tc>
      </w:tr>
      <w:tr w14:paraId="3BDDD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2CC41D0C">
            <w:pPr>
              <w:rPr>
                <w:rFonts w:hint="eastAsia"/>
                <w:sz w:val="24"/>
                <w:szCs w:val="24"/>
              </w:rPr>
            </w:pPr>
          </w:p>
        </w:tc>
        <w:tc>
          <w:tcPr>
            <w:tcW w:w="2639" w:type="pct"/>
            <w:noWrap w:val="0"/>
            <w:vAlign w:val="center"/>
          </w:tcPr>
          <w:p w14:paraId="6F87E26A">
            <w:pPr>
              <w:rPr>
                <w:rFonts w:hint="eastAsia"/>
                <w:sz w:val="24"/>
                <w:szCs w:val="24"/>
                <w:lang w:val="en-US" w:eastAsia="zh-CN"/>
              </w:rPr>
            </w:pPr>
            <w:r>
              <w:rPr>
                <w:rFonts w:hint="eastAsia"/>
                <w:sz w:val="24"/>
                <w:szCs w:val="24"/>
                <w:lang w:eastAsia="zh-CN"/>
              </w:rPr>
              <w:t>账号</w:t>
            </w:r>
            <w:r>
              <w:rPr>
                <w:rFonts w:hint="eastAsia"/>
                <w:sz w:val="24"/>
                <w:szCs w:val="24"/>
              </w:rPr>
              <w:t>：</w:t>
            </w:r>
            <w:r>
              <w:rPr>
                <w:rFonts w:hint="eastAsia"/>
                <w:sz w:val="24"/>
                <w:szCs w:val="24"/>
                <w:lang w:val="en-US" w:eastAsia="zh-CN"/>
              </w:rPr>
              <w:t xml:space="preserve"> </w:t>
            </w:r>
          </w:p>
        </w:tc>
      </w:tr>
      <w:tr w14:paraId="3E064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360" w:type="pct"/>
            <w:noWrap w:val="0"/>
            <w:vAlign w:val="center"/>
          </w:tcPr>
          <w:p w14:paraId="0D8B5917">
            <w:pPr>
              <w:rPr>
                <w:rFonts w:hint="eastAsia"/>
                <w:sz w:val="24"/>
                <w:szCs w:val="24"/>
              </w:rPr>
            </w:pPr>
            <w:r>
              <w:rPr>
                <w:rFonts w:hint="eastAsia"/>
                <w:sz w:val="24"/>
                <w:szCs w:val="24"/>
              </w:rPr>
              <w:t>日期：</w:t>
            </w:r>
          </w:p>
        </w:tc>
        <w:tc>
          <w:tcPr>
            <w:tcW w:w="2639" w:type="pct"/>
            <w:noWrap w:val="0"/>
            <w:vAlign w:val="center"/>
          </w:tcPr>
          <w:p w14:paraId="12E6C5A9">
            <w:pPr>
              <w:rPr>
                <w:rFonts w:hint="eastAsia"/>
                <w:sz w:val="24"/>
                <w:szCs w:val="24"/>
              </w:rPr>
            </w:pPr>
            <w:r>
              <w:rPr>
                <w:rFonts w:hint="eastAsia"/>
                <w:sz w:val="24"/>
                <w:szCs w:val="24"/>
              </w:rPr>
              <w:t>日期：</w:t>
            </w:r>
          </w:p>
        </w:tc>
      </w:tr>
    </w:tbl>
    <w:p w14:paraId="7202936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931283"/>
    <w:rsid w:val="4A931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Lines="0" w:afterLines="0" w:line="360" w:lineRule="auto"/>
      <w:jc w:val="center"/>
      <w:outlineLvl w:val="0"/>
    </w:pPr>
    <w:rPr>
      <w:rFonts w:ascii="Times New Roman" w:hAnsi="Times New Roman"/>
      <w:b/>
      <w:bCs/>
      <w:kern w:val="44"/>
      <w:sz w:val="32"/>
      <w:szCs w:val="44"/>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2026-06-30T08:45:00Z</dcterms:created>
  <dc:creator>Administrator</dc:creator>
  <cp:lastModifiedBy>Administrator</cp:lastModifiedBy>
  <dcterms:modified xsi:type="dcterms:W3CDTF">2026-06-30T08:48:22Z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C03100C11FF449D098CA4753DC109A66_11</vt:lpwstr>
  </property>
  <property fmtid="{D5CDD505-2E9C-101B-9397-08002B2CF9AE}" pid="4" name="KSOTemplateDocerSaveRecord">
    <vt:lpwstr>eyJoZGlkIjoiODY4YmZmM2I5MWU5OTJjNTMyZGFhYTM4MjM2NTE4MzQifQ==</vt:lpwstr>
  </property>
</Properties>
</file>