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版本号：ZYZX2026-03720260820001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2026年养老服务机构、医养结合机构安全评估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ZYZX2026-037</w:t>
      </w:r>
      <w:r>
        <w:br/>
      </w:r>
      <w:r>
        <w:br/>
      </w:r>
      <w:r>
        <w:br/>
      </w:r>
    </w:p>
    <w:p>
      <w:pPr>
        <w:pStyle w:val="null3"/>
        <w:jc w:val="center"/>
        <w:outlineLvl w:val="2"/>
      </w:pPr>
      <w:r>
        <w:rPr>
          <w:rFonts w:ascii="仿宋_GB2312" w:hAnsi="仿宋_GB2312" w:cs="仿宋_GB2312" w:eastAsia="仿宋_GB2312"/>
          <w:sz w:val="28"/>
          <w:b/>
        </w:rPr>
        <w:t>西安高新技术产业开发区社会事业服务局</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西安高新技术产业开发区社会事业服务局</w:t>
      </w:r>
      <w:r>
        <w:rPr>
          <w:rFonts w:ascii="仿宋_GB2312" w:hAnsi="仿宋_GB2312" w:cs="仿宋_GB2312" w:eastAsia="仿宋_GB2312"/>
        </w:rPr>
        <w:t>委托，拟对</w:t>
      </w:r>
      <w:r>
        <w:rPr>
          <w:rFonts w:ascii="仿宋_GB2312" w:hAnsi="仿宋_GB2312" w:cs="仿宋_GB2312" w:eastAsia="仿宋_GB2312"/>
        </w:rPr>
        <w:t>2026年养老服务机构、医养结合机构安全评估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2026年养老服务机构、医养结合机构安全评估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本项目拟采购2026年养老服务机构、医养结合机构安全评估一项，具体详见第三章磋商项目技术、服务、商务及其他要求。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采购包1（2026年养老服务机构、医养结合机构安全评估）：属于专门面向中小企业采购。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及诚信履约的书面声明函：具有履行合同所必需的设备和专业技术能力及诚信履约的书面声明函，供应商需在项目电子化交易系统中按要求上传相应证明文件并进行电子签章。</w:t>
      </w:r>
    </w:p>
    <w:p>
      <w:pPr>
        <w:pStyle w:val="null3"/>
      </w:pPr>
      <w:r>
        <w:rPr>
          <w:rFonts w:ascii="仿宋_GB2312" w:hAnsi="仿宋_GB2312" w:cs="仿宋_GB2312" w:eastAsia="仿宋_GB2312"/>
        </w:rPr>
        <w:t>7、信用证明：供应商未被“信用中国”网站（www.creditchina.gov.cn）列入失信被执行人和重大税收违法失信主体、未被中国政府采购网（www.ccgp.gov.cn）列入政府采购严重违法失信行为记录名单，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高新区锦业路1号都市之门A座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029-81150228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朱帅、王浩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用定额收费，代理费为人民币伍仟元整（¥5000.00元）。2、成交单位在领取成交通知书之前，须向代理机构支付招标代理服务费。3、招标代理服务费以转账或现金形式缴纳至以下账户：开户名称：正飏（陕西）项目管理咨询有限公司，开户银行：上海浦东发展银行股份有限公司西安电子正街支行，账号：72230078801300000775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西安高新技术产业开发区社会事业服务局</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西安高新技术产业开发区社会事业服务局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联系人：朱帅、王浩</w:t>
      </w:r>
    </w:p>
    <w:p>
      <w:pPr>
        <w:pStyle w:val="null3"/>
      </w:pPr>
      <w:r>
        <w:rPr>
          <w:rFonts w:ascii="仿宋_GB2312" w:hAnsi="仿宋_GB2312" w:cs="仿宋_GB2312" w:eastAsia="仿宋_GB2312"/>
        </w:rPr>
        <w:t>联系电话：029-81101839</w:t>
      </w:r>
    </w:p>
    <w:p>
      <w:pPr>
        <w:pStyle w:val="null3"/>
      </w:pPr>
      <w:r>
        <w:rPr>
          <w:rFonts w:ascii="仿宋_GB2312" w:hAnsi="仿宋_GB2312" w:cs="仿宋_GB2312" w:eastAsia="仿宋_GB2312"/>
        </w:rPr>
        <w:t>地址：西安市雁塔区电子正街云锦紫豪商务中心1306室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西安高新技术产业开发区社会事业服务局拟采购1项2026年养老服务机构、医养结合机构安全评估。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2026年养老服务机构、医养结合机构安全评估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标的名称：2026年养老服务机构、医养结合机构安全评估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一、项目概况</w:t>
            </w:r>
          </w:p>
          <w:p>
            <w:pPr>
              <w:pStyle w:val="null3"/>
              <w:ind w:firstLine="400"/>
              <w:jc w:val="left"/>
            </w:pPr>
            <w:r>
              <w:rPr>
                <w:rFonts w:ascii="仿宋_GB2312" w:hAnsi="仿宋_GB2312" w:cs="仿宋_GB2312" w:eastAsia="仿宋_GB2312"/>
                <w:sz w:val="20"/>
              </w:rPr>
              <w:t>按照</w:t>
            </w:r>
            <w:r>
              <w:rPr>
                <w:rFonts w:ascii="仿宋_GB2312" w:hAnsi="仿宋_GB2312" w:cs="仿宋_GB2312" w:eastAsia="仿宋_GB2312"/>
                <w:sz w:val="20"/>
              </w:rPr>
              <w:t>“管行业必须管安全、管业务必须管安全、管生产经营必须管安全”的总原则和“全覆盖、无盲区”的工作要求，全面摸清养老机构、医养结合机构等安全底数，全面排查场所安全隐患，全面整治安全隐患各类风险，确保养老机构系统安全稳定。根据《西安市养老服务促进条例》第67条规定：“民政部门应当组织第三方专业机构对养老机构安全、人员配备、设施设备条件、管理水平、服务质量、服务对象满意度、社会信誉等事项进行综合评估。”具体详见服务内容。</w:t>
            </w:r>
          </w:p>
          <w:p>
            <w:pPr>
              <w:pStyle w:val="null3"/>
              <w:jc w:val="left"/>
            </w:pPr>
            <w:r>
              <w:rPr>
                <w:rFonts w:ascii="仿宋_GB2312" w:hAnsi="仿宋_GB2312" w:cs="仿宋_GB2312" w:eastAsia="仿宋_GB2312"/>
                <w:sz w:val="20"/>
              </w:rPr>
              <w:t>二、服务内容</w:t>
            </w:r>
          </w:p>
          <w:p>
            <w:pPr>
              <w:pStyle w:val="null3"/>
              <w:ind w:firstLine="400"/>
              <w:jc w:val="left"/>
            </w:pPr>
            <w:r>
              <w:rPr>
                <w:rFonts w:ascii="仿宋_GB2312" w:hAnsi="仿宋_GB2312" w:cs="仿宋_GB2312" w:eastAsia="仿宋_GB2312"/>
                <w:sz w:val="20"/>
              </w:rPr>
              <w:t>按照省、市民政服务机构安全生产和规范化管理的安全检查要求，对辖区内所有养老服务机构、医养结合机构、养老服务站、幸福院等进行安全隐患排查。对存在安全隐患的机构立即整改，对整改不到位的坚决进行整顿，直到能够满足安全要求为止，定期对养老服务机构、医养结合机构人员进行安全培训与消防演练。</w:t>
            </w:r>
          </w:p>
          <w:p>
            <w:pPr>
              <w:pStyle w:val="null3"/>
              <w:jc w:val="left"/>
            </w:pPr>
            <w:r>
              <w:rPr>
                <w:rFonts w:ascii="仿宋_GB2312" w:hAnsi="仿宋_GB2312" w:cs="仿宋_GB2312" w:eastAsia="仿宋_GB2312"/>
                <w:sz w:val="20"/>
              </w:rPr>
              <w:t>三、服务要求</w:t>
            </w:r>
          </w:p>
          <w:p>
            <w:pPr>
              <w:pStyle w:val="null3"/>
              <w:ind w:firstLine="400"/>
              <w:jc w:val="left"/>
            </w:pPr>
            <w:r>
              <w:rPr>
                <w:rFonts w:ascii="仿宋_GB2312" w:hAnsi="仿宋_GB2312" w:cs="仿宋_GB2312" w:eastAsia="仿宋_GB2312"/>
                <w:sz w:val="20"/>
              </w:rPr>
              <w:t>（一）安全隐患排查</w:t>
            </w:r>
          </w:p>
          <w:p>
            <w:pPr>
              <w:pStyle w:val="null3"/>
              <w:ind w:firstLine="400"/>
              <w:jc w:val="left"/>
            </w:pPr>
            <w:r>
              <w:rPr>
                <w:rFonts w:ascii="仿宋_GB2312" w:hAnsi="仿宋_GB2312" w:cs="仿宋_GB2312" w:eastAsia="仿宋_GB2312"/>
                <w:sz w:val="20"/>
              </w:rPr>
              <w:t>1、排查范围</w:t>
            </w:r>
          </w:p>
          <w:p>
            <w:pPr>
              <w:pStyle w:val="null3"/>
              <w:ind w:firstLine="400"/>
              <w:jc w:val="left"/>
            </w:pPr>
            <w:r>
              <w:rPr>
                <w:rFonts w:ascii="仿宋_GB2312" w:hAnsi="仿宋_GB2312" w:cs="仿宋_GB2312" w:eastAsia="仿宋_GB2312"/>
                <w:sz w:val="20"/>
              </w:rPr>
              <w:t>高新区养老机构</w:t>
            </w:r>
            <w:r>
              <w:rPr>
                <w:rFonts w:ascii="仿宋_GB2312" w:hAnsi="仿宋_GB2312" w:cs="仿宋_GB2312" w:eastAsia="仿宋_GB2312"/>
                <w:sz w:val="20"/>
              </w:rPr>
              <w:t>15个，养老服务站46个，幸福院49个，医养结合机构12个。</w:t>
            </w:r>
          </w:p>
          <w:p>
            <w:pPr>
              <w:pStyle w:val="null3"/>
              <w:ind w:firstLine="400"/>
              <w:jc w:val="left"/>
            </w:pPr>
            <w:r>
              <w:rPr>
                <w:rFonts w:ascii="仿宋_GB2312" w:hAnsi="仿宋_GB2312" w:cs="仿宋_GB2312" w:eastAsia="仿宋_GB2312"/>
                <w:sz w:val="20"/>
              </w:rPr>
              <w:t>2、排查内容</w:t>
            </w:r>
          </w:p>
          <w:p>
            <w:pPr>
              <w:pStyle w:val="null3"/>
              <w:ind w:firstLine="400"/>
              <w:jc w:val="left"/>
            </w:pPr>
            <w:r>
              <w:rPr>
                <w:rFonts w:ascii="仿宋_GB2312" w:hAnsi="仿宋_GB2312" w:cs="仿宋_GB2312" w:eastAsia="仿宋_GB2312"/>
                <w:sz w:val="20"/>
              </w:rPr>
              <w:t>按省、市、区相关文件要求，对各机构消防安全、燃气安全、食品安全、服务安全、防汛安全、双预防机制等重点内容，查部署、查措施、查落实、查台账、查问题、查隐患。</w:t>
            </w:r>
          </w:p>
          <w:p>
            <w:pPr>
              <w:pStyle w:val="null3"/>
              <w:ind w:firstLine="400"/>
              <w:jc w:val="left"/>
            </w:pPr>
            <w:r>
              <w:rPr>
                <w:rFonts w:ascii="仿宋_GB2312" w:hAnsi="仿宋_GB2312" w:cs="仿宋_GB2312" w:eastAsia="仿宋_GB2312"/>
                <w:sz w:val="20"/>
              </w:rPr>
              <w:t>3、排查频次</w:t>
            </w:r>
          </w:p>
          <w:p>
            <w:pPr>
              <w:pStyle w:val="null3"/>
              <w:ind w:firstLine="400"/>
              <w:jc w:val="left"/>
            </w:pPr>
            <w:r>
              <w:rPr>
                <w:rFonts w:ascii="仿宋_GB2312" w:hAnsi="仿宋_GB2312" w:cs="仿宋_GB2312" w:eastAsia="仿宋_GB2312"/>
                <w:sz w:val="20"/>
              </w:rPr>
              <w:t>每月对辖区内养老机构、医养结合机构开展不少于一次安全隐患排查工作，每季度对辖区内社区养老服务站和幸福院开展不少于一次安全隐患排查工作。除日常安全生产检查外，节假日期间或安全隐患高发季节，需进行防火防汛、冬季取暖等专项安全检查。</w:t>
            </w:r>
          </w:p>
          <w:p>
            <w:pPr>
              <w:pStyle w:val="null3"/>
              <w:ind w:firstLine="400"/>
              <w:jc w:val="left"/>
            </w:pPr>
            <w:r>
              <w:rPr>
                <w:rFonts w:ascii="仿宋_GB2312" w:hAnsi="仿宋_GB2312" w:cs="仿宋_GB2312" w:eastAsia="仿宋_GB2312"/>
                <w:sz w:val="20"/>
              </w:rPr>
              <w:t>4、排查结果应用</w:t>
            </w:r>
          </w:p>
          <w:p>
            <w:pPr>
              <w:pStyle w:val="null3"/>
              <w:ind w:firstLine="400"/>
              <w:jc w:val="left"/>
            </w:pPr>
            <w:r>
              <w:rPr>
                <w:rFonts w:ascii="仿宋_GB2312" w:hAnsi="仿宋_GB2312" w:cs="仿宋_GB2312" w:eastAsia="仿宋_GB2312"/>
                <w:sz w:val="20"/>
              </w:rPr>
              <w:t>针对日常与专项检查排查出的问题，当场提出整改要求，立查立改、建立台账、追踪督办，出具相应的检查报告，形成完整闭环。</w:t>
            </w:r>
          </w:p>
          <w:p>
            <w:pPr>
              <w:pStyle w:val="null3"/>
              <w:ind w:firstLine="400"/>
              <w:jc w:val="left"/>
            </w:pPr>
            <w:r>
              <w:rPr>
                <w:rFonts w:ascii="仿宋_GB2312" w:hAnsi="仿宋_GB2312" w:cs="仿宋_GB2312" w:eastAsia="仿宋_GB2312"/>
                <w:sz w:val="20"/>
              </w:rPr>
              <w:t>（二）开展安全知识培训</w:t>
            </w:r>
          </w:p>
          <w:p>
            <w:pPr>
              <w:pStyle w:val="null3"/>
              <w:ind w:firstLine="400"/>
              <w:jc w:val="left"/>
            </w:pPr>
            <w:r>
              <w:rPr>
                <w:rFonts w:ascii="仿宋_GB2312" w:hAnsi="仿宋_GB2312" w:cs="仿宋_GB2312" w:eastAsia="仿宋_GB2312"/>
                <w:sz w:val="20"/>
              </w:rPr>
              <w:t>1、开展内容</w:t>
            </w:r>
          </w:p>
          <w:p>
            <w:pPr>
              <w:pStyle w:val="null3"/>
              <w:ind w:firstLine="400"/>
              <w:jc w:val="left"/>
            </w:pPr>
            <w:r>
              <w:rPr>
                <w:rFonts w:ascii="仿宋_GB2312" w:hAnsi="仿宋_GB2312" w:cs="仿宋_GB2312" w:eastAsia="仿宋_GB2312"/>
                <w:sz w:val="20"/>
              </w:rPr>
              <w:t>针对辖区内养老机构、医养结合机构、社区养老服务站和幸福院人员进行法律法规、安全意识、消防器材的使用、日常安全注意事项等安全培训。</w:t>
            </w:r>
          </w:p>
          <w:p>
            <w:pPr>
              <w:pStyle w:val="null3"/>
              <w:ind w:firstLine="400"/>
              <w:jc w:val="left"/>
            </w:pPr>
            <w:r>
              <w:rPr>
                <w:rFonts w:ascii="仿宋_GB2312" w:hAnsi="仿宋_GB2312" w:cs="仿宋_GB2312" w:eastAsia="仿宋_GB2312"/>
                <w:sz w:val="20"/>
              </w:rPr>
              <w:t>2、开展频次</w:t>
            </w:r>
          </w:p>
          <w:p>
            <w:pPr>
              <w:pStyle w:val="null3"/>
              <w:ind w:firstLine="400"/>
              <w:jc w:val="left"/>
            </w:pPr>
            <w:r>
              <w:rPr>
                <w:rFonts w:ascii="仿宋_GB2312" w:hAnsi="仿宋_GB2312" w:cs="仿宋_GB2312" w:eastAsia="仿宋_GB2312"/>
                <w:sz w:val="20"/>
              </w:rPr>
              <w:t>每季度对辖区内养老机构、医养结合机构、社区养老服务站和幸福院人员进行一次安全培训。</w:t>
            </w:r>
          </w:p>
          <w:p>
            <w:pPr>
              <w:pStyle w:val="null3"/>
              <w:ind w:firstLine="400"/>
              <w:jc w:val="left"/>
            </w:pPr>
            <w:r>
              <w:rPr>
                <w:rFonts w:ascii="仿宋_GB2312" w:hAnsi="仿宋_GB2312" w:cs="仿宋_GB2312" w:eastAsia="仿宋_GB2312"/>
                <w:sz w:val="20"/>
              </w:rPr>
              <w:t>3、开展应用结果</w:t>
            </w:r>
          </w:p>
          <w:p>
            <w:pPr>
              <w:pStyle w:val="null3"/>
              <w:ind w:firstLine="400"/>
              <w:jc w:val="left"/>
            </w:pPr>
            <w:r>
              <w:rPr>
                <w:rFonts w:ascii="仿宋_GB2312" w:hAnsi="仿宋_GB2312" w:cs="仿宋_GB2312" w:eastAsia="仿宋_GB2312"/>
                <w:sz w:val="20"/>
              </w:rPr>
              <w:t>提高养老机构、医养结合机构、社区养老服务站和幸福院人员的安全防范意识和应急处置能力，确保群众生命财产安全。</w:t>
            </w:r>
          </w:p>
          <w:p>
            <w:pPr>
              <w:pStyle w:val="null3"/>
              <w:ind w:firstLine="400"/>
              <w:jc w:val="left"/>
            </w:pPr>
            <w:r>
              <w:rPr>
                <w:rFonts w:ascii="仿宋_GB2312" w:hAnsi="仿宋_GB2312" w:cs="仿宋_GB2312" w:eastAsia="仿宋_GB2312"/>
                <w:sz w:val="20"/>
              </w:rPr>
              <w:t>（三）开展应急演练</w:t>
            </w:r>
          </w:p>
          <w:p>
            <w:pPr>
              <w:pStyle w:val="null3"/>
              <w:ind w:firstLine="400"/>
              <w:jc w:val="left"/>
            </w:pPr>
            <w:r>
              <w:rPr>
                <w:rFonts w:ascii="仿宋_GB2312" w:hAnsi="仿宋_GB2312" w:cs="仿宋_GB2312" w:eastAsia="仿宋_GB2312"/>
                <w:sz w:val="20"/>
              </w:rPr>
              <w:t>1、开展内容</w:t>
            </w:r>
          </w:p>
          <w:p>
            <w:pPr>
              <w:pStyle w:val="null3"/>
              <w:ind w:firstLine="400"/>
              <w:jc w:val="left"/>
            </w:pPr>
            <w:r>
              <w:rPr>
                <w:rFonts w:ascii="仿宋_GB2312" w:hAnsi="仿宋_GB2312" w:cs="仿宋_GB2312" w:eastAsia="仿宋_GB2312"/>
                <w:sz w:val="20"/>
              </w:rPr>
              <w:t>针对辖区内各养老机构、医养结合机构进行消防安全应急疏散演练和防汛应急演练等。</w:t>
            </w:r>
          </w:p>
          <w:p>
            <w:pPr>
              <w:pStyle w:val="null3"/>
              <w:ind w:firstLine="400"/>
              <w:jc w:val="left"/>
            </w:pPr>
            <w:r>
              <w:rPr>
                <w:rFonts w:ascii="仿宋_GB2312" w:hAnsi="仿宋_GB2312" w:cs="仿宋_GB2312" w:eastAsia="仿宋_GB2312"/>
                <w:sz w:val="20"/>
              </w:rPr>
              <w:t>2、开展频次</w:t>
            </w:r>
          </w:p>
          <w:p>
            <w:pPr>
              <w:pStyle w:val="null3"/>
              <w:ind w:firstLine="400"/>
              <w:jc w:val="left"/>
            </w:pPr>
            <w:r>
              <w:rPr>
                <w:rFonts w:ascii="仿宋_GB2312" w:hAnsi="仿宋_GB2312" w:cs="仿宋_GB2312" w:eastAsia="仿宋_GB2312"/>
                <w:sz w:val="20"/>
              </w:rPr>
              <w:t>每年对辖区内各养老机构、医养结合机构进行不少于两次应急演练。</w:t>
            </w:r>
          </w:p>
          <w:p>
            <w:pPr>
              <w:pStyle w:val="null3"/>
              <w:ind w:firstLine="400"/>
              <w:jc w:val="left"/>
            </w:pPr>
            <w:r>
              <w:rPr>
                <w:rFonts w:ascii="仿宋_GB2312" w:hAnsi="仿宋_GB2312" w:cs="仿宋_GB2312" w:eastAsia="仿宋_GB2312"/>
                <w:sz w:val="20"/>
              </w:rPr>
              <w:t>3、开展应用结果</w:t>
            </w:r>
          </w:p>
          <w:p>
            <w:pPr>
              <w:pStyle w:val="null3"/>
              <w:ind w:firstLine="400"/>
              <w:jc w:val="left"/>
            </w:pPr>
            <w:r>
              <w:rPr>
                <w:rFonts w:ascii="仿宋_GB2312" w:hAnsi="仿宋_GB2312" w:cs="仿宋_GB2312" w:eastAsia="仿宋_GB2312"/>
                <w:sz w:val="20"/>
              </w:rPr>
              <w:t>检验和完善养老机构的消防安全管理制度和应急预案，提高应对火灾等突发事件的能力，通过实际操作训练，使机构全体人员熟练掌握消防器材的使用方法，提高灭火技能，熟悉应急疏散流程和路线，以便在火灾或汛情发生时能够快速、有序地疏散群众和自身，最大限度地减少人员伤亡和财产损失。</w:t>
            </w:r>
          </w:p>
          <w:p>
            <w:pPr>
              <w:pStyle w:val="null3"/>
              <w:ind w:firstLine="400"/>
              <w:jc w:val="left"/>
            </w:pPr>
            <w:r>
              <w:rPr>
                <w:rFonts w:ascii="仿宋_GB2312" w:hAnsi="仿宋_GB2312" w:cs="仿宋_GB2312" w:eastAsia="仿宋_GB2312"/>
                <w:sz w:val="20"/>
              </w:rPr>
              <w:t>四、商务要求</w:t>
            </w:r>
          </w:p>
          <w:p>
            <w:pPr>
              <w:pStyle w:val="null3"/>
              <w:jc w:val="left"/>
            </w:pPr>
            <w:r>
              <w:rPr>
                <w:rFonts w:ascii="仿宋_GB2312" w:hAnsi="仿宋_GB2312" w:cs="仿宋_GB2312" w:eastAsia="仿宋_GB2312"/>
                <w:sz w:val="20"/>
              </w:rPr>
              <w:t>（一）服务期限</w:t>
            </w:r>
            <w:r>
              <w:rPr>
                <w:rFonts w:ascii="仿宋_GB2312" w:hAnsi="仿宋_GB2312" w:cs="仿宋_GB2312" w:eastAsia="仿宋_GB2312"/>
                <w:sz w:val="20"/>
              </w:rPr>
              <w:t>：</w:t>
            </w:r>
            <w:r>
              <w:rPr>
                <w:rFonts w:ascii="仿宋_GB2312" w:hAnsi="仿宋_GB2312" w:cs="仿宋_GB2312" w:eastAsia="仿宋_GB2312"/>
                <w:sz w:val="20"/>
              </w:rPr>
              <w:t>自合同签订之日起一年。</w:t>
            </w:r>
          </w:p>
          <w:p>
            <w:pPr>
              <w:pStyle w:val="null3"/>
              <w:jc w:val="left"/>
            </w:pPr>
            <w:r>
              <w:rPr>
                <w:rFonts w:ascii="仿宋_GB2312" w:hAnsi="仿宋_GB2312" w:cs="仿宋_GB2312" w:eastAsia="仿宋_GB2312"/>
                <w:sz w:val="20"/>
              </w:rPr>
              <w:t>（二）服务地点：采购人指定地点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满足项目最低需要配备。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进度款，验收完成后，达到付款条件起30个工作日内，支付合同总金额的60.0%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从业人员300人以下的为中小微型企业。其中，从业人员100人及以上的为中型企业；从业人员10人及以上的为小型企业；从业人员10人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供应商需要在线提交所有通过电子化交易平台实施的政府采购项目的响应文件，同时，线下提交纸质响应文件壹份，纸质版响应文件需与系统签章版响应文件保持一致，具体要求详见竞争性磋商公告。4.本项目专门面向中小企业采购（残疾人福利性单位、监狱企业视同小型、微型企业）。5.根据《西安高新区财政金融局关于开展政府采购供应商基本资格条件承诺制试点工作的通知（西高财函〔2024〕111号）》，简化对供应商资格条件等的形式审查，供应商只需以书面形式提供规定格式的《基本资格条件承诺函》(详见磋商文件第七章响应文件格式“相关资格证明资料”)，即可替代以下材料：（1）依法缴纳税收的证明材料；（2）依法社会保险缴纳的证明材料；（3）财务审计报告或其基本开户银行出具的资信证明材料或专业担保机构出具的投标担保函；（4）参加政府采购活动前三年内，在经营活动中没有重大违法记录的证明材料；（5）具有履行合同所必需的设备和专业技术能力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若不提供《基本资格条件承诺函》，则需提供相应的证明材料，否则按无效投标处理。6.由于系统原因，本项目付款方式、确定供应商及签订合同分别按以下执行：（1）付款方式：合同签订后，达到付款条件起 30 日内，支付合同总金额的 40.00%。验收完成后，达到付款条件起 30 日内，支付合同总金额的 60.00%。（2）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相关资格证明资料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身份证明文件 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履行合同所必需的设备和专业技术能力及诚信履约的书面声明函</w:t>
            </w:r>
          </w:p>
        </w:tc>
        <w:tc>
          <w:tcPr>
            <w:tcW w:type="dxa" w:w="3322"/>
          </w:tcPr>
          <w:p>
            <w:pPr>
              <w:pStyle w:val="null3"/>
            </w:pPr>
            <w:r>
              <w:rPr>
                <w:rFonts w:ascii="仿宋_GB2312" w:hAnsi="仿宋_GB2312" w:cs="仿宋_GB2312" w:eastAsia="仿宋_GB2312"/>
              </w:rPr>
              <w:t>具有履行合同所必需的设备和专业技术能力及诚信履约的书面声明函，供应商需在项目电子化交易系统中按要求上传相应证明文件并进行电子签章。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供应商未被“信用中国”网站（www.creditchina.gov.cn）列入失信被执行人和重大税收违法失信主体、未被中国政府采购网（www.ccgp.gov.cn）列入政府采购严重违法失信行为记录名单，以开标后的网站查询记录为准。</w:t>
            </w:r>
          </w:p>
        </w:tc>
        <w:tc>
          <w:tcPr>
            <w:tcW w:type="dxa" w:w="1661"/>
          </w:tcPr>
          <w:p>
            <w:pPr>
              <w:pStyle w:val="null3"/>
            </w:pPr>
            <w:r>
              <w:rPr>
                <w:rFonts w:ascii="仿宋_GB2312" w:hAnsi="仿宋_GB2312" w:cs="仿宋_GB2312" w:eastAsia="仿宋_GB2312"/>
              </w:rPr>
              <w:t>相关资格证明资料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磋商第一次报价表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报价唯一无缺漏，且没有高于磋商文件规定的采购预算或最高限价</w:t>
            </w:r>
          </w:p>
        </w:tc>
        <w:tc>
          <w:tcPr>
            <w:tcW w:type="dxa" w:w="1661"/>
          </w:tcPr>
          <w:p>
            <w:pPr>
              <w:pStyle w:val="null3"/>
            </w:pPr>
            <w:r>
              <w:rPr>
                <w:rFonts w:ascii="仿宋_GB2312" w:hAnsi="仿宋_GB2312" w:cs="仿宋_GB2312" w:eastAsia="仿宋_GB2312"/>
              </w:rPr>
              <w:t>标的清单 报价表 响应函 磋商第一次报价表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身份证明文件 承诺书 标的清单 报价表 响应函 相关资格证明资料 磋商第一次报价表 方案响应部分</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身份证明文件 承诺书 标的清单 报价表 响应函 相关资格证明资料 磋商第一次报价表 方案响应部分</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总体方案及安全专项排查实施方案</w:t>
            </w:r>
          </w:p>
        </w:tc>
        <w:tc>
          <w:tcPr>
            <w:tcW w:type="dxa" w:w="2492"/>
          </w:tcPr>
          <w:p>
            <w:pPr>
              <w:pStyle w:val="null3"/>
            </w:pPr>
            <w:r>
              <w:rPr>
                <w:rFonts w:ascii="仿宋_GB2312" w:hAnsi="仿宋_GB2312" w:cs="仿宋_GB2312" w:eastAsia="仿宋_GB2312"/>
              </w:rPr>
              <w:t>一、评审内容 针对本项目提出适用于本项目的总体方案及安全专项排查实施方案，总体方案及安全专项排查实施方案包括：①对项目背景、目标了解及分析；②项目重难点分析③消防安全专项排查实施方案；④燃气安全专项排查实施方案；⑤服务安全专项排查实施方案；⑥防汛安全专项排查实施方案； 二、评审标准 1、完整性：方案必须全面，对评审内容中的各项要求有详细描述； 2、可实施性：切合本项目实际情况，提出步骤清晰、合理的方案； 3、针对性：方案能够紧扣项目实际情况，内容科学合理。 三、赋分标准（满分30分） ①对项目背景、目标了解及分析：每完全满足一个评审标准得1分，满分3分； ②项目重难点分析:每完全满足一个评审标准得1分，满分3分； ③消防安全专项排查实施方案:每完全满足一个评审标准得2分，满分6分； ④燃气安全专项排查实施方案:每完全满足一个评审标准得2分，满分6分； ⑤服务安全专项排查实施方案:每完全满足一个评审标准得2分，满分6分； ⑥防汛安全专项排查实施方案:每完全满足一个评审标准得2分，满分6分；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应急处置与常态化培训方案</w:t>
            </w:r>
          </w:p>
        </w:tc>
        <w:tc>
          <w:tcPr>
            <w:tcW w:type="dxa" w:w="2492"/>
          </w:tcPr>
          <w:p>
            <w:pPr>
              <w:pStyle w:val="null3"/>
            </w:pPr>
            <w:r>
              <w:rPr>
                <w:rFonts w:ascii="仿宋_GB2312" w:hAnsi="仿宋_GB2312" w:cs="仿宋_GB2312" w:eastAsia="仿宋_GB2312"/>
              </w:rPr>
              <w:t>一、评审内容 针对本项目提出适用于本项目的应急处置与常态化培训方案，应急处置与常态化培训方案包括：①应急风险预测及应急响应保障方案②对聘用人员的培训方案③人员管理制度。 二、评审标准 1、完整性：方案必须全面，对评审内容中的各项要求有详细描述； 2、可实施性：切合本项目实际情况，提出步骤清晰、合理的方案； 3、针对性：方案能够紧扣项目实际情况，内容科学合理。 三、赋分标准（满分9分） ①应急风险预测及应急响应保障方案每完全满足一个评审标准得1分，满分3分； ②对聘用人员的培训方案每完全满足一个评审标准得1分，满分3分； ③人员管理制度每完全满足一个评审标准得1分，满分3分；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供应商针对本项目配备专职的项目经理，项目负责人具备一级注册消防工程师得10分，本项最高得10分。 注：提供项目经理证书扫描件，未按要求提供不得分。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供应商拟投入本项目的人员具备安全资质、消防资质等证书的，每提供1项有效证书得2分，本项最高得18分。注：需提供人员证书扫描件，未按要求提供不得分。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供应商须提供类似项目的合同或中标通知书（2023年1月至今）（时间以合同签订时间或中标通知书发出时间为准），每提供一份得5分，满分20分。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供应商具有合法有效的《职业健康安全管理体系认证》、《质量管理体系认证》、《环境管理体系认证》每完全满足一个评审标准得1分，满分3分；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采用低价优先法计算，即通过符合性审查且价格最低的有效响应报价为评标基准价，其价格分为满分。响应报价得分＝（评标基准价/响应报价）×10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详见附件：相关资格证明资料</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详见附件：磋商第一次报价表</w:t>
      </w:r>
    </w:p>
    <w:p>
      <w:pPr>
        <w:pStyle w:val="null3"/>
        <w:ind w:firstLine="960"/>
      </w:pPr>
      <w:r>
        <w:rPr>
          <w:rFonts w:ascii="仿宋_GB2312" w:hAnsi="仿宋_GB2312" w:cs="仿宋_GB2312" w:eastAsia="仿宋_GB2312"/>
        </w:rPr>
        <w:t>详见附件：方案响应部分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