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735124">
      <w:pPr>
        <w:keepNext w:val="0"/>
        <w:keepLines w:val="0"/>
        <w:pageBreakBefore w:val="0"/>
        <w:widowControl w:val="0"/>
        <w:kinsoku/>
        <w:overflowPunct/>
        <w:bidi w:val="0"/>
        <w:spacing w:beforeLines="50" w:afterLines="100"/>
        <w:ind w:firstLine="0"/>
        <w:jc w:val="center"/>
        <w:outlineLvl w:val="0"/>
        <w:rPr>
          <w:rFonts w:hint="eastAsia" w:ascii="宋体" w:hAnsi="宋体" w:eastAsia="宋体" w:cs="宋体"/>
          <w:color w:val="auto"/>
          <w:kern w:val="44"/>
          <w:sz w:val="44"/>
          <w:szCs w:val="44"/>
          <w:highlight w:val="none"/>
          <w:lang w:val="en-US" w:eastAsia="zh-CN" w:bidi="ar-SA"/>
        </w:rPr>
      </w:pPr>
      <w:r>
        <w:rPr>
          <w:rFonts w:hint="eastAsia" w:ascii="宋体" w:hAnsi="宋体" w:eastAsia="宋体" w:cs="宋体"/>
          <w:color w:val="auto"/>
          <w:kern w:val="44"/>
          <w:sz w:val="44"/>
          <w:szCs w:val="44"/>
          <w:highlight w:val="none"/>
          <w:lang w:val="en-US" w:eastAsia="zh-CN" w:bidi="ar-SA"/>
        </w:rPr>
        <w:t>政府采购合同格式</w:t>
      </w:r>
    </w:p>
    <w:p w14:paraId="3EF64D81">
      <w:pPr>
        <w:keepNext w:val="0"/>
        <w:keepLines w:val="0"/>
        <w:pageBreakBefore w:val="0"/>
        <w:widowControl w:val="0"/>
        <w:kinsoku/>
        <w:wordWrap/>
        <w:overflowPunct/>
        <w:topLinePunct w:val="0"/>
        <w:bidi w:val="0"/>
        <w:spacing w:line="360" w:lineRule="auto"/>
        <w:ind w:firstLine="420" w:firstLineChars="20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合同编号： </w:t>
      </w:r>
    </w:p>
    <w:p w14:paraId="4DCA1A18">
      <w:pPr>
        <w:keepNext w:val="0"/>
        <w:keepLines w:val="0"/>
        <w:pageBreakBefore w:val="0"/>
        <w:widowControl w:val="0"/>
        <w:kinsoku/>
        <w:wordWrap/>
        <w:overflowPunct/>
        <w:topLinePunct w:val="0"/>
        <w:bidi w:val="0"/>
        <w:spacing w:line="360" w:lineRule="auto"/>
        <w:ind w:firstLine="420" w:firstLineChars="20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签订地点： </w:t>
      </w:r>
    </w:p>
    <w:p w14:paraId="274B87F2">
      <w:pPr>
        <w:keepNext w:val="0"/>
        <w:keepLines w:val="0"/>
        <w:pageBreakBefore w:val="0"/>
        <w:widowControl w:val="0"/>
        <w:kinsoku/>
        <w:wordWrap/>
        <w:overflowPunct/>
        <w:topLinePunct w:val="0"/>
        <w:bidi w:val="0"/>
        <w:spacing w:line="360" w:lineRule="auto"/>
        <w:ind w:firstLine="420" w:firstLineChars="20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签订时间: </w:t>
      </w:r>
    </w:p>
    <w:p w14:paraId="36F9C3D0">
      <w:pPr>
        <w:keepNext w:val="0"/>
        <w:keepLines w:val="0"/>
        <w:pageBreakBefore w:val="0"/>
        <w:widowControl w:val="0"/>
        <w:kinsoku/>
        <w:wordWrap/>
        <w:overflowPunct/>
        <w:topLinePunct w:val="0"/>
        <w:bidi w:val="0"/>
        <w:spacing w:line="360" w:lineRule="auto"/>
        <w:ind w:firstLine="420" w:firstLineChars="20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采购人（甲方）：</w:t>
      </w:r>
    </w:p>
    <w:p w14:paraId="45199EBE">
      <w:pPr>
        <w:keepNext w:val="0"/>
        <w:keepLines w:val="0"/>
        <w:pageBreakBefore w:val="0"/>
        <w:widowControl w:val="0"/>
        <w:kinsoku/>
        <w:wordWrap/>
        <w:overflowPunct/>
        <w:topLinePunct w:val="0"/>
        <w:bidi w:val="0"/>
        <w:spacing w:line="360" w:lineRule="auto"/>
        <w:ind w:firstLine="420" w:firstLineChars="20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供应商（乙方）：</w:t>
      </w:r>
    </w:p>
    <w:p w14:paraId="4E6D78E8">
      <w:pPr>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360" w:lineRule="auto"/>
        <w:ind w:right="-199" w:rightChars="-95"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根据《中华人民共和国政府采购法》及实施条例、《中华人民共和国民法典》和</w:t>
      </w:r>
      <w:r>
        <w:rPr>
          <w:rFonts w:hint="eastAsia" w:ascii="宋体" w:hAnsi="宋体" w:eastAsia="宋体" w:cs="宋体"/>
          <w:color w:val="auto"/>
          <w:sz w:val="21"/>
          <w:szCs w:val="21"/>
          <w:highlight w:val="none"/>
          <w:lang w:eastAsia="zh-CN"/>
        </w:rPr>
        <w:t>《陕西应急管理》杂志项目</w:t>
      </w:r>
      <w:r>
        <w:rPr>
          <w:rFonts w:hint="eastAsia" w:ascii="宋体" w:hAnsi="宋体" w:eastAsia="宋体" w:cs="宋体"/>
          <w:color w:val="auto"/>
          <w:sz w:val="21"/>
          <w:szCs w:val="21"/>
          <w:highlight w:val="none"/>
        </w:rPr>
        <w:t>（采购项目编号</w:t>
      </w:r>
      <w:r>
        <w:rPr>
          <w:rFonts w:hint="eastAsia" w:ascii="宋体" w:hAnsi="宋体" w:eastAsia="宋体" w:cs="宋体"/>
          <w:color w:val="auto"/>
          <w:sz w:val="21"/>
          <w:szCs w:val="21"/>
          <w:highlight w:val="none"/>
          <w:lang w:eastAsia="zh-CN"/>
        </w:rPr>
        <w:t>：CZXX-ZB-26018）</w:t>
      </w:r>
      <w:r>
        <w:rPr>
          <w:rFonts w:hint="eastAsia" w:ascii="宋体" w:hAnsi="宋体" w:eastAsia="宋体" w:cs="宋体"/>
          <w:color w:val="auto"/>
          <w:sz w:val="21"/>
          <w:szCs w:val="21"/>
          <w:highlight w:val="none"/>
        </w:rPr>
        <w:t>的采购文件、响应文件等有关规定，为确保甲方采购项目的顺利实施，甲、乙双方在平等自愿原则下签订本合同，并共同遵守如下条款，其主要要求如下</w:t>
      </w:r>
    </w:p>
    <w:p w14:paraId="5B5CB9B0">
      <w:pPr>
        <w:keepNext w:val="0"/>
        <w:keepLines w:val="0"/>
        <w:pageBreakBefore w:val="0"/>
        <w:widowControl w:val="0"/>
        <w:kinsoku/>
        <w:wordWrap/>
        <w:overflowPunct/>
        <w:topLinePunct w:val="0"/>
        <w:bidi w:val="0"/>
        <w:spacing w:line="360" w:lineRule="auto"/>
        <w:ind w:firstLine="422" w:firstLineChars="200"/>
        <w:jc w:val="left"/>
        <w:outlineLvl w:val="1"/>
        <w:rPr>
          <w:rFonts w:hint="eastAsia" w:ascii="宋体" w:hAnsi="宋体" w:eastAsia="宋体" w:cs="宋体"/>
          <w:b/>
          <w:color w:val="auto"/>
          <w:szCs w:val="21"/>
          <w:highlight w:val="none"/>
        </w:rPr>
      </w:pPr>
      <w:bookmarkStart w:id="0" w:name="_Toc11438"/>
      <w:r>
        <w:rPr>
          <w:rFonts w:hint="eastAsia" w:ascii="宋体" w:hAnsi="宋体" w:eastAsia="宋体" w:cs="宋体"/>
          <w:b/>
          <w:color w:val="auto"/>
          <w:szCs w:val="21"/>
          <w:highlight w:val="none"/>
        </w:rPr>
        <w:t>第一条   项目基本情况</w:t>
      </w:r>
      <w:bookmarkEnd w:id="0"/>
    </w:p>
    <w:p w14:paraId="619B0D1E">
      <w:pPr>
        <w:keepNext w:val="0"/>
        <w:keepLines w:val="0"/>
        <w:pageBreakBefore w:val="0"/>
        <w:widowControl/>
        <w:kinsoku w:val="0"/>
        <w:wordWrap/>
        <w:overflowPunct/>
        <w:topLinePunct w:val="0"/>
        <w:autoSpaceDE w:val="0"/>
        <w:autoSpaceDN w:val="0"/>
        <w:bidi w:val="0"/>
        <w:adjustRightInd w:val="0"/>
        <w:snapToGrid w:val="0"/>
        <w:spacing w:line="360" w:lineRule="auto"/>
        <w:ind w:right="-199" w:rightChars="-95" w:firstLine="420" w:firstLineChars="200"/>
        <w:textAlignment w:val="baseline"/>
        <w:rPr>
          <w:rFonts w:hint="eastAsia" w:ascii="宋体" w:hAnsi="宋体" w:eastAsia="宋体" w:cs="宋体"/>
          <w:b w:val="0"/>
          <w:bCs/>
          <w:color w:val="auto"/>
          <w:sz w:val="21"/>
          <w:szCs w:val="21"/>
          <w:highlight w:val="none"/>
          <w:lang w:val="en-US" w:eastAsia="zh-CN"/>
        </w:rPr>
      </w:pPr>
      <w:bookmarkStart w:id="1" w:name="_Toc24394"/>
      <w:r>
        <w:rPr>
          <w:rFonts w:hint="eastAsia" w:ascii="宋体" w:hAnsi="宋体" w:eastAsia="宋体" w:cs="宋体"/>
          <w:b w:val="0"/>
          <w:bCs/>
          <w:color w:val="auto"/>
          <w:sz w:val="21"/>
          <w:szCs w:val="21"/>
          <w:highlight w:val="none"/>
          <w:lang w:val="en-US" w:eastAsia="zh-CN"/>
        </w:rPr>
        <w:t>本项目为应急管理行业媒体合作项目。加强与行业媒体合作，对我省典型经验做法进行宣传。及时反映我省在应急管理体制机制，基层基础，业务建设等方面的改革探索实践，开设8个版面，生动展示全省应急管理工作的正面典型，先进经验，创新成果，讲好陕西应急管理故事，弘扬陕西应急特色文化，全力服务应急管理事业高质量发展。</w:t>
      </w:r>
    </w:p>
    <w:p w14:paraId="66982FA1">
      <w:pPr>
        <w:keepNext w:val="0"/>
        <w:keepLines w:val="0"/>
        <w:pageBreakBefore w:val="0"/>
        <w:widowControl w:val="0"/>
        <w:kinsoku/>
        <w:wordWrap/>
        <w:overflowPunct/>
        <w:topLinePunct w:val="0"/>
        <w:bidi w:val="0"/>
        <w:spacing w:line="360" w:lineRule="auto"/>
        <w:ind w:firstLine="422" w:firstLineChars="200"/>
        <w:jc w:val="left"/>
        <w:outlineLvl w:val="1"/>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第二条   服务期限</w:t>
      </w:r>
      <w:bookmarkEnd w:id="1"/>
    </w:p>
    <w:p w14:paraId="7C8AF43D">
      <w:pPr>
        <w:keepNext w:val="0"/>
        <w:keepLines w:val="0"/>
        <w:pageBreakBefore w:val="0"/>
        <w:widowControl/>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color w:val="auto"/>
          <w:kern w:val="2"/>
          <w:sz w:val="21"/>
          <w:szCs w:val="21"/>
          <w:highlight w:val="none"/>
          <w:lang w:val="en-US" w:eastAsia="zh-CN" w:bidi="ar-SA"/>
        </w:rPr>
      </w:pPr>
      <w:bookmarkStart w:id="2" w:name="_Toc2407"/>
      <w:bookmarkStart w:id="3" w:name="_Toc286993786"/>
      <w:bookmarkStart w:id="4" w:name="_Toc185395249"/>
      <w:bookmarkStart w:id="5" w:name="_Toc237145406"/>
      <w:bookmarkStart w:id="6" w:name="_Toc239233914"/>
      <w:bookmarkStart w:id="7" w:name="_Toc282696226"/>
      <w:bookmarkStart w:id="8" w:name="_Toc211854449"/>
      <w:bookmarkStart w:id="9" w:name="_Toc283019214"/>
      <w:bookmarkStart w:id="10" w:name="_Toc238984975"/>
      <w:bookmarkStart w:id="11" w:name="_Toc241833903"/>
      <w:bookmarkStart w:id="12" w:name="_Toc211911348"/>
      <w:bookmarkStart w:id="13" w:name="_Toc232492928"/>
      <w:bookmarkStart w:id="14" w:name="_Toc251768862"/>
      <w:bookmarkStart w:id="15" w:name="_Toc239568418"/>
      <w:bookmarkStart w:id="16" w:name="_Toc225654644"/>
      <w:bookmarkStart w:id="17" w:name="_Toc225244852"/>
      <w:bookmarkStart w:id="18" w:name="_Toc247334841"/>
      <w:bookmarkStart w:id="19" w:name="_Toc212019594"/>
      <w:bookmarkStart w:id="20" w:name="_Toc225670751"/>
      <w:r>
        <w:rPr>
          <w:rFonts w:hint="eastAsia" w:ascii="宋体" w:hAnsi="宋体" w:eastAsia="宋体" w:cs="宋体"/>
          <w:snapToGrid w:val="0"/>
          <w:color w:val="auto"/>
          <w:kern w:val="0"/>
          <w:sz w:val="21"/>
          <w:szCs w:val="21"/>
          <w:highlight w:val="none"/>
          <w:lang w:val="en-US" w:eastAsia="zh-CN" w:bidi="ar-SA"/>
        </w:rPr>
        <w:t>一年。</w:t>
      </w:r>
    </w:p>
    <w:p w14:paraId="0DDBDF92">
      <w:pPr>
        <w:keepNext w:val="0"/>
        <w:keepLines w:val="0"/>
        <w:pageBreakBefore w:val="0"/>
        <w:widowControl w:val="0"/>
        <w:tabs>
          <w:tab w:val="left" w:pos="387"/>
        </w:tabs>
        <w:kinsoku/>
        <w:wordWrap/>
        <w:overflowPunct/>
        <w:topLinePunct w:val="0"/>
        <w:bidi w:val="0"/>
        <w:spacing w:line="360" w:lineRule="auto"/>
        <w:ind w:firstLine="422" w:firstLineChars="200"/>
        <w:jc w:val="left"/>
        <w:outlineLvl w:val="1"/>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第三条   服务内容</w:t>
      </w:r>
      <w:bookmarkEnd w:id="2"/>
    </w:p>
    <w:p w14:paraId="3E1ADDC6">
      <w:pPr>
        <w:widowControl w:val="0"/>
        <w:spacing w:line="360" w:lineRule="auto"/>
        <w:ind w:firstLine="420" w:firstLineChars="200"/>
        <w:jc w:val="both"/>
        <w:rPr>
          <w:rFonts w:hint="eastAsia" w:ascii="宋体" w:hAnsi="宋体" w:eastAsia="宋体" w:cs="宋体"/>
          <w:color w:val="auto"/>
          <w:kern w:val="2"/>
          <w:sz w:val="21"/>
          <w:szCs w:val="21"/>
          <w:highlight w:val="none"/>
          <w:lang w:val="en-US" w:eastAsia="zh-CN" w:bidi="ar-SA"/>
        </w:rPr>
      </w:pPr>
      <w:bookmarkStart w:id="21" w:name="_Toc20078"/>
      <w:r>
        <w:rPr>
          <w:rFonts w:hint="eastAsia" w:ascii="宋体" w:hAnsi="宋体" w:eastAsia="宋体" w:cs="宋体"/>
          <w:color w:val="auto"/>
          <w:kern w:val="2"/>
          <w:sz w:val="21"/>
          <w:szCs w:val="21"/>
          <w:highlight w:val="none"/>
          <w:lang w:val="en-US" w:eastAsia="zh-CN" w:bidi="ar-SA"/>
        </w:rPr>
        <w:t>1.围绕陕西省应急管理重点工作及重大活动，双方联合在《中国应急管理报》以整版形式刊发9期宣传内容。在此前提下，根据合同约定及陕西省厅实际需求，由双方协商确定。</w:t>
      </w:r>
    </w:p>
    <w:p w14:paraId="4C2A46C7">
      <w:pPr>
        <w:widowControl w:val="0"/>
        <w:spacing w:line="360" w:lineRule="auto"/>
        <w:ind w:firstLine="420" w:firstLineChars="20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在中国应急管理报社有限公司所属官方微信公众号、视频号，加大对涉及陕西省应急管理厅重点资讯的关注度，合作期内，在应急管理行业领域主流报刊官方微信公众号推送陕西省厅相关资讯10次；为陕西省应急管理厅官方微信平台开通“中国应急管理”和“中国安全生产网”微信公号白名单权限。</w:t>
      </w:r>
    </w:p>
    <w:p w14:paraId="7C5BB226">
      <w:pPr>
        <w:widowControl w:val="0"/>
        <w:spacing w:line="360" w:lineRule="auto"/>
        <w:ind w:firstLine="420" w:firstLineChars="20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制作专项科普视频。以安全生产、防灾减灾救灾、应急救援、重点行业领域的专项排查整治工作等为主题，或结合陕西省厅实际情况，双方商定其他主题，在供应商所属“中国应急管理”视频号发布科普视频10次。</w:t>
      </w:r>
    </w:p>
    <w:p w14:paraId="2E49BCEC">
      <w:pPr>
        <w:widowControl w:val="0"/>
        <w:spacing w:line="360" w:lineRule="auto"/>
        <w:ind w:firstLine="420" w:firstLineChars="20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4.合作期内，中国应急管理报社有限公司组织骨干记者与陕西省应急管理厅合作开展1次开展“安全生产治本攻坚三年行动”主题采访活动，对陕西省安全生产治本攻坚三年行动生动实践及取得的实效进行集中报道，同步将采写的稿件在相关具有影响力的媒体平台进行转发报道,扩大活动影响力。活动期间的交通、差旅等费用由供应商承担。</w:t>
      </w:r>
    </w:p>
    <w:p w14:paraId="436C1B76">
      <w:pPr>
        <w:widowControl w:val="0"/>
        <w:spacing w:line="360" w:lineRule="auto"/>
        <w:ind w:firstLine="420" w:firstLineChars="20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5、合作期内，为陕西省应急管理厅提供应急管理行业领域主流报刊电子版账号10个。</w:t>
      </w:r>
    </w:p>
    <w:p w14:paraId="33652D0B">
      <w:pPr>
        <w:widowControl w:val="0"/>
        <w:spacing w:line="360" w:lineRule="auto"/>
        <w:ind w:firstLine="420" w:firstLineChars="200"/>
        <w:jc w:val="both"/>
        <w:rPr>
          <w:rFonts w:hint="eastAsia" w:ascii="宋体" w:hAnsi="宋体" w:eastAsia="宋体" w:cs="宋体"/>
          <w:b/>
          <w:color w:val="auto"/>
          <w:kern w:val="2"/>
          <w:sz w:val="21"/>
          <w:szCs w:val="21"/>
          <w:highlight w:val="none"/>
          <w:lang w:val="en-US" w:eastAsia="en-US" w:bidi="ar-SA"/>
        </w:rPr>
      </w:pPr>
      <w:r>
        <w:rPr>
          <w:rFonts w:hint="eastAsia" w:ascii="宋体" w:hAnsi="宋体" w:eastAsia="宋体" w:cs="宋体"/>
          <w:color w:val="auto"/>
          <w:kern w:val="2"/>
          <w:sz w:val="21"/>
          <w:szCs w:val="21"/>
          <w:highlight w:val="none"/>
          <w:lang w:val="en-US" w:eastAsia="zh-CN" w:bidi="ar-SA"/>
        </w:rPr>
        <w:t>6、为陕西省应急管理厅提供信息监测服务，包括开设监测栏目、设置监测关键词、提供年度信息报告,针对突发事件进行监测等。</w:t>
      </w:r>
    </w:p>
    <w:p w14:paraId="10700794">
      <w:pPr>
        <w:keepNext w:val="0"/>
        <w:keepLines w:val="0"/>
        <w:pageBreakBefore w:val="0"/>
        <w:widowControl w:val="0"/>
        <w:kinsoku/>
        <w:wordWrap/>
        <w:overflowPunct/>
        <w:topLinePunct w:val="0"/>
        <w:bidi w:val="0"/>
        <w:spacing w:line="360" w:lineRule="auto"/>
        <w:ind w:firstLine="422" w:firstLineChars="200"/>
        <w:jc w:val="left"/>
        <w:outlineLvl w:val="1"/>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第四条   服务费用及支付方式</w:t>
      </w:r>
      <w:bookmarkEnd w:id="21"/>
    </w:p>
    <w:p w14:paraId="11DAB84A">
      <w:pPr>
        <w:keepNext w:val="0"/>
        <w:keepLines w:val="0"/>
        <w:pageBreakBefore w:val="0"/>
        <w:widowControl w:val="0"/>
        <w:kinsoku/>
        <w:wordWrap/>
        <w:overflowPunct/>
        <w:topLinePunct w:val="0"/>
        <w:bidi w:val="0"/>
        <w:spacing w:line="360" w:lineRule="auto"/>
        <w:ind w:firstLine="420" w:firstLineChars="200"/>
        <w:jc w:val="left"/>
        <w:rPr>
          <w:rFonts w:hint="eastAsia" w:ascii="宋体" w:hAnsi="宋体" w:eastAsia="宋体" w:cs="宋体"/>
          <w:snapToGrid w:val="0"/>
          <w:color w:val="auto"/>
          <w:kern w:val="0"/>
          <w:sz w:val="21"/>
          <w:szCs w:val="21"/>
          <w:highlight w:val="none"/>
          <w:lang w:val="en-US" w:eastAsia="zh-CN" w:bidi="ar-SA"/>
        </w:rPr>
      </w:pPr>
      <w:r>
        <w:rPr>
          <w:rFonts w:hint="eastAsia" w:ascii="宋体" w:hAnsi="宋体" w:eastAsia="宋体" w:cs="宋体"/>
          <w:color w:val="auto"/>
          <w:kern w:val="0"/>
          <w:szCs w:val="21"/>
          <w:highlight w:val="none"/>
          <w:lang w:val="en-US" w:eastAsia="zh-CN"/>
        </w:rPr>
        <w:t>1.合同签订后，达到付款条件起30日内，支付合同总金额的80.00%；验收合格后，达到付款条件起30日内，支付合同总金额的20.00%。</w:t>
      </w:r>
    </w:p>
    <w:p w14:paraId="61A06B4A">
      <w:pPr>
        <w:keepNext w:val="0"/>
        <w:keepLines w:val="0"/>
        <w:pageBreakBefore w:val="0"/>
        <w:widowControl w:val="0"/>
        <w:kinsoku/>
        <w:wordWrap/>
        <w:overflowPunct/>
        <w:topLinePunct w:val="0"/>
        <w:bidi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2.结算方式：银行转账</w:t>
      </w:r>
    </w:p>
    <w:p w14:paraId="3BCD4937">
      <w:pPr>
        <w:keepNext w:val="0"/>
        <w:keepLines w:val="0"/>
        <w:pageBreakBefore w:val="0"/>
        <w:widowControl w:val="0"/>
        <w:kinsoku/>
        <w:wordWrap/>
        <w:overflowPunct/>
        <w:topLinePunct w:val="0"/>
        <w:bidi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eastAsia="zh-CN"/>
        </w:rPr>
        <w:t>3.</w:t>
      </w:r>
      <w:r>
        <w:rPr>
          <w:rFonts w:hint="eastAsia" w:ascii="宋体" w:hAnsi="宋体" w:eastAsia="宋体" w:cs="宋体"/>
          <w:color w:val="auto"/>
          <w:kern w:val="0"/>
          <w:szCs w:val="21"/>
          <w:highlight w:val="none"/>
        </w:rPr>
        <w:t>乙方收款账户</w:t>
      </w:r>
    </w:p>
    <w:p w14:paraId="01963D88">
      <w:pPr>
        <w:keepNext w:val="0"/>
        <w:keepLines w:val="0"/>
        <w:pageBreakBefore w:val="0"/>
        <w:widowControl w:val="0"/>
        <w:kinsoku/>
        <w:wordWrap/>
        <w:overflowPunct/>
        <w:topLinePunct w:val="0"/>
        <w:bidi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账户名称：                 </w:t>
      </w:r>
    </w:p>
    <w:p w14:paraId="201DF749">
      <w:pPr>
        <w:keepNext w:val="0"/>
        <w:keepLines w:val="0"/>
        <w:pageBreakBefore w:val="0"/>
        <w:widowControl w:val="0"/>
        <w:kinsoku/>
        <w:wordWrap/>
        <w:overflowPunct/>
        <w:topLinePunct w:val="0"/>
        <w:bidi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开户银行：                   </w:t>
      </w:r>
    </w:p>
    <w:p w14:paraId="6A28036C">
      <w:pPr>
        <w:keepNext w:val="0"/>
        <w:keepLines w:val="0"/>
        <w:pageBreakBefore w:val="0"/>
        <w:widowControl w:val="0"/>
        <w:kinsoku/>
        <w:wordWrap/>
        <w:overflowPunct/>
        <w:topLinePunct w:val="0"/>
        <w:bidi w:val="0"/>
        <w:spacing w:line="360" w:lineRule="auto"/>
        <w:ind w:firstLine="420" w:firstLineChars="200"/>
        <w:jc w:val="left"/>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rPr>
        <w:t>银行账号：</w:t>
      </w:r>
      <w:r>
        <w:rPr>
          <w:rFonts w:hint="eastAsia" w:ascii="宋体" w:hAnsi="宋体" w:eastAsia="宋体" w:cs="宋体"/>
          <w:color w:val="auto"/>
          <w:kern w:val="0"/>
          <w:szCs w:val="21"/>
          <w:highlight w:val="none"/>
          <w:lang w:val="en-US" w:eastAsia="zh-CN"/>
        </w:rPr>
        <w:t xml:space="preserve">                 </w:t>
      </w:r>
    </w:p>
    <w:p w14:paraId="4B932D6C">
      <w:pPr>
        <w:keepNext w:val="0"/>
        <w:keepLines w:val="0"/>
        <w:pageBreakBefore w:val="0"/>
        <w:wordWrap/>
        <w:overflowPunct/>
        <w:topLinePunct w:val="0"/>
        <w:bidi w:val="0"/>
        <w:spacing w:line="360" w:lineRule="auto"/>
        <w:ind w:left="425"/>
        <w:outlineLvl w:val="1"/>
        <w:rPr>
          <w:rFonts w:hint="eastAsia" w:ascii="宋体" w:hAnsi="宋体" w:eastAsia="宋体" w:cs="宋体"/>
          <w:b/>
          <w:color w:val="auto"/>
          <w:szCs w:val="21"/>
          <w:highlight w:val="none"/>
        </w:rPr>
      </w:pPr>
      <w:bookmarkStart w:id="22" w:name="_Toc22959"/>
      <w:r>
        <w:rPr>
          <w:rFonts w:hint="eastAsia" w:ascii="宋体" w:hAnsi="宋体" w:eastAsia="宋体" w:cs="宋体"/>
          <w:b/>
          <w:color w:val="auto"/>
          <w:szCs w:val="21"/>
          <w:highlight w:val="none"/>
        </w:rPr>
        <w:t>第五条  知识产权（若有）</w:t>
      </w:r>
      <w:bookmarkEnd w:id="22"/>
    </w:p>
    <w:p w14:paraId="4A5E9C24">
      <w:pPr>
        <w:keepNext w:val="0"/>
        <w:keepLines w:val="0"/>
        <w:pageBreakBefore w:val="0"/>
        <w:tabs>
          <w:tab w:val="left" w:pos="1440"/>
        </w:tabs>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乙方应保证所提供的服务或其任何一部分均不会侵犯任何第三方的专利权、商标权或著作权。</w:t>
      </w:r>
    </w:p>
    <w:p w14:paraId="38F01C05">
      <w:pPr>
        <w:keepNext w:val="0"/>
        <w:keepLines w:val="0"/>
        <w:pageBreakBefore w:val="0"/>
        <w:wordWrap/>
        <w:overflowPunct/>
        <w:topLinePunct w:val="0"/>
        <w:bidi w:val="0"/>
        <w:spacing w:line="360" w:lineRule="auto"/>
        <w:ind w:left="426"/>
        <w:outlineLvl w:val="1"/>
        <w:rPr>
          <w:rFonts w:hint="eastAsia" w:ascii="宋体" w:hAnsi="宋体" w:eastAsia="宋体" w:cs="宋体"/>
          <w:b/>
          <w:color w:val="auto"/>
          <w:szCs w:val="21"/>
          <w:highlight w:val="none"/>
        </w:rPr>
      </w:pPr>
      <w:bookmarkStart w:id="23" w:name="_Toc31647"/>
      <w:r>
        <w:rPr>
          <w:rFonts w:hint="eastAsia" w:ascii="宋体" w:hAnsi="宋体" w:eastAsia="宋体" w:cs="宋体"/>
          <w:b/>
          <w:color w:val="auto"/>
          <w:szCs w:val="21"/>
          <w:highlight w:val="none"/>
        </w:rPr>
        <w:t>第六条  无产权瑕疵条款（如有）</w:t>
      </w:r>
      <w:bookmarkEnd w:id="23"/>
    </w:p>
    <w:p w14:paraId="642AE754">
      <w:pPr>
        <w:keepNext w:val="0"/>
        <w:keepLines w:val="0"/>
        <w:pageBreakBefore w:val="0"/>
        <w:tabs>
          <w:tab w:val="left" w:pos="1440"/>
        </w:tabs>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乙方保证所提供的服务的所有权完全属于乙方且无任何抵押、查封等产权瑕疵。如有产权瑕疵的，视为乙方违约。乙方应负担由此而产生的一切损失。</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5FDB0189">
      <w:pPr>
        <w:keepNext w:val="0"/>
        <w:keepLines w:val="0"/>
        <w:pageBreakBefore w:val="0"/>
        <w:widowControl w:val="0"/>
        <w:kinsoku/>
        <w:wordWrap/>
        <w:overflowPunct/>
        <w:topLinePunct w:val="0"/>
        <w:bidi w:val="0"/>
        <w:spacing w:line="360" w:lineRule="auto"/>
        <w:ind w:left="426"/>
        <w:outlineLvl w:val="1"/>
        <w:rPr>
          <w:rFonts w:hint="eastAsia" w:ascii="宋体" w:hAnsi="宋体" w:eastAsia="宋体" w:cs="宋体"/>
          <w:b/>
          <w:color w:val="auto"/>
          <w:szCs w:val="21"/>
          <w:highlight w:val="none"/>
        </w:rPr>
      </w:pPr>
      <w:bookmarkStart w:id="24" w:name="_Toc16162"/>
      <w:r>
        <w:rPr>
          <w:rFonts w:hint="eastAsia" w:ascii="宋体" w:hAnsi="宋体" w:eastAsia="宋体" w:cs="宋体"/>
          <w:b/>
          <w:color w:val="auto"/>
          <w:szCs w:val="21"/>
          <w:highlight w:val="none"/>
        </w:rPr>
        <w:t>第</w:t>
      </w:r>
      <w:r>
        <w:rPr>
          <w:rFonts w:hint="eastAsia" w:ascii="宋体" w:hAnsi="宋体" w:eastAsia="宋体" w:cs="宋体"/>
          <w:b/>
          <w:color w:val="auto"/>
          <w:szCs w:val="21"/>
          <w:highlight w:val="none"/>
          <w:lang w:val="en-US" w:eastAsia="zh-CN"/>
        </w:rPr>
        <w:t>七</w:t>
      </w:r>
      <w:r>
        <w:rPr>
          <w:rFonts w:hint="eastAsia" w:ascii="宋体" w:hAnsi="宋体" w:eastAsia="宋体" w:cs="宋体"/>
          <w:b/>
          <w:color w:val="auto"/>
          <w:szCs w:val="21"/>
          <w:highlight w:val="none"/>
        </w:rPr>
        <w:t>条  甲方的权利和义务</w:t>
      </w:r>
      <w:bookmarkEnd w:id="24"/>
    </w:p>
    <w:p w14:paraId="6CFAD62F">
      <w:pPr>
        <w:keepNext w:val="0"/>
        <w:keepLines w:val="0"/>
        <w:pageBreakBefore w:val="0"/>
        <w:widowControl w:val="0"/>
        <w:kinsoku/>
        <w:wordWrap/>
        <w:overflowPunct/>
        <w:topLinePunct w:val="0"/>
        <w:bidi w:val="0"/>
        <w:adjustRightInd w:val="0"/>
        <w:spacing w:line="360" w:lineRule="auto"/>
        <w:ind w:firstLine="420" w:firstLineChars="200"/>
        <w:jc w:val="left"/>
        <w:textAlignment w:val="baseline"/>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1.甲方有权对合同规定范围内乙方的服务行为进行监督和检查，拥有监管权。有权定期核对乙方提供服务所配备的人员数量。对甲方认为不合理的部分有权下达整改通知书，并要求乙方限期整改。</w:t>
      </w:r>
    </w:p>
    <w:p w14:paraId="46310D5B">
      <w:pPr>
        <w:keepNext w:val="0"/>
        <w:keepLines w:val="0"/>
        <w:pageBreakBefore w:val="0"/>
        <w:widowControl w:val="0"/>
        <w:kinsoku/>
        <w:wordWrap/>
        <w:overflowPunct/>
        <w:topLinePunct w:val="0"/>
        <w:bidi w:val="0"/>
        <w:adjustRightInd w:val="0"/>
        <w:spacing w:line="360" w:lineRule="auto"/>
        <w:ind w:firstLine="420" w:firstLineChars="200"/>
        <w:jc w:val="left"/>
        <w:textAlignment w:val="baseline"/>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2.负责检查监督乙方管理工作的实施及制度的执行情况。</w:t>
      </w:r>
    </w:p>
    <w:p w14:paraId="5FC2D568">
      <w:pPr>
        <w:keepNext w:val="0"/>
        <w:keepLines w:val="0"/>
        <w:pageBreakBefore w:val="0"/>
        <w:widowControl w:val="0"/>
        <w:kinsoku/>
        <w:wordWrap/>
        <w:overflowPunct/>
        <w:topLinePunct w:val="0"/>
        <w:bidi w:val="0"/>
        <w:adjustRightInd w:val="0"/>
        <w:spacing w:line="360" w:lineRule="auto"/>
        <w:ind w:firstLine="420" w:firstLineChars="200"/>
        <w:jc w:val="left"/>
        <w:textAlignment w:val="baseline"/>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3.根据本合同规定，按时向乙方支付应付服务费用。</w:t>
      </w:r>
    </w:p>
    <w:p w14:paraId="16EEE45D">
      <w:pPr>
        <w:keepNext w:val="0"/>
        <w:keepLines w:val="0"/>
        <w:pageBreakBefore w:val="0"/>
        <w:widowControl w:val="0"/>
        <w:kinsoku/>
        <w:wordWrap/>
        <w:overflowPunct/>
        <w:topLinePunct w:val="0"/>
        <w:bidi w:val="0"/>
        <w:adjustRightInd w:val="0"/>
        <w:spacing w:line="360" w:lineRule="auto"/>
        <w:ind w:firstLine="420" w:firstLineChars="200"/>
        <w:jc w:val="left"/>
        <w:textAlignment w:val="baseline"/>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4.国家</w:t>
      </w:r>
      <w:r>
        <w:rPr>
          <w:rFonts w:hint="eastAsia" w:ascii="宋体" w:hAnsi="宋体" w:eastAsia="宋体" w:cs="宋体"/>
          <w:bCs/>
          <w:color w:val="auto"/>
          <w:szCs w:val="21"/>
          <w:highlight w:val="none"/>
          <w:lang w:eastAsia="zh-CN"/>
        </w:rPr>
        <w:t>法律法规</w:t>
      </w:r>
      <w:r>
        <w:rPr>
          <w:rFonts w:hint="eastAsia" w:ascii="宋体" w:hAnsi="宋体" w:eastAsia="宋体" w:cs="宋体"/>
          <w:bCs/>
          <w:color w:val="auto"/>
          <w:szCs w:val="21"/>
          <w:highlight w:val="none"/>
        </w:rPr>
        <w:t>所规定由甲方承担的</w:t>
      </w:r>
      <w:r>
        <w:rPr>
          <w:rFonts w:hint="eastAsia" w:ascii="宋体" w:hAnsi="宋体" w:eastAsia="宋体" w:cs="宋体"/>
          <w:bCs/>
          <w:color w:val="auto"/>
          <w:szCs w:val="21"/>
          <w:highlight w:val="none"/>
          <w:lang w:eastAsia="zh-CN"/>
        </w:rPr>
        <w:t>其他</w:t>
      </w:r>
      <w:r>
        <w:rPr>
          <w:rFonts w:hint="eastAsia" w:ascii="宋体" w:hAnsi="宋体" w:eastAsia="宋体" w:cs="宋体"/>
          <w:bCs/>
          <w:color w:val="auto"/>
          <w:szCs w:val="21"/>
          <w:highlight w:val="none"/>
        </w:rPr>
        <w:t>责任。</w:t>
      </w:r>
    </w:p>
    <w:p w14:paraId="149CDE0B">
      <w:pPr>
        <w:keepNext w:val="0"/>
        <w:keepLines w:val="0"/>
        <w:pageBreakBefore w:val="0"/>
        <w:widowControl w:val="0"/>
        <w:kinsoku/>
        <w:wordWrap/>
        <w:overflowPunct/>
        <w:topLinePunct w:val="0"/>
        <w:bidi w:val="0"/>
        <w:spacing w:line="360" w:lineRule="auto"/>
        <w:ind w:left="426"/>
        <w:outlineLvl w:val="1"/>
        <w:rPr>
          <w:rFonts w:hint="eastAsia" w:ascii="宋体" w:hAnsi="宋体" w:eastAsia="宋体" w:cs="宋体"/>
          <w:b/>
          <w:color w:val="auto"/>
          <w:szCs w:val="21"/>
          <w:highlight w:val="none"/>
        </w:rPr>
      </w:pPr>
      <w:bookmarkStart w:id="25" w:name="_Toc27740"/>
      <w:r>
        <w:rPr>
          <w:rFonts w:hint="eastAsia" w:ascii="宋体" w:hAnsi="宋体" w:eastAsia="宋体" w:cs="宋体"/>
          <w:b/>
          <w:color w:val="auto"/>
          <w:szCs w:val="21"/>
          <w:highlight w:val="none"/>
        </w:rPr>
        <w:t>第</w:t>
      </w:r>
      <w:r>
        <w:rPr>
          <w:rFonts w:hint="eastAsia" w:ascii="宋体" w:hAnsi="宋体" w:eastAsia="宋体" w:cs="宋体"/>
          <w:b/>
          <w:color w:val="auto"/>
          <w:szCs w:val="21"/>
          <w:highlight w:val="none"/>
          <w:lang w:val="en-US" w:eastAsia="zh-CN"/>
        </w:rPr>
        <w:t>八</w:t>
      </w:r>
      <w:r>
        <w:rPr>
          <w:rFonts w:hint="eastAsia" w:ascii="宋体" w:hAnsi="宋体" w:eastAsia="宋体" w:cs="宋体"/>
          <w:b/>
          <w:color w:val="auto"/>
          <w:szCs w:val="21"/>
          <w:highlight w:val="none"/>
        </w:rPr>
        <w:t>条  乙方的权利和义务</w:t>
      </w:r>
      <w:bookmarkEnd w:id="25"/>
    </w:p>
    <w:p w14:paraId="4E82CA38">
      <w:pPr>
        <w:keepNext w:val="0"/>
        <w:keepLines w:val="0"/>
        <w:pageBreakBefore w:val="0"/>
        <w:widowControl w:val="0"/>
        <w:kinsoku/>
        <w:wordWrap/>
        <w:overflowPunct/>
        <w:topLinePunct w:val="0"/>
        <w:bidi w:val="0"/>
        <w:adjustRightInd w:val="0"/>
        <w:spacing w:line="360" w:lineRule="auto"/>
        <w:ind w:firstLine="420" w:firstLineChars="200"/>
        <w:jc w:val="left"/>
        <w:textAlignment w:val="baseline"/>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1.对本合同规定的委托服务范围内的项目享有管理权及服务义务。</w:t>
      </w:r>
    </w:p>
    <w:p w14:paraId="372A5F40">
      <w:pPr>
        <w:keepNext w:val="0"/>
        <w:keepLines w:val="0"/>
        <w:pageBreakBefore w:val="0"/>
        <w:widowControl w:val="0"/>
        <w:kinsoku/>
        <w:wordWrap/>
        <w:overflowPunct/>
        <w:topLinePunct w:val="0"/>
        <w:bidi w:val="0"/>
        <w:adjustRightInd w:val="0"/>
        <w:spacing w:line="360" w:lineRule="auto"/>
        <w:ind w:firstLine="420" w:firstLineChars="200"/>
        <w:jc w:val="left"/>
        <w:textAlignment w:val="baseline"/>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2.根据本合同的规定向甲方收取相关服务费用，并有权在本项目管理范围内管理及合理使用。</w:t>
      </w:r>
    </w:p>
    <w:p w14:paraId="283BEFD2">
      <w:pPr>
        <w:keepNext w:val="0"/>
        <w:keepLines w:val="0"/>
        <w:pageBreakBefore w:val="0"/>
        <w:widowControl w:val="0"/>
        <w:kinsoku/>
        <w:wordWrap/>
        <w:overflowPunct/>
        <w:topLinePunct w:val="0"/>
        <w:bidi w:val="0"/>
        <w:adjustRightInd w:val="0"/>
        <w:spacing w:line="360" w:lineRule="auto"/>
        <w:ind w:firstLine="420" w:firstLineChars="200"/>
        <w:jc w:val="left"/>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3.及时向甲方通告本项目服务范围内有关服务的重大事项，及时配合处理投诉。</w:t>
      </w:r>
    </w:p>
    <w:p w14:paraId="55BDE7AF">
      <w:pPr>
        <w:keepNext w:val="0"/>
        <w:keepLines w:val="0"/>
        <w:pageBreakBefore w:val="0"/>
        <w:widowControl w:val="0"/>
        <w:kinsoku/>
        <w:wordWrap/>
        <w:overflowPunct/>
        <w:topLinePunct w:val="0"/>
        <w:bidi w:val="0"/>
        <w:adjustRightInd w:val="0"/>
        <w:spacing w:line="360" w:lineRule="auto"/>
        <w:ind w:firstLine="420" w:firstLineChars="200"/>
        <w:jc w:val="left"/>
        <w:textAlignment w:val="baseline"/>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4.</w:t>
      </w:r>
      <w:r>
        <w:rPr>
          <w:rFonts w:hint="eastAsia" w:ascii="宋体" w:hAnsi="宋体" w:eastAsia="宋体" w:cs="宋体"/>
          <w:bCs/>
          <w:color w:val="auto"/>
          <w:szCs w:val="21"/>
          <w:highlight w:val="none"/>
        </w:rPr>
        <w:t>接受项目行业管理部门及政府有关部门的指导，接受甲方的监督。</w:t>
      </w:r>
    </w:p>
    <w:p w14:paraId="5B93C2D8">
      <w:pPr>
        <w:keepNext w:val="0"/>
        <w:keepLines w:val="0"/>
        <w:pageBreakBefore w:val="0"/>
        <w:widowControl w:val="0"/>
        <w:kinsoku/>
        <w:wordWrap/>
        <w:overflowPunct/>
        <w:topLinePunct w:val="0"/>
        <w:bidi w:val="0"/>
        <w:adjustRightInd w:val="0"/>
        <w:spacing w:line="360" w:lineRule="auto"/>
        <w:ind w:firstLine="420" w:firstLineChars="200"/>
        <w:jc w:val="left"/>
        <w:textAlignment w:val="baseline"/>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5.国家</w:t>
      </w:r>
      <w:r>
        <w:rPr>
          <w:rFonts w:hint="eastAsia" w:ascii="宋体" w:hAnsi="宋体" w:eastAsia="宋体" w:cs="宋体"/>
          <w:bCs/>
          <w:color w:val="auto"/>
          <w:szCs w:val="21"/>
          <w:highlight w:val="none"/>
          <w:lang w:eastAsia="zh-CN"/>
        </w:rPr>
        <w:t>法律法规</w:t>
      </w:r>
      <w:r>
        <w:rPr>
          <w:rFonts w:hint="eastAsia" w:ascii="宋体" w:hAnsi="宋体" w:eastAsia="宋体" w:cs="宋体"/>
          <w:bCs/>
          <w:color w:val="auto"/>
          <w:szCs w:val="21"/>
          <w:highlight w:val="none"/>
        </w:rPr>
        <w:t>所规定由乙方承担的</w:t>
      </w:r>
      <w:r>
        <w:rPr>
          <w:rFonts w:hint="eastAsia" w:ascii="宋体" w:hAnsi="宋体" w:eastAsia="宋体" w:cs="宋体"/>
          <w:bCs/>
          <w:color w:val="auto"/>
          <w:szCs w:val="21"/>
          <w:highlight w:val="none"/>
          <w:lang w:eastAsia="zh-CN"/>
        </w:rPr>
        <w:t>其他</w:t>
      </w:r>
      <w:r>
        <w:rPr>
          <w:rFonts w:hint="eastAsia" w:ascii="宋体" w:hAnsi="宋体" w:eastAsia="宋体" w:cs="宋体"/>
          <w:bCs/>
          <w:color w:val="auto"/>
          <w:szCs w:val="21"/>
          <w:highlight w:val="none"/>
        </w:rPr>
        <w:t>责任。</w:t>
      </w:r>
    </w:p>
    <w:p w14:paraId="5162FF24">
      <w:pPr>
        <w:keepNext w:val="0"/>
        <w:keepLines w:val="0"/>
        <w:pageBreakBefore w:val="0"/>
        <w:widowControl w:val="0"/>
        <w:kinsoku/>
        <w:wordWrap/>
        <w:overflowPunct/>
        <w:topLinePunct w:val="0"/>
        <w:bidi w:val="0"/>
        <w:spacing w:line="360" w:lineRule="auto"/>
        <w:ind w:left="426"/>
        <w:outlineLvl w:val="1"/>
        <w:rPr>
          <w:rFonts w:hint="eastAsia" w:ascii="宋体" w:hAnsi="宋体" w:eastAsia="宋体" w:cs="宋体"/>
          <w:b/>
          <w:color w:val="auto"/>
          <w:szCs w:val="21"/>
          <w:highlight w:val="none"/>
        </w:rPr>
      </w:pPr>
      <w:bookmarkStart w:id="26" w:name="_Toc25988"/>
      <w:r>
        <w:rPr>
          <w:rFonts w:hint="eastAsia" w:ascii="宋体" w:hAnsi="宋体" w:eastAsia="宋体" w:cs="宋体"/>
          <w:b/>
          <w:color w:val="auto"/>
          <w:szCs w:val="21"/>
          <w:highlight w:val="none"/>
        </w:rPr>
        <w:t>第</w:t>
      </w:r>
      <w:r>
        <w:rPr>
          <w:rFonts w:hint="eastAsia" w:ascii="宋体" w:hAnsi="宋体" w:eastAsia="宋体" w:cs="宋体"/>
          <w:b/>
          <w:color w:val="auto"/>
          <w:szCs w:val="21"/>
          <w:highlight w:val="none"/>
          <w:lang w:val="en-US" w:eastAsia="zh-CN"/>
        </w:rPr>
        <w:t>九</w:t>
      </w:r>
      <w:r>
        <w:rPr>
          <w:rFonts w:hint="eastAsia" w:ascii="宋体" w:hAnsi="宋体" w:eastAsia="宋体" w:cs="宋体"/>
          <w:b/>
          <w:color w:val="auto"/>
          <w:szCs w:val="21"/>
          <w:highlight w:val="none"/>
        </w:rPr>
        <w:t>条  违约责任</w:t>
      </w:r>
      <w:bookmarkEnd w:id="26"/>
    </w:p>
    <w:p w14:paraId="5A6BFC39">
      <w:pPr>
        <w:keepNext w:val="0"/>
        <w:keepLines w:val="0"/>
        <w:pageBreakBefore w:val="0"/>
        <w:widowControl w:val="0"/>
        <w:kinsoku/>
        <w:wordWrap/>
        <w:overflowPunct/>
        <w:topLinePunct w:val="0"/>
        <w:bidi w:val="0"/>
        <w:adjustRightInd w:val="0"/>
        <w:spacing w:line="360" w:lineRule="auto"/>
        <w:ind w:firstLine="420" w:firstLineChars="200"/>
        <w:jc w:val="left"/>
        <w:textAlignment w:val="baseline"/>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1.甲乙双方必须遵守本合同并执行合同中的各项规定，保证本合同的正常履行。</w:t>
      </w:r>
    </w:p>
    <w:p w14:paraId="7E74C2B6">
      <w:pPr>
        <w:keepNext w:val="0"/>
        <w:keepLines w:val="0"/>
        <w:pageBreakBefore w:val="0"/>
        <w:widowControl w:val="0"/>
        <w:kinsoku/>
        <w:wordWrap/>
        <w:overflowPunct/>
        <w:topLinePunct w:val="0"/>
        <w:bidi w:val="0"/>
        <w:adjustRightInd w:val="0"/>
        <w:spacing w:line="360" w:lineRule="auto"/>
        <w:ind w:firstLine="420" w:firstLineChars="200"/>
        <w:jc w:val="left"/>
        <w:textAlignment w:val="baseline"/>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2.如因乙方工作人员在履行职务过程</w:t>
      </w:r>
      <w:r>
        <w:rPr>
          <w:rFonts w:hint="eastAsia" w:ascii="宋体" w:hAnsi="宋体" w:eastAsia="宋体" w:cs="宋体"/>
          <w:bCs/>
          <w:color w:val="auto"/>
          <w:szCs w:val="21"/>
          <w:highlight w:val="none"/>
          <w:lang w:eastAsia="zh-CN"/>
        </w:rPr>
        <w:t>中的</w:t>
      </w:r>
      <w:r>
        <w:rPr>
          <w:rFonts w:hint="eastAsia" w:ascii="宋体" w:hAnsi="宋体" w:eastAsia="宋体" w:cs="宋体"/>
          <w:bCs/>
          <w:color w:val="auto"/>
          <w:szCs w:val="21"/>
          <w:highlight w:val="none"/>
        </w:rPr>
        <w:t>疏忽、失职、过错等故意或者过失原因给甲方造成损失或侵害，包括但不限于甲方本身的财产损失、由此而导致的甲方对任何第三方的法律责任等，乙方对此均应承担全部的赔偿责任。</w:t>
      </w:r>
    </w:p>
    <w:p w14:paraId="1F53FA72">
      <w:pPr>
        <w:keepNext w:val="0"/>
        <w:keepLines w:val="0"/>
        <w:pageBreakBefore w:val="0"/>
        <w:widowControl w:val="0"/>
        <w:kinsoku/>
        <w:wordWrap/>
        <w:overflowPunct/>
        <w:topLinePunct w:val="0"/>
        <w:bidi w:val="0"/>
        <w:spacing w:line="360" w:lineRule="auto"/>
        <w:ind w:left="426"/>
        <w:outlineLvl w:val="1"/>
        <w:rPr>
          <w:rFonts w:hint="eastAsia" w:ascii="宋体" w:hAnsi="宋体" w:eastAsia="宋体" w:cs="宋体"/>
          <w:b/>
          <w:color w:val="auto"/>
          <w:szCs w:val="21"/>
          <w:highlight w:val="none"/>
        </w:rPr>
      </w:pPr>
      <w:bookmarkStart w:id="27" w:name="_Toc26448"/>
      <w:r>
        <w:rPr>
          <w:rFonts w:hint="eastAsia" w:ascii="宋体" w:hAnsi="宋体" w:eastAsia="宋体" w:cs="宋体"/>
          <w:b/>
          <w:color w:val="auto"/>
          <w:szCs w:val="21"/>
          <w:highlight w:val="none"/>
        </w:rPr>
        <w:t>第</w:t>
      </w:r>
      <w:r>
        <w:rPr>
          <w:rFonts w:hint="eastAsia" w:ascii="宋体" w:hAnsi="宋体" w:eastAsia="宋体" w:cs="宋体"/>
          <w:b/>
          <w:color w:val="auto"/>
          <w:szCs w:val="21"/>
          <w:highlight w:val="none"/>
          <w:lang w:val="en-US" w:eastAsia="zh-CN"/>
        </w:rPr>
        <w:t>十</w:t>
      </w:r>
      <w:r>
        <w:rPr>
          <w:rFonts w:hint="eastAsia" w:ascii="宋体" w:hAnsi="宋体" w:eastAsia="宋体" w:cs="宋体"/>
          <w:b/>
          <w:color w:val="auto"/>
          <w:szCs w:val="21"/>
          <w:highlight w:val="none"/>
        </w:rPr>
        <w:t>条  不可抗力事件处理</w:t>
      </w:r>
      <w:bookmarkEnd w:id="27"/>
    </w:p>
    <w:p w14:paraId="18179549">
      <w:pPr>
        <w:keepNext w:val="0"/>
        <w:keepLines w:val="0"/>
        <w:pageBreakBefore w:val="0"/>
        <w:widowControl w:val="0"/>
        <w:tabs>
          <w:tab w:val="left" w:pos="0"/>
        </w:tabs>
        <w:kinsoku/>
        <w:wordWrap/>
        <w:overflowPunct/>
        <w:topLinePunct w:val="0"/>
        <w:bidi w:val="0"/>
        <w:spacing w:line="360" w:lineRule="auto"/>
        <w:ind w:firstLine="420" w:firstLineChars="200"/>
        <w:rPr>
          <w:rFonts w:hint="eastAsia" w:ascii="宋体" w:hAnsi="宋体" w:eastAsia="宋体" w:cs="宋体"/>
          <w:color w:val="auto"/>
          <w:szCs w:val="21"/>
          <w:highlight w:val="none"/>
        </w:rPr>
      </w:pPr>
      <w:bookmarkStart w:id="28" w:name="_Toc238984980"/>
      <w:bookmarkStart w:id="29" w:name="_Toc251768867"/>
      <w:bookmarkStart w:id="30" w:name="_Toc232492933"/>
      <w:bookmarkStart w:id="31" w:name="_Toc212019599"/>
      <w:bookmarkStart w:id="32" w:name="_Toc241833908"/>
      <w:bookmarkStart w:id="33" w:name="_Toc211854454"/>
      <w:bookmarkStart w:id="34" w:name="_Toc239568423"/>
      <w:bookmarkStart w:id="35" w:name="_Toc225654649"/>
      <w:bookmarkStart w:id="36" w:name="_Toc225670756"/>
      <w:bookmarkStart w:id="37" w:name="_Toc247334846"/>
      <w:bookmarkStart w:id="38" w:name="_Toc239233919"/>
      <w:bookmarkStart w:id="39" w:name="_Toc211911353"/>
      <w:bookmarkStart w:id="40" w:name="_Toc225244857"/>
      <w:bookmarkStart w:id="41" w:name="_Toc237145411"/>
      <w:bookmarkStart w:id="42" w:name="_Toc185395254"/>
      <w:bookmarkStart w:id="43" w:name="_Toc286993792"/>
      <w:r>
        <w:rPr>
          <w:rFonts w:hint="eastAsia" w:ascii="宋体" w:hAnsi="宋体" w:eastAsia="宋体" w:cs="宋体"/>
          <w:color w:val="auto"/>
          <w:szCs w:val="21"/>
          <w:highlight w:val="none"/>
        </w:rPr>
        <w:t>1.在合同有效期内，任何一方因不可抗力事件导致不能履行合同，则合同履行期可延长，其延长期与不可抗力影响期相同。</w:t>
      </w:r>
    </w:p>
    <w:p w14:paraId="3E4E9E45">
      <w:pPr>
        <w:keepNext w:val="0"/>
        <w:keepLines w:val="0"/>
        <w:pageBreakBefore w:val="0"/>
        <w:widowControl w:val="0"/>
        <w:tabs>
          <w:tab w:val="left" w:pos="0"/>
        </w:tabs>
        <w:kinsoku/>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2.不可抗力事件发生后，应立即通知对方，并寄送有关权威机构出具的证明。</w:t>
      </w:r>
    </w:p>
    <w:p w14:paraId="1ABE9299">
      <w:pPr>
        <w:keepNext w:val="0"/>
        <w:keepLines w:val="0"/>
        <w:pageBreakBefore w:val="0"/>
        <w:widowControl w:val="0"/>
        <w:tabs>
          <w:tab w:val="left" w:pos="0"/>
        </w:tabs>
        <w:kinsoku/>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3.不可抗力事件延续</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天以上，双方应通过友好协商，确定是否继续履行合同。</w:t>
      </w:r>
    </w:p>
    <w:p w14:paraId="5184A3DC">
      <w:pPr>
        <w:keepNext w:val="0"/>
        <w:keepLines w:val="0"/>
        <w:pageBreakBefore w:val="0"/>
        <w:widowControl w:val="0"/>
        <w:kinsoku/>
        <w:wordWrap/>
        <w:overflowPunct/>
        <w:topLinePunct w:val="0"/>
        <w:bidi w:val="0"/>
        <w:spacing w:before="120" w:beforeLines="50" w:after="120" w:afterLines="50" w:line="360" w:lineRule="auto"/>
        <w:ind w:firstLine="422" w:firstLineChars="200"/>
        <w:jc w:val="left"/>
        <w:outlineLvl w:val="1"/>
        <w:rPr>
          <w:rFonts w:hint="eastAsia" w:ascii="宋体" w:hAnsi="宋体" w:eastAsia="宋体" w:cs="宋体"/>
          <w:color w:val="auto"/>
          <w:kern w:val="0"/>
          <w:szCs w:val="21"/>
          <w:highlight w:val="none"/>
        </w:rPr>
      </w:pPr>
      <w:bookmarkStart w:id="44" w:name="_Toc20448"/>
      <w:r>
        <w:rPr>
          <w:rFonts w:hint="eastAsia" w:ascii="宋体" w:hAnsi="宋体" w:eastAsia="宋体" w:cs="宋体"/>
          <w:b/>
          <w:color w:val="auto"/>
          <w:szCs w:val="21"/>
          <w:highlight w:val="none"/>
        </w:rPr>
        <w:t>第</w:t>
      </w:r>
      <w:r>
        <w:rPr>
          <w:rFonts w:hint="eastAsia" w:ascii="宋体" w:hAnsi="宋体" w:eastAsia="宋体" w:cs="宋体"/>
          <w:b/>
          <w:color w:val="auto"/>
          <w:szCs w:val="21"/>
          <w:highlight w:val="none"/>
          <w:lang w:val="en-US" w:eastAsia="zh-CN"/>
        </w:rPr>
        <w:t>十一</w:t>
      </w:r>
      <w:r>
        <w:rPr>
          <w:rFonts w:hint="eastAsia" w:ascii="宋体" w:hAnsi="宋体" w:eastAsia="宋体" w:cs="宋体"/>
          <w:b/>
          <w:color w:val="auto"/>
          <w:szCs w:val="21"/>
          <w:highlight w:val="none"/>
        </w:rPr>
        <w:t xml:space="preserve">条  </w:t>
      </w:r>
      <w:r>
        <w:rPr>
          <w:rFonts w:hint="eastAsia" w:ascii="宋体" w:hAnsi="宋体" w:eastAsia="宋体" w:cs="宋体"/>
          <w:b/>
          <w:color w:val="auto"/>
          <w:kern w:val="0"/>
          <w:szCs w:val="21"/>
          <w:highlight w:val="none"/>
        </w:rPr>
        <w:t>合同的变更和终止</w:t>
      </w:r>
      <w:bookmarkEnd w:id="44"/>
    </w:p>
    <w:p w14:paraId="3BEEDCDC">
      <w:pPr>
        <w:keepNext w:val="0"/>
        <w:keepLines w:val="0"/>
        <w:pageBreakBefore w:val="0"/>
        <w:widowControl w:val="0"/>
        <w:kinsoku/>
        <w:wordWrap/>
        <w:overflowPunct/>
        <w:topLinePunct w:val="0"/>
        <w:bidi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除《中华人民共和国政府采购法》第49条、第50条第二款规定的情形外，本合同一经签订，甲乙双方不得擅自变更、中止或终止合同。</w:t>
      </w:r>
    </w:p>
    <w:p w14:paraId="1D16335C">
      <w:pPr>
        <w:keepNext w:val="0"/>
        <w:keepLines w:val="0"/>
        <w:pageBreakBefore w:val="0"/>
        <w:widowControl w:val="0"/>
        <w:kinsoku/>
        <w:wordWrap/>
        <w:overflowPunct/>
        <w:topLinePunct w:val="0"/>
        <w:bidi w:val="0"/>
        <w:spacing w:line="360" w:lineRule="auto"/>
        <w:ind w:left="426"/>
        <w:outlineLvl w:val="1"/>
        <w:rPr>
          <w:rFonts w:hint="eastAsia" w:ascii="宋体" w:hAnsi="宋体" w:eastAsia="宋体" w:cs="宋体"/>
          <w:b/>
          <w:color w:val="auto"/>
          <w:szCs w:val="21"/>
          <w:highlight w:val="none"/>
        </w:rPr>
      </w:pPr>
      <w:bookmarkStart w:id="45" w:name="_Toc32004"/>
      <w:r>
        <w:rPr>
          <w:rFonts w:hint="eastAsia" w:ascii="宋体" w:hAnsi="宋体" w:eastAsia="宋体" w:cs="宋体"/>
          <w:b/>
          <w:color w:val="auto"/>
          <w:szCs w:val="21"/>
          <w:highlight w:val="none"/>
        </w:rPr>
        <w:t>第</w:t>
      </w:r>
      <w:r>
        <w:rPr>
          <w:rFonts w:hint="eastAsia" w:ascii="宋体" w:hAnsi="宋体" w:eastAsia="宋体" w:cs="宋体"/>
          <w:b/>
          <w:color w:val="auto"/>
          <w:szCs w:val="21"/>
          <w:highlight w:val="none"/>
          <w:lang w:val="en-US" w:eastAsia="zh-CN"/>
        </w:rPr>
        <w:t>十二</w:t>
      </w:r>
      <w:r>
        <w:rPr>
          <w:rFonts w:hint="eastAsia" w:ascii="宋体" w:hAnsi="宋体" w:eastAsia="宋体" w:cs="宋体"/>
          <w:b/>
          <w:color w:val="auto"/>
          <w:szCs w:val="21"/>
          <w:highlight w:val="none"/>
        </w:rPr>
        <w:t>条  解决合同纠纷的方式</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5"/>
    </w:p>
    <w:p w14:paraId="2935184F">
      <w:pPr>
        <w:keepNext w:val="0"/>
        <w:keepLines w:val="0"/>
        <w:pageBreakBefore w:val="0"/>
        <w:widowControl w:val="0"/>
        <w:kinsoku/>
        <w:wordWrap/>
        <w:overflowPunct/>
        <w:topLinePunct w:val="0"/>
        <w:bidi w:val="0"/>
        <w:spacing w:line="360" w:lineRule="auto"/>
        <w:ind w:firstLine="420" w:firstLineChars="200"/>
        <w:jc w:val="both"/>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1.在执行本合同中发生的或与本合同有关的争端，双方应通过友好协商解决，经协商在</w:t>
      </w:r>
      <w:r>
        <w:rPr>
          <w:rFonts w:hint="eastAsia" w:ascii="宋体" w:hAnsi="宋体" w:eastAsia="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lang w:val="en-US" w:eastAsia="zh-CN" w:bidi="ar-SA"/>
        </w:rPr>
        <w:t>天内不能达成协议时，</w:t>
      </w:r>
      <w:r>
        <w:rPr>
          <w:rFonts w:hint="eastAsia" w:ascii="宋体" w:hAnsi="宋体" w:eastAsia="宋体" w:cs="宋体"/>
          <w:color w:val="auto"/>
          <w:kern w:val="0"/>
          <w:sz w:val="21"/>
          <w:szCs w:val="21"/>
          <w:highlight w:val="none"/>
          <w:lang w:val="en-US" w:eastAsia="zh-CN" w:bidi="ar-SA"/>
        </w:rPr>
        <w:t>则采取以下第</w:t>
      </w:r>
      <w:r>
        <w:rPr>
          <w:rFonts w:hint="eastAsia" w:ascii="宋体" w:hAnsi="宋体" w:eastAsia="宋体" w:cs="宋体"/>
          <w:color w:val="auto"/>
          <w:kern w:val="0"/>
          <w:sz w:val="21"/>
          <w:szCs w:val="21"/>
          <w:highlight w:val="none"/>
          <w:u w:val="single"/>
          <w:lang w:val="en-US" w:eastAsia="zh-CN" w:bidi="ar-SA"/>
        </w:rPr>
        <w:t xml:space="preserve"> 1 </w:t>
      </w:r>
      <w:r>
        <w:rPr>
          <w:rFonts w:hint="eastAsia" w:ascii="宋体" w:hAnsi="宋体" w:eastAsia="宋体" w:cs="宋体"/>
          <w:color w:val="auto"/>
          <w:kern w:val="0"/>
          <w:sz w:val="21"/>
          <w:szCs w:val="21"/>
          <w:highlight w:val="none"/>
          <w:lang w:val="en-US" w:eastAsia="zh-CN" w:bidi="ar-SA"/>
        </w:rPr>
        <w:t>种方式解决争议：</w:t>
      </w:r>
    </w:p>
    <w:p w14:paraId="3F082EDA">
      <w:pPr>
        <w:keepNext w:val="0"/>
        <w:keepLines w:val="0"/>
        <w:pageBreakBefore w:val="0"/>
        <w:widowControl w:val="0"/>
        <w:kinsoku/>
        <w:wordWrap/>
        <w:overflowPunct/>
        <w:topLinePunct w:val="0"/>
        <w:bidi w:val="0"/>
        <w:spacing w:line="360" w:lineRule="auto"/>
        <w:ind w:firstLine="420" w:firstLineChars="200"/>
        <w:jc w:val="both"/>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（1）向甲方所在地有管辖权的人民法院提起诉讼；</w:t>
      </w:r>
    </w:p>
    <w:p w14:paraId="6B93DF1A">
      <w:pPr>
        <w:keepNext w:val="0"/>
        <w:keepLines w:val="0"/>
        <w:pageBreakBefore w:val="0"/>
        <w:widowControl w:val="0"/>
        <w:kinsoku/>
        <w:wordWrap/>
        <w:overflowPunct/>
        <w:topLinePunct w:val="0"/>
        <w:bidi w:val="0"/>
        <w:spacing w:line="360" w:lineRule="auto"/>
        <w:ind w:firstLine="420" w:firstLineChars="200"/>
        <w:jc w:val="both"/>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（2）向</w:t>
      </w:r>
      <w:r>
        <w:rPr>
          <w:rFonts w:hint="eastAsia" w:ascii="宋体" w:hAnsi="宋体" w:eastAsia="宋体" w:cs="宋体"/>
          <w:color w:val="auto"/>
          <w:kern w:val="0"/>
          <w:sz w:val="21"/>
          <w:szCs w:val="21"/>
          <w:highlight w:val="none"/>
          <w:u w:val="single"/>
          <w:lang w:val="en-US" w:eastAsia="zh-CN" w:bidi="ar-SA"/>
        </w:rPr>
        <w:t xml:space="preserve"> / </w:t>
      </w:r>
      <w:r>
        <w:rPr>
          <w:rFonts w:hint="eastAsia" w:ascii="宋体" w:hAnsi="宋体" w:eastAsia="宋体" w:cs="宋体"/>
          <w:color w:val="auto"/>
          <w:kern w:val="0"/>
          <w:sz w:val="21"/>
          <w:szCs w:val="21"/>
          <w:highlight w:val="none"/>
          <w:lang w:val="en-US" w:eastAsia="zh-CN" w:bidi="ar-SA"/>
        </w:rPr>
        <w:t>仲裁委员会按其仲裁规则申请仲裁。</w:t>
      </w:r>
    </w:p>
    <w:p w14:paraId="309C8106">
      <w:pPr>
        <w:keepNext w:val="0"/>
        <w:keepLines w:val="0"/>
        <w:pageBreakBefore w:val="0"/>
        <w:widowControl w:val="0"/>
        <w:tabs>
          <w:tab w:val="left" w:pos="0"/>
        </w:tabs>
        <w:kinsoku/>
        <w:wordWrap/>
        <w:overflowPunct/>
        <w:topLinePunct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lang w:eastAsia="zh-CN"/>
        </w:rPr>
        <w:t>2.</w:t>
      </w:r>
      <w:r>
        <w:rPr>
          <w:rFonts w:hint="eastAsia" w:ascii="宋体" w:hAnsi="宋体" w:eastAsia="宋体" w:cs="宋体"/>
          <w:color w:val="auto"/>
          <w:kern w:val="0"/>
          <w:szCs w:val="21"/>
          <w:highlight w:val="none"/>
        </w:rPr>
        <w:t>在仲裁期间，本合同应继续履行。</w:t>
      </w:r>
    </w:p>
    <w:p w14:paraId="448DC22C">
      <w:pPr>
        <w:keepNext w:val="0"/>
        <w:keepLines w:val="0"/>
        <w:pageBreakBefore w:val="0"/>
        <w:widowControl w:val="0"/>
        <w:kinsoku/>
        <w:wordWrap/>
        <w:overflowPunct/>
        <w:topLinePunct w:val="0"/>
        <w:bidi w:val="0"/>
        <w:spacing w:line="360" w:lineRule="auto"/>
        <w:ind w:left="426"/>
        <w:outlineLvl w:val="1"/>
        <w:rPr>
          <w:rFonts w:hint="eastAsia" w:ascii="宋体" w:hAnsi="宋体" w:eastAsia="宋体" w:cs="宋体"/>
          <w:b/>
          <w:color w:val="auto"/>
          <w:szCs w:val="21"/>
          <w:highlight w:val="none"/>
        </w:rPr>
      </w:pPr>
      <w:bookmarkStart w:id="46" w:name="_Toc211854455"/>
      <w:bookmarkStart w:id="47" w:name="_Toc239568424"/>
      <w:bookmarkStart w:id="48" w:name="_Toc185395255"/>
      <w:bookmarkStart w:id="49" w:name="_Toc225244858"/>
      <w:bookmarkStart w:id="50" w:name="_Toc282696231"/>
      <w:bookmarkStart w:id="51" w:name="_Toc238984981"/>
      <w:bookmarkStart w:id="52" w:name="_Toc211911354"/>
      <w:bookmarkStart w:id="53" w:name="_Toc239233920"/>
      <w:bookmarkStart w:id="54" w:name="_Toc232492934"/>
      <w:bookmarkStart w:id="55" w:name="_Toc225670757"/>
      <w:bookmarkStart w:id="56" w:name="_Toc283019219"/>
      <w:bookmarkStart w:id="57" w:name="_Toc286993793"/>
      <w:bookmarkStart w:id="58" w:name="_Toc247334847"/>
      <w:bookmarkStart w:id="59" w:name="_Toc225654650"/>
      <w:bookmarkStart w:id="60" w:name="_Toc251768868"/>
      <w:bookmarkStart w:id="61" w:name="_Toc241833909"/>
      <w:bookmarkStart w:id="62" w:name="_Toc212019600"/>
      <w:bookmarkStart w:id="63" w:name="_Toc237145412"/>
      <w:bookmarkStart w:id="64" w:name="_Toc28433"/>
      <w:r>
        <w:rPr>
          <w:rFonts w:hint="eastAsia" w:ascii="宋体" w:hAnsi="宋体" w:eastAsia="宋体" w:cs="宋体"/>
          <w:b/>
          <w:color w:val="auto"/>
          <w:szCs w:val="21"/>
          <w:highlight w:val="none"/>
        </w:rPr>
        <w:t>第十</w:t>
      </w:r>
      <w:r>
        <w:rPr>
          <w:rFonts w:hint="eastAsia" w:ascii="宋体" w:hAnsi="宋体" w:eastAsia="宋体" w:cs="宋体"/>
          <w:b/>
          <w:color w:val="auto"/>
          <w:szCs w:val="21"/>
          <w:highlight w:val="none"/>
          <w:lang w:val="en-US" w:eastAsia="zh-CN"/>
        </w:rPr>
        <w:t>三</w:t>
      </w:r>
      <w:r>
        <w:rPr>
          <w:rFonts w:hint="eastAsia" w:ascii="宋体" w:hAnsi="宋体" w:eastAsia="宋体" w:cs="宋体"/>
          <w:b/>
          <w:color w:val="auto"/>
          <w:szCs w:val="21"/>
          <w:highlight w:val="none"/>
        </w:rPr>
        <w:t>条  合同</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Pr>
          <w:rFonts w:hint="eastAsia" w:ascii="宋体" w:hAnsi="宋体" w:eastAsia="宋体" w:cs="宋体"/>
          <w:b/>
          <w:color w:val="auto"/>
          <w:szCs w:val="21"/>
          <w:highlight w:val="none"/>
        </w:rPr>
        <w:t>生效及其他</w:t>
      </w:r>
      <w:bookmarkEnd w:id="64"/>
    </w:p>
    <w:p w14:paraId="27792C22">
      <w:pPr>
        <w:keepNext w:val="0"/>
        <w:keepLines w:val="0"/>
        <w:pageBreakBefore w:val="0"/>
        <w:widowControl w:val="0"/>
        <w:kinsoku/>
        <w:wordWrap/>
        <w:overflowPunct/>
        <w:topLinePunct w:val="0"/>
        <w:bidi w:val="0"/>
        <w:spacing w:line="360" w:lineRule="auto"/>
        <w:ind w:firstLine="420" w:firstLineChars="20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1.合同经双方法定代表人（单位负责人）或授权委托代理人签字并加盖单位公章并由采购代理机构盖章后生效。</w:t>
      </w:r>
    </w:p>
    <w:p w14:paraId="0746E0AD">
      <w:pPr>
        <w:keepNext w:val="0"/>
        <w:keepLines w:val="0"/>
        <w:pageBreakBefore w:val="0"/>
        <w:widowControl w:val="0"/>
        <w:kinsoku/>
        <w:wordWrap/>
        <w:overflowPunct/>
        <w:topLinePunct w:val="0"/>
        <w:bidi w:val="0"/>
        <w:spacing w:line="360" w:lineRule="auto"/>
        <w:ind w:firstLine="420" w:firstLineChars="20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2.合同执行中涉及采购资金和采购内容修改或补充的，须经政府采购监管部门审批，并签订书面补充协议报政府采购监督管理部门备案，方可作为主合同不可分割的一部分。</w:t>
      </w:r>
    </w:p>
    <w:p w14:paraId="6EAF166F">
      <w:pPr>
        <w:keepNext w:val="0"/>
        <w:keepLines w:val="0"/>
        <w:pageBreakBefore w:val="0"/>
        <w:widowControl w:val="0"/>
        <w:kinsoku/>
        <w:wordWrap/>
        <w:overflowPunct/>
        <w:topLinePunct w:val="0"/>
        <w:bidi w:val="0"/>
        <w:spacing w:line="360" w:lineRule="auto"/>
        <w:ind w:firstLine="420" w:firstLineChars="20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3.本合同一式</w:t>
      </w:r>
      <w:r>
        <w:rPr>
          <w:rFonts w:hint="eastAsia" w:ascii="宋体" w:hAnsi="宋体" w:eastAsia="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lang w:val="en-US" w:eastAsia="zh-CN" w:bidi="ar-SA"/>
        </w:rPr>
        <w:t>份，自双方签章之日起生效。甲方</w:t>
      </w:r>
      <w:r>
        <w:rPr>
          <w:rFonts w:hint="eastAsia" w:ascii="宋体" w:hAnsi="宋体" w:eastAsia="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lang w:val="en-US" w:eastAsia="zh-CN" w:bidi="ar-SA"/>
        </w:rPr>
        <w:t>份，乙方</w:t>
      </w:r>
      <w:r>
        <w:rPr>
          <w:rFonts w:hint="eastAsia" w:ascii="宋体" w:hAnsi="宋体" w:eastAsia="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lang w:val="en-US" w:eastAsia="zh-CN" w:bidi="ar-SA"/>
        </w:rPr>
        <w:t>份，政府采购代理机构</w:t>
      </w:r>
      <w:r>
        <w:rPr>
          <w:rFonts w:hint="eastAsia" w:ascii="宋体" w:hAnsi="宋体" w:eastAsia="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lang w:val="en-US" w:eastAsia="zh-CN" w:bidi="ar-SA"/>
        </w:rPr>
        <w:t>份。</w:t>
      </w:r>
    </w:p>
    <w:p w14:paraId="4779139D">
      <w:pPr>
        <w:keepNext w:val="0"/>
        <w:keepLines w:val="0"/>
        <w:pageBreakBefore w:val="0"/>
        <w:widowControl w:val="0"/>
        <w:kinsoku/>
        <w:wordWrap/>
        <w:overflowPunct/>
        <w:topLinePunct w:val="0"/>
        <w:autoSpaceDE/>
        <w:autoSpaceDN/>
        <w:bidi w:val="0"/>
        <w:adjustRightInd/>
        <w:snapToGrid/>
        <w:spacing w:line="240" w:lineRule="auto"/>
        <w:ind w:firstLine="1050" w:firstLineChars="5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甲方：   （盖章）   </w:t>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 xml:space="preserve">   乙方：   （盖章）</w:t>
      </w:r>
    </w:p>
    <w:p w14:paraId="4C4F7CE5">
      <w:pPr>
        <w:keepNext w:val="0"/>
        <w:keepLines w:val="0"/>
        <w:pageBreakBefore w:val="0"/>
        <w:widowControl w:val="0"/>
        <w:kinsoku/>
        <w:wordWrap/>
        <w:overflowPunct/>
        <w:topLinePunct w:val="0"/>
        <w:autoSpaceDE/>
        <w:autoSpaceDN/>
        <w:bidi w:val="0"/>
        <w:adjustRightInd/>
        <w:snapToGrid/>
        <w:spacing w:line="240" w:lineRule="auto"/>
        <w:ind w:firstLine="1050" w:firstLineChars="5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法定代表人：（单位负责人）       </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法定代表人：（单位负责人）</w:t>
      </w:r>
    </w:p>
    <w:p w14:paraId="38A31CCB">
      <w:pPr>
        <w:keepNext w:val="0"/>
        <w:keepLines w:val="0"/>
        <w:pageBreakBefore w:val="0"/>
        <w:widowControl w:val="0"/>
        <w:kinsoku/>
        <w:wordWrap/>
        <w:overflowPunct/>
        <w:topLinePunct w:val="0"/>
        <w:autoSpaceDE/>
        <w:autoSpaceDN/>
        <w:bidi w:val="0"/>
        <w:adjustRightInd/>
        <w:snapToGrid/>
        <w:spacing w:line="240" w:lineRule="auto"/>
        <w:ind w:firstLine="1050" w:firstLineChars="5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地    址：                           </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地    址：</w:t>
      </w:r>
    </w:p>
    <w:p w14:paraId="74863167">
      <w:pPr>
        <w:keepNext w:val="0"/>
        <w:keepLines w:val="0"/>
        <w:pageBreakBefore w:val="0"/>
        <w:widowControl w:val="0"/>
        <w:kinsoku/>
        <w:wordWrap/>
        <w:overflowPunct/>
        <w:topLinePunct w:val="0"/>
        <w:autoSpaceDE/>
        <w:autoSpaceDN/>
        <w:bidi w:val="0"/>
        <w:adjustRightInd/>
        <w:snapToGrid/>
        <w:spacing w:line="240" w:lineRule="auto"/>
        <w:ind w:firstLine="1050" w:firstLineChars="5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开户银行：                         </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 xml:space="preserve">  开户银行：</w:t>
      </w:r>
    </w:p>
    <w:p w14:paraId="12E47F0B">
      <w:pPr>
        <w:keepNext w:val="0"/>
        <w:keepLines w:val="0"/>
        <w:pageBreakBefore w:val="0"/>
        <w:widowControl w:val="0"/>
        <w:kinsoku/>
        <w:wordWrap/>
        <w:overflowPunct/>
        <w:topLinePunct w:val="0"/>
        <w:autoSpaceDE/>
        <w:autoSpaceDN/>
        <w:bidi w:val="0"/>
        <w:adjustRightInd/>
        <w:snapToGrid/>
        <w:spacing w:line="240" w:lineRule="auto"/>
        <w:ind w:firstLine="1050" w:firstLineChars="5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账号：                                账号：</w:t>
      </w:r>
    </w:p>
    <w:p w14:paraId="0F6A7225">
      <w:pPr>
        <w:keepNext w:val="0"/>
        <w:keepLines w:val="0"/>
        <w:pageBreakBefore w:val="0"/>
        <w:widowControl w:val="0"/>
        <w:kinsoku/>
        <w:wordWrap/>
        <w:overflowPunct/>
        <w:topLinePunct w:val="0"/>
        <w:autoSpaceDE/>
        <w:autoSpaceDN/>
        <w:bidi w:val="0"/>
        <w:adjustRightInd/>
        <w:snapToGrid/>
        <w:spacing w:line="240" w:lineRule="auto"/>
        <w:ind w:firstLine="1050" w:firstLineChars="5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电    话：                           </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电    话：</w:t>
      </w:r>
    </w:p>
    <w:p w14:paraId="290A2678">
      <w:pPr>
        <w:keepNext w:val="0"/>
        <w:keepLines w:val="0"/>
        <w:pageBreakBefore w:val="0"/>
        <w:widowControl w:val="0"/>
        <w:kinsoku/>
        <w:wordWrap/>
        <w:overflowPunct/>
        <w:topLinePunct w:val="0"/>
        <w:autoSpaceDE/>
        <w:autoSpaceDN/>
        <w:bidi w:val="0"/>
        <w:adjustRightInd/>
        <w:snapToGrid/>
        <w:spacing w:line="240" w:lineRule="auto"/>
        <w:ind w:firstLine="1050" w:firstLineChars="5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传    真：                           </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传    真：</w:t>
      </w:r>
    </w:p>
    <w:p w14:paraId="7A79F113">
      <w:pPr>
        <w:keepNext w:val="0"/>
        <w:keepLines w:val="0"/>
        <w:pageBreakBefore w:val="0"/>
        <w:widowControl w:val="0"/>
        <w:kinsoku/>
        <w:wordWrap/>
        <w:overflowPunct/>
        <w:topLinePunct w:val="0"/>
        <w:autoSpaceDE/>
        <w:autoSpaceDN/>
        <w:bidi w:val="0"/>
        <w:adjustRightInd/>
        <w:snapToGrid/>
        <w:spacing w:line="240" w:lineRule="auto"/>
        <w:ind w:firstLine="1050" w:firstLineChars="500"/>
        <w:textAlignment w:val="auto"/>
        <w:rPr>
          <w:rFonts w:hint="eastAsia" w:ascii="宋体" w:hAnsi="宋体" w:eastAsia="宋体" w:cs="宋体"/>
          <w:lang w:val="en-US" w:eastAsia="zh-Hans"/>
        </w:rPr>
      </w:pPr>
      <w:r>
        <w:rPr>
          <w:rFonts w:hint="eastAsia" w:ascii="宋体" w:hAnsi="宋体" w:eastAsia="宋体" w:cs="宋体"/>
          <w:color w:val="auto"/>
          <w:szCs w:val="21"/>
          <w:highlight w:val="none"/>
        </w:rPr>
        <w:t xml:space="preserve">签约日期：  年  月  日 </w:t>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签约日期：  年  月  日</w:t>
      </w:r>
    </w:p>
    <w:p w14:paraId="11545445">
      <w:pPr>
        <w:rPr>
          <w:rFonts w:hint="eastAsia" w:ascii="Calibri" w:hAnsi="Calibri" w:eastAsia="宋体" w:cs="Times New Roman"/>
          <w:lang w:val="en-US" w:eastAsia="zh-Hans"/>
        </w:rPr>
      </w:pPr>
    </w:p>
    <w:p w14:paraId="2FAC8DD1">
      <w:bookmarkStart w:id="65" w:name="_GoBack"/>
      <w:bookmarkEnd w:id="65"/>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327EE4"/>
    <w:rsid w:val="52327E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2026-08-03T08:30:00Z</dcterms:created>
  <dc:creator>Baby</dc:creator>
  <cp:lastModifiedBy>Baby</cp:lastModifiedBy>
  <dcterms:modified xsi:type="dcterms:W3CDTF">2026-08-03T08:30:21Z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554A9C0D29524A4C9A2C13BEA0EB96F2_11</vt:lpwstr>
  </property>
  <property fmtid="{D5CDD505-2E9C-101B-9397-08002B2CF9AE}" pid="4" name="KSOTemplateDocerSaveRecord">
    <vt:lpwstr>eyJoZGlkIjoiN2FjZmJhZjIxYzdhNWFlMzk0ODYxNTVhMDJhZTQxYTQiLCJ1c2VySWQiOiIxMTM5Nzk1NjYwIn0=</vt:lpwstr>
  </property>
</Properties>
</file>