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版本号：KY2026-1-71020260719001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智能建造缪子成像检测系统采购项目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KY2026-1-710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智能建造缪子成像检测系统采购项目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智能建造缪子成像检测系统采购项目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采购包1（智能建造缪子成像检测系统）：属于专门面向中小企业采购。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联系人：汪涛、刘金柯</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智能建造缪子成像检测系统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标的名称：智能建造缪子成像检测系统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90"/>
              <w:gridCol w:w="1263"/>
              <w:gridCol w:w="500"/>
              <w:gridCol w:w="500"/>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产品名称</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数量</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单位</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仿宋_GB2312" w:hAnsi="仿宋_GB2312" w:cs="仿宋_GB2312" w:eastAsia="仿宋_GB2312"/>
                      <w:sz w:val="21"/>
                      <w:color w:val="000000"/>
                    </w:rPr>
                    <w:t>缪子探测模块</w:t>
                  </w:r>
                </w:p>
                <w:p>
                  <w:pPr>
                    <w:pStyle w:val="null3"/>
                    <w:spacing w:after="120"/>
                    <w:jc w:val="center"/>
                  </w:pPr>
                  <w:r>
                    <w:rPr>
                      <w:rFonts w:ascii="仿宋_GB2312" w:hAnsi="仿宋_GB2312" w:cs="仿宋_GB2312" w:eastAsia="仿宋_GB2312"/>
                      <w:sz w:val="21"/>
                      <w:b/>
                      <w:color w:val="000000"/>
                    </w:rPr>
                    <w:t>【核心产品】</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rFonts w:ascii="仿宋_GB2312" w:hAnsi="仿宋_GB2312" w:cs="仿宋_GB2312" w:eastAsia="仿宋_GB2312"/>
                      <w:sz w:val="21"/>
                      <w:color w:val="000000"/>
                    </w:rPr>
                    <w:t>成像模块</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bl>
          <w:p>
            <w:pPr>
              <w:pStyle w:val="null3"/>
              <w:jc w:val="left"/>
            </w:pPr>
            <w:r>
              <w:rPr>
                <w:rFonts w:ascii="仿宋_GB2312" w:hAnsi="仿宋_GB2312" w:cs="仿宋_GB2312" w:eastAsia="仿宋_GB2312"/>
                <w:sz w:val="24"/>
                <w:b/>
                <w:color w:val="000000"/>
              </w:rPr>
              <w:t>二、技术标准、配置要求</w:t>
            </w:r>
          </w:p>
          <w:tbl>
            <w:tblPr>
              <w:tblBorders>
                <w:top w:val="none" w:color="000000" w:sz="4"/>
                <w:left w:val="none" w:color="000000" w:sz="4"/>
                <w:bottom w:val="none" w:color="000000" w:sz="4"/>
                <w:right w:val="none" w:color="000000" w:sz="4"/>
                <w:insideH w:val="none"/>
                <w:insideV w:val="none"/>
              </w:tblBorders>
            </w:tblPr>
            <w:tblGrid>
              <w:gridCol w:w="132"/>
              <w:gridCol w:w="242"/>
              <w:gridCol w:w="1336"/>
              <w:gridCol w:w="634"/>
              <w:gridCol w:w="207"/>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3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技术标准</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配置要求</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数量</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缪子探测模块</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b/>
                    </w:rPr>
                    <w:t>核心产品</w:t>
                  </w:r>
                  <w:r>
                    <w:rPr>
                      <w:rFonts w:ascii="仿宋_GB2312" w:hAnsi="仿宋_GB2312" w:cs="仿宋_GB2312" w:eastAsia="仿宋_GB2312"/>
                      <w:sz w:val="21"/>
                    </w:rPr>
                    <w:t>】</w:t>
                  </w:r>
                </w:p>
              </w:tc>
              <w:tc>
                <w:tcPr>
                  <w:tcW w:type="dxa" w:w="1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缪子探测模块1套：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）探测器功率：≤30W，缪子入射位置分辨率≤2.5mm;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）单层探测器缪子探测效率:≥98%，探测张角至少120度锥体;</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）缪子通量:≥1缪子/cm2/mi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整套模块探测效率：50%~90%，探测器类型采用闪烁体或气体探测器。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位置分辨率：0.1~10mm；</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角度分辨率：1~10mrad，能够据此确定缪子入射方向的精度，进而提升三维重建能力</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能量阈值：1~10GeV，探测高于此能量的缪子，过滤低能背景噪声。</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软件功能：可视化数据分析平台，可根据不同三维模型配置不同参数，能够处理探测器采集数据，根据断层扫描算法，可识别误差不超过样品尺度5%的空洞，能够区分不同密度差的物质应用，反演样品三维内部结构，支持数据结果导出；</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工作条件：温度-20℃~60℃， 湿度40% 到 85% RH</w:t>
                  </w:r>
                </w:p>
                <w:p>
                  <w:pPr>
                    <w:pStyle w:val="null3"/>
                    <w:jc w:val="both"/>
                  </w:pPr>
                  <w:r>
                    <w:rPr>
                      <w:rFonts w:ascii="仿宋_GB2312" w:hAnsi="仿宋_GB2312" w:cs="仿宋_GB2312" w:eastAsia="仿宋_GB2312"/>
                      <w:sz w:val="21"/>
                    </w:rPr>
                    <w:t xml:space="preserve">10) </w:t>
                  </w:r>
                  <w:r>
                    <w:rPr>
                      <w:rFonts w:ascii="仿宋_GB2312" w:hAnsi="仿宋_GB2312" w:cs="仿宋_GB2312" w:eastAsia="仿宋_GB2312"/>
                      <w:sz w:val="21"/>
                    </w:rPr>
                    <w:t>电源要求：AC 220V；</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主要配置：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缪子硬件探测器1套（包括探测器主体4层、探测器支架、可调节支架、积分球、夹具、继电器切换器、线缆配件等）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缪子数据采集软件1套和量子效率分析软件1套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缪子数据分析和可视化平台1套（提供软件永久授权文件、安装介质及中文操作手册及运行环境依赖、所需第三方库列表）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技术服务与配套要求（包括安装调试、培训、质保、验收、包装运输）</w:t>
                  </w:r>
                </w:p>
                <w:p>
                  <w:pPr>
                    <w:pStyle w:val="null3"/>
                    <w:jc w:val="both"/>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成像模块</w:t>
                  </w:r>
                </w:p>
              </w:tc>
              <w:tc>
                <w:tcPr>
                  <w:tcW w:type="dxa" w:w="1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成像模块1套：</w:t>
                  </w:r>
                </w:p>
                <w:p>
                  <w:pPr>
                    <w:pStyle w:val="null3"/>
                    <w:jc w:val="both"/>
                  </w:pPr>
                  <w:r>
                    <w:rPr>
                      <w:rFonts w:ascii="仿宋_GB2312" w:hAnsi="仿宋_GB2312" w:cs="仿宋_GB2312" w:eastAsia="仿宋_GB2312"/>
                      <w:sz w:val="21"/>
                    </w:rPr>
                    <w:t>①重建算法精度：依赖断层扫描算法，误差&lt;5%；</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1"/>
                    </w:rPr>
                    <w:t>②目标物质密度分辨率：可区分密度差≥10%的物质；</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1"/>
                    </w:rPr>
                    <w:t>③需支持亮度、色坐标、量子效率、主波长、辐射通量、量子效率随电流密度的曲线等参数的精准测量，测量数据可实时显示、存储及导出。</w:t>
                  </w:r>
                </w:p>
                <w:p>
                  <w:pPr>
                    <w:pStyle w:val="null3"/>
                    <w:jc w:val="both"/>
                  </w:pPr>
                  <w:r>
                    <w:rPr>
                      <w:rFonts w:ascii="仿宋_GB2312" w:hAnsi="仿宋_GB2312" w:cs="仿宋_GB2312" w:eastAsia="仿宋_GB2312"/>
                      <w:sz w:val="21"/>
                    </w:rPr>
                    <w:t>配置积分球：≥3.3英寸，主体材质为PTFE，内部涂层反射率需满足：250-400nm波段最小反射率≥98%，400-1000nm波段最小反射率≥99%，确保光线均匀性，样品口直径：≥1.5英寸；</w:t>
                  </w:r>
                </w:p>
                <w:p>
                  <w:pPr>
                    <w:pStyle w:val="null3"/>
                    <w:jc w:val="both"/>
                  </w:pPr>
                  <w:r>
                    <w:rPr>
                      <w:rFonts w:ascii="仿宋_GB2312" w:hAnsi="仿宋_GB2312" w:cs="仿宋_GB2312" w:eastAsia="仿宋_GB2312"/>
                      <w:sz w:val="21"/>
                    </w:rPr>
                    <w:t>支持多台连用，具备光谱缓冲功能，确保高数据采集速率下的数据完整性，积分时间可在8ms-60min范围内调节，配备SMA 905输入光纤接口；</w:t>
                  </w:r>
                </w:p>
                <w:p>
                  <w:pPr>
                    <w:pStyle w:val="null3"/>
                    <w:jc w:val="both"/>
                  </w:pPr>
                  <w:r>
                    <w:rPr>
                      <w:rFonts w:ascii="仿宋_GB2312" w:hAnsi="仿宋_GB2312" w:cs="仿宋_GB2312" w:eastAsia="仿宋_GB2312"/>
                      <w:sz w:val="21"/>
                    </w:rPr>
                    <w:t>电学数据测量范围：电压测量范围100nv-1100v，电流测量范围1pa-5a，支持线性阶跃、对数阶跃及自定义扫描模式。具备4象限、高准确度的电压、电流施加/负载与测量功能；</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w:t>
                  </w:r>
                </w:p>
              </w:tc>
            </w:tr>
          </w:tbl>
          <w:p>
            <w:pPr>
              <w:pStyle w:val="null3"/>
            </w:pPr>
            <w:r>
              <w:rPr>
                <w:rFonts w:ascii="仿宋_GB2312" w:hAnsi="仿宋_GB2312" w:cs="仿宋_GB2312" w:eastAsia="仿宋_GB2312"/>
                <w:sz w:val="24"/>
                <w:b/>
                <w:color w:val="000000"/>
              </w:rPr>
              <w:t>备注：所有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交货期：合同签订之日起120日历日内完成交付、安装及调试。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西安建筑科技大学雁塔校区逸夫楼309室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1 年。 2、售后服务响应时间（质保期内）：即时响应（包括电话响应）；电话响应无法解决 36 小时内到达现场。修复时间 6 小时内解决；如在 6 小时内无法修复，则提供部件冗余服务或采取应急措施，提供相同产品或不低于故障产品规格档次的备用产品供采购人使用，以确保货物的正常使用。 3、培训内容及要求： 设备的工作原理、操作步骤、正常维护和应用等，使培训人员能够正确、熟练操作及掌握仪器简易的故障判别 及排除、维修。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6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③社会保障资金缴存证明：提供2025年6月至今已缴存的至少一个月的社会保障资金缴存单据或社保机构开具的社会保险参保缴费情况证明，依法不需要缴纳社会保障资金的单位应提供相关证明材料。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附件：保证金交纳凭证保函.docx 供应商承诺书.docx 技术指标偏差表.docx 商务条款响应说明.docx 响应文件封面 分项报价表.docx 附件：节能产品政府采购品目清单.docx 残疾人福利性单位声明函 关于符合本国产品标准的声明函 标的清单 响应报价表.docx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详见附件：附件：保证金交纳凭证保函.docx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