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版本号：政采-大荔县-2026-0013520260703001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省十八运道路标线更新施划项目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政采-大荔县-2026-00135</w:t>
      </w:r>
      <w:r>
        <w:br/>
      </w:r>
      <w:r>
        <w:br/>
      </w:r>
      <w:r>
        <w:br/>
      </w:r>
    </w:p>
    <w:p>
      <w:pPr>
        <w:pStyle w:val="null3"/>
        <w:jc w:val="center"/>
        <w:outlineLvl w:val="2"/>
      </w:pPr>
      <w:r>
        <w:rPr>
          <w:rFonts w:ascii="仿宋_GB2312" w:hAnsi="仿宋_GB2312" w:cs="仿宋_GB2312" w:eastAsia="仿宋_GB2312"/>
          <w:sz w:val="28"/>
          <w:b/>
        </w:rPr>
        <w:t>大荔县公安局交通管理大队</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大荔县公安局交通管理大队</w:t>
      </w:r>
      <w:r>
        <w:rPr>
          <w:rFonts w:ascii="仿宋_GB2312" w:hAnsi="仿宋_GB2312" w:cs="仿宋_GB2312" w:eastAsia="仿宋_GB2312"/>
        </w:rPr>
        <w:t>委托，拟对</w:t>
      </w:r>
      <w:r>
        <w:rPr>
          <w:rFonts w:ascii="仿宋_GB2312" w:hAnsi="仿宋_GB2312" w:cs="仿宋_GB2312" w:eastAsia="仿宋_GB2312"/>
        </w:rPr>
        <w:t>省十八运道路标线更新施划项目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政采-大荔县-2026-00135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省十八运道路标线更新施划项目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对赛事辖区和重点路段交通标线进行更新，确保省十八届运动会期间交通秩序畅通，减少交通事故发生。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采购包1（省十八运道路标线更新施划）：属于专门面向中小企业采购。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1、法定代表人授权书/法定代表人身份证明书：法定代表人直接参与磋商需提供法定代表人身份证明书；被授权人参与磋商需提供法定代表人授权委托书；</w:t>
      </w:r>
    </w:p>
    <w:p>
      <w:pPr>
        <w:pStyle w:val="null3"/>
      </w:pPr>
      <w:r>
        <w:rPr>
          <w:rFonts w:ascii="仿宋_GB2312" w:hAnsi="仿宋_GB2312" w:cs="仿宋_GB2312" w:eastAsia="仿宋_GB2312"/>
        </w:rPr>
        <w:t>2、供应商资质：供应商须具备建设行政主管部门颁发的市政公用工程施工总承包三级及以上资质；具备合法有效的安全生产许可证；</w:t>
      </w:r>
    </w:p>
    <w:p>
      <w:pPr>
        <w:pStyle w:val="null3"/>
      </w:pPr>
      <w:r>
        <w:rPr>
          <w:rFonts w:ascii="仿宋_GB2312" w:hAnsi="仿宋_GB2312" w:cs="仿宋_GB2312" w:eastAsia="仿宋_GB2312"/>
        </w:rPr>
        <w:t>3、项目经理：拟派项目经理须具备市政公用工程二级及以上注册建造师执业资格和有效的安全生产考核合格证书,且无在建项目；</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5、无控股、管理关系：单位负责人为同一人或者存在直接控股、管理关系的不同供应商不得参加同一合同项下的政府采购活动；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大荔县公安局交通管理大队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孙嘉葳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0913-3266658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采购包1：1,183,100.00元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大荔县公安局交通管理大队</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大荔县公安局交通管理大队</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大荔县公安局交通管理大队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(2)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（一）验收程序： （1）施工单位完成合同约定的全部内容后，自行组织验收，并编制工程竣工报告；（2）甲方初审后具备竣工验收条件的，采购人负责组织履约验收，邀请相关部门参加验收，并确定验收结果；（3）审阅相关单位的工程档案资料；（4）实地查验工程质量；（5）对工程各管理环节等方面作出全面评价，形成经验收组人员签署的工程竣工验收意见。 （二）验收内容：包含磋商文件、工程量清单所含全部内容。 （三）验收标准：本工程应按工程量清单及磋商文件全部内容完成；本工程验收标准应符合国家相关工程管理规定及行业标准；依据磋商文件及成交人响应文件等文件内容进行验收。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1,183,100.00</w:t>
      </w:r>
    </w:p>
    <w:p>
      <w:pPr>
        <w:pStyle w:val="null3"/>
      </w:pPr>
      <w:r>
        <w:rPr>
          <w:rFonts w:ascii="仿宋_GB2312" w:hAnsi="仿宋_GB2312" w:cs="仿宋_GB2312" w:eastAsia="仿宋_GB2312"/>
        </w:rPr>
        <w:t>采购包最高限价（元）: 1,183,100.00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省十八运道路标线更新施划项目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1,183,100.00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标的名称：省十八运道路标线更新施划项目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具体详见工程量清单所含全部内容。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执行国家相关标准、行业标准、或者其他标准、规范等。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（1）工期：合同签订后20日历天内完成；（2）工程地点：大荔县；（3）质量标准：合格；（4）质保期：自竣工验收合格之日起一年；（5）付款方式：项目实施完成并验收合格后一次性付清。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告发布后3个工作日内提供叁套纸质响应文件（经编标工具生成的文件直接打印并加盖公章），递交的纸质版文件内容确保与线上电子文件保持一致，不允许修改和补充；提交最终版《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合法有效，具有独立承担民事责任能力的企业法人、其他组织或者自然人；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税收缴纳证明：提供响应文件递交截止时间前一年内任意一个月的缴费凭据；依法免税的应提供相关文件证明；社会保障资金缴纳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法定代表人直接参与磋商需提供法定代表人身份证明书；被授权人参与磋商需提供法定代表人授权委托书；</w:t>
            </w:r>
          </w:p>
        </w:tc>
        <w:tc>
          <w:tcPr>
            <w:tcW w:type="dxa" w:w="1661"/>
          </w:tcPr>
          <w:p>
            <w:pPr>
              <w:pStyle w:val="null3"/>
            </w:pPr>
            <w:r>
              <w:rPr>
                <w:rFonts w:ascii="仿宋_GB2312" w:hAnsi="仿宋_GB2312" w:cs="仿宋_GB2312" w:eastAsia="仿宋_GB2312"/>
              </w:rPr>
              <w:t>法定代表人证明书或法定代表人授权书.docx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供应商须具备建设行政主管部门颁发的市政公用工程施工总承包三级及以上资质；具备合法有效的安全生产许可证；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拟派项目经理须具备市政公用工程二级及以上注册建造师执业资格和有效的安全生产考核合格证书,且无在建项目；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供应商名称与营业执照、资质证书等一致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法定代表人证明书或法定代表人授权书.docx 已标价工程量清单 中小企业声明函 技术服务合同条款及其他商务要求应答表 供应商应提交的相关资格证明材料 项目实施方案.docx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竞争性磋商文件规定的其他情形</w:t>
            </w:r>
          </w:p>
        </w:tc>
        <w:tc>
          <w:tcPr>
            <w:tcW w:type="dxa" w:w="1661"/>
          </w:tcPr>
          <w:p>
            <w:pPr>
              <w:pStyle w:val="null3"/>
            </w:pPr>
            <w:r>
              <w:rPr>
                <w:rFonts w:ascii="仿宋_GB2312" w:hAnsi="仿宋_GB2312" w:cs="仿宋_GB2312" w:eastAsia="仿宋_GB2312"/>
              </w:rPr>
              <w:t>法定代表人证明书或法定代表人授权书.docx 已标价工程量清单 中小企业声明函 技术服务合同条款及其他商务要求应答表 供应商应提交的相关资格证明材料 项目实施方案.docx 响应文件封面 政府采购供应商拒绝政府采购领域商业贿赂承诺书.docx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根据供应商提供的施工方案进行评审，评审内容包含但不限于： ①施工准备； ②施工方法及相关技术措施； ③重点难点工程分析及解决措施。 以上内容无缺项，专门针对本项目编制，符合本项目实际情况，内容全面详细，且条理清晰、准确、措施合理化能够保障项目顺利实施的得15分。每小项缺项或者内容非针对于本项目的扣5分，每小项有一处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施工质量及施工进度保证措施</w:t>
            </w:r>
          </w:p>
        </w:tc>
        <w:tc>
          <w:tcPr>
            <w:tcW w:type="dxa" w:w="2492"/>
          </w:tcPr>
          <w:p>
            <w:pPr>
              <w:pStyle w:val="null3"/>
            </w:pPr>
            <w:r>
              <w:rPr>
                <w:rFonts w:ascii="仿宋_GB2312" w:hAnsi="仿宋_GB2312" w:cs="仿宋_GB2312" w:eastAsia="仿宋_GB2312"/>
              </w:rPr>
              <w:t>根据供应商提供的施工质量及施工进度保证措施进行评审，评审内容包括但不限于： ①质量目标管理体系及质量的检验制度； ②施工质量进度及技术保证措施。 以上内容无缺项，专门针对本项目编制，符合本项目实际情况，内容描述全面详细，且条理清晰、准确、措施合理化能够保障项目顺利实施的得10分。每小项缺项或者内容非针对于本项目的扣5分，每小项有一处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安全、文明施工措施及环境保护措施</w:t>
            </w:r>
          </w:p>
        </w:tc>
        <w:tc>
          <w:tcPr>
            <w:tcW w:type="dxa" w:w="2492"/>
          </w:tcPr>
          <w:p>
            <w:pPr>
              <w:pStyle w:val="null3"/>
            </w:pPr>
            <w:r>
              <w:rPr>
                <w:rFonts w:ascii="仿宋_GB2312" w:hAnsi="仿宋_GB2312" w:cs="仿宋_GB2312" w:eastAsia="仿宋_GB2312"/>
              </w:rPr>
              <w:t>根据供应商提供的安全、文明施工措施及环境保证措施进行评审，评审内容包括但不限于： ①安全文明施工目标、安全生产管理体系、安全标识及施工现场的临时管理措施、文明施工保证措施； ②环境保护管理体系及环保控制措施。 以上内容无缺项，专门针对本项目编制，符合本项目实际情况，内容全面详细，且条理清晰、准确、措施合理化能够保障项目顺利实施的得8分。每小项缺项或者内容非针对于本项目的扣4分，每小项有一处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劳动力安排及施工机械配备投入计划</w:t>
            </w:r>
          </w:p>
        </w:tc>
        <w:tc>
          <w:tcPr>
            <w:tcW w:type="dxa" w:w="2492"/>
          </w:tcPr>
          <w:p>
            <w:pPr>
              <w:pStyle w:val="null3"/>
            </w:pPr>
            <w:r>
              <w:rPr>
                <w:rFonts w:ascii="仿宋_GB2312" w:hAnsi="仿宋_GB2312" w:cs="仿宋_GB2312" w:eastAsia="仿宋_GB2312"/>
              </w:rPr>
              <w:t>根据供应商提供的劳动力安排及施工机械配备投入计划进行评审，评审内容包含但不限于： ①劳动力投入计划、及劳务分包情况及劳动力保证措施； ②投入的机械设备投入计划。 以上内容无缺项，专门针对本项目编制，符合本项目实际情况，内容全面详细，且条理清晰、准确、措施合理化能够保障项目顺利实施的得10分。每小项缺项或者内容非针对于本项目的扣5分，每小项有一处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采用新技术、新工艺对提高工程质量、缩短工期、降低造价的可行性</w:t>
            </w:r>
          </w:p>
        </w:tc>
        <w:tc>
          <w:tcPr>
            <w:tcW w:type="dxa" w:w="2492"/>
          </w:tcPr>
          <w:p>
            <w:pPr>
              <w:pStyle w:val="null3"/>
            </w:pPr>
            <w:r>
              <w:rPr>
                <w:rFonts w:ascii="仿宋_GB2312" w:hAnsi="仿宋_GB2312" w:cs="仿宋_GB2312" w:eastAsia="仿宋_GB2312"/>
              </w:rPr>
              <w:t>根据供应商提供的技术、新工艺对提高工程质量、缩短工期、降低造价的可行性进行评审，评审内容包含但不限于： ①新技术、新工艺对提高工程质量的可行性； ②新技术、新工艺对缩短工期、降低造价的可行性。 以上内容无缺项，专门针对本项目编制，符合本项目实际情况，内容全面详细，且条理清晰、准确、措施合理化能够保障项目顺利实施的得10分。每小项缺项或者内容非针对于本项目的扣5分，每小项有一处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后续质保服务</w:t>
            </w:r>
          </w:p>
        </w:tc>
        <w:tc>
          <w:tcPr>
            <w:tcW w:type="dxa" w:w="2492"/>
          </w:tcPr>
          <w:p>
            <w:pPr>
              <w:pStyle w:val="null3"/>
            </w:pPr>
            <w:r>
              <w:rPr>
                <w:rFonts w:ascii="仿宋_GB2312" w:hAnsi="仿宋_GB2312" w:cs="仿宋_GB2312" w:eastAsia="仿宋_GB2312"/>
              </w:rPr>
              <w:t>根据供应商提供的后续服务承诺进行评审，评审内容包含但不限于： ①针对本项目实际需求提供实质性服务承诺及保障措施； ②针对本项目的施工验收后期的质保承诺。 以上内容无缺项，专门针对本项目编制，符合本项目实际情况，内容全面详细，且条理清晰、准确、措施合理化能够保障项目顺利实施的得8分。每小项缺项或者内容非针对于本项目的扣4分，每小项有一处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配备技术负责人、施工员、质量员（质检员）、安全员、资料员、材料员、造价师等7人以上（含7人）得7分，每少1人扣1分，扣完为止，本项最高得7分； 注：须提供人员相关证件不提供或完全背离评审标准得0分。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供应商具有近三年内（2023年6月至今）的类似项目业绩，每提供一个业绩得1分，本项最高得2分。 注：合同复印件加盖供应商公章，以合同时间签订为准。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各供应商的在多次报价中应逐次降价，二次报价超过首次报价的，为无效报价，取消其磋商资格。3.满足磋商文件实质性要求且最终报价最低的供应商的价格为磋商基准价，其价格分为满分30分。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