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E3EB5">
      <w:pPr>
        <w:adjustRightInd w:val="0"/>
        <w:snapToGrid w:val="0"/>
        <w:spacing w:line="360" w:lineRule="auto"/>
        <w:jc w:val="right"/>
        <w:rPr>
          <w:rFonts w:ascii="宋体" w:cs="Times New Roman"/>
          <w:b/>
          <w:bCs/>
          <w:color w:val="auto"/>
          <w:sz w:val="30"/>
          <w:szCs w:val="30"/>
        </w:rPr>
      </w:pPr>
      <w:bookmarkStart w:id="0" w:name="OLE_LINK9"/>
      <w:bookmarkStart w:id="186" w:name="_GoBack"/>
      <w:bookmarkEnd w:id="186"/>
      <w:r>
        <w:rPr>
          <w:rFonts w:hint="eastAsia" w:ascii="宋体" w:hAnsi="宋体" w:cs="宋体"/>
          <w:b/>
          <w:bCs/>
          <w:color w:val="auto"/>
          <w:sz w:val="30"/>
          <w:szCs w:val="30"/>
        </w:rPr>
        <w:t>政府采购项目</w:t>
      </w:r>
    </w:p>
    <w:p w14:paraId="7AA47C3C">
      <w:pPr>
        <w:tabs>
          <w:tab w:val="left" w:pos="7400"/>
        </w:tabs>
        <w:adjustRightInd w:val="0"/>
        <w:snapToGrid w:val="0"/>
        <w:spacing w:line="360" w:lineRule="auto"/>
        <w:rPr>
          <w:rFonts w:ascii="宋体" w:cs="Times New Roman"/>
          <w:b/>
          <w:bCs/>
          <w:color w:val="auto"/>
          <w:sz w:val="44"/>
          <w:szCs w:val="44"/>
        </w:rPr>
      </w:pPr>
      <w:r>
        <w:rPr>
          <w:rFonts w:hint="eastAsia" w:ascii="宋体" w:hAnsi="宋体" w:cs="宋体"/>
          <w:b/>
          <w:bCs/>
          <w:color w:val="auto"/>
          <w:sz w:val="30"/>
          <w:szCs w:val="30"/>
        </w:rPr>
        <w:t>项目编号：</w:t>
      </w:r>
      <w:r>
        <w:rPr>
          <w:rFonts w:hint="eastAsia" w:ascii="宋体" w:hAnsi="宋体" w:cs="宋体"/>
          <w:b/>
          <w:bCs/>
          <w:color w:val="auto"/>
          <w:sz w:val="30"/>
          <w:szCs w:val="30"/>
          <w:lang w:eastAsia="zh-CN"/>
        </w:rPr>
        <w:t>AKSH2026-ZCS-104</w:t>
      </w:r>
      <w:r>
        <w:rPr>
          <w:rFonts w:hint="eastAsia" w:ascii="宋体" w:cs="Times New Roman"/>
          <w:b/>
          <w:bCs/>
          <w:color w:val="auto"/>
          <w:sz w:val="44"/>
          <w:szCs w:val="44"/>
        </w:rPr>
        <w:tab/>
      </w:r>
    </w:p>
    <w:p w14:paraId="2168F266">
      <w:pPr>
        <w:tabs>
          <w:tab w:val="left" w:pos="7400"/>
        </w:tabs>
        <w:adjustRightInd w:val="0"/>
        <w:snapToGrid w:val="0"/>
        <w:spacing w:line="360" w:lineRule="auto"/>
        <w:rPr>
          <w:rFonts w:ascii="宋体" w:cs="Times New Roman"/>
          <w:b/>
          <w:bCs/>
          <w:color w:val="auto"/>
          <w:sz w:val="36"/>
          <w:szCs w:val="36"/>
        </w:rPr>
      </w:pPr>
    </w:p>
    <w:p w14:paraId="40B87206">
      <w:pPr>
        <w:pStyle w:val="13"/>
        <w:rPr>
          <w:color w:val="auto"/>
        </w:rPr>
      </w:pPr>
    </w:p>
    <w:p w14:paraId="084C3C6D">
      <w:pPr>
        <w:jc w:val="center"/>
        <w:rPr>
          <w:rFonts w:hint="eastAsia" w:ascii="宋体" w:hAnsi="宋体"/>
          <w:b/>
          <w:color w:val="auto"/>
          <w:sz w:val="48"/>
          <w:szCs w:val="48"/>
          <w:lang w:eastAsia="zh-CN"/>
        </w:rPr>
      </w:pPr>
      <w:r>
        <w:rPr>
          <w:rFonts w:hint="eastAsia" w:ascii="宋体" w:hAnsi="宋体"/>
          <w:b/>
          <w:color w:val="auto"/>
          <w:sz w:val="48"/>
          <w:szCs w:val="48"/>
          <w:lang w:eastAsia="zh-CN"/>
        </w:rPr>
        <w:t>安康市中医医院电力系统安全管理维保</w:t>
      </w:r>
    </w:p>
    <w:p w14:paraId="6365930A">
      <w:pPr>
        <w:jc w:val="center"/>
        <w:rPr>
          <w:rFonts w:hint="eastAsia" w:ascii="宋体" w:hAnsi="宋体" w:eastAsia="宋体"/>
          <w:b/>
          <w:color w:val="auto"/>
          <w:sz w:val="48"/>
          <w:szCs w:val="48"/>
          <w:lang w:eastAsia="zh-CN"/>
        </w:rPr>
      </w:pPr>
      <w:r>
        <w:rPr>
          <w:rFonts w:hint="eastAsia" w:ascii="宋体" w:hAnsi="宋体"/>
          <w:b/>
          <w:color w:val="auto"/>
          <w:sz w:val="48"/>
          <w:szCs w:val="48"/>
          <w:lang w:eastAsia="zh-CN"/>
        </w:rPr>
        <w:t>服务项目</w:t>
      </w:r>
    </w:p>
    <w:p w14:paraId="0DC37FDC">
      <w:pPr>
        <w:pStyle w:val="23"/>
        <w:rPr>
          <w:color w:val="auto"/>
        </w:rPr>
      </w:pPr>
    </w:p>
    <w:p w14:paraId="27EFD0F9">
      <w:pPr>
        <w:pStyle w:val="23"/>
        <w:rPr>
          <w:color w:val="auto"/>
        </w:rPr>
      </w:pPr>
    </w:p>
    <w:p w14:paraId="2B511665">
      <w:pPr>
        <w:pStyle w:val="23"/>
        <w:rPr>
          <w:color w:val="auto"/>
        </w:rPr>
      </w:pPr>
    </w:p>
    <w:p w14:paraId="2BEAF035">
      <w:pPr>
        <w:pStyle w:val="23"/>
        <w:rPr>
          <w:color w:val="auto"/>
        </w:rPr>
      </w:pPr>
    </w:p>
    <w:p w14:paraId="73EC5A2C">
      <w:pPr>
        <w:pStyle w:val="23"/>
        <w:rPr>
          <w:color w:val="auto"/>
        </w:rPr>
      </w:pPr>
    </w:p>
    <w:p w14:paraId="2EBB8FF0">
      <w:pPr>
        <w:pStyle w:val="23"/>
        <w:rPr>
          <w:color w:val="auto"/>
        </w:rPr>
      </w:pPr>
    </w:p>
    <w:p w14:paraId="09AFA38F">
      <w:pPr>
        <w:pStyle w:val="23"/>
        <w:rPr>
          <w:color w:val="auto"/>
        </w:rPr>
      </w:pPr>
    </w:p>
    <w:p w14:paraId="4D49177D">
      <w:pPr>
        <w:pStyle w:val="23"/>
        <w:rPr>
          <w:color w:val="auto"/>
        </w:rPr>
      </w:pPr>
    </w:p>
    <w:p w14:paraId="0B4ABB70">
      <w:pPr>
        <w:adjustRightInd w:val="0"/>
        <w:snapToGrid w:val="0"/>
        <w:spacing w:line="360" w:lineRule="auto"/>
        <w:jc w:val="left"/>
        <w:rPr>
          <w:rFonts w:ascii="宋体" w:cs="Times New Roman"/>
          <w:b/>
          <w:bCs/>
          <w:color w:val="auto"/>
          <w:sz w:val="52"/>
          <w:szCs w:val="52"/>
        </w:rPr>
      </w:pPr>
      <w:r>
        <w:rPr>
          <w:rFonts w:hint="eastAsia"/>
          <w:color w:val="auto"/>
        </w:rPr>
        <w:drawing>
          <wp:anchor distT="0" distB="0" distL="114300" distR="114300" simplePos="0" relativeHeight="251660288" behindDoc="0" locked="0" layoutInCell="1" allowOverlap="1">
            <wp:simplePos x="0" y="0"/>
            <wp:positionH relativeFrom="column">
              <wp:posOffset>2129155</wp:posOffset>
            </wp:positionH>
            <wp:positionV relativeFrom="paragraph">
              <wp:posOffset>186690</wp:posOffset>
            </wp:positionV>
            <wp:extent cx="1622425" cy="1174750"/>
            <wp:effectExtent l="0" t="0" r="15875" b="635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622425" cy="1174750"/>
                    </a:xfrm>
                    <a:prstGeom prst="rect">
                      <a:avLst/>
                    </a:prstGeom>
                  </pic:spPr>
                </pic:pic>
              </a:graphicData>
            </a:graphic>
          </wp:anchor>
        </w:drawing>
      </w:r>
      <w:r>
        <w:rPr>
          <w:rFonts w:hint="eastAsia" w:ascii="宋体" w:cs="Times New Roman"/>
          <w:b/>
          <w:bCs/>
          <w:color w:val="auto"/>
          <w:sz w:val="52"/>
          <w:szCs w:val="52"/>
        </w:rPr>
        <w:t xml:space="preserve"> </w:t>
      </w:r>
    </w:p>
    <w:p w14:paraId="00DD5E7F">
      <w:pPr>
        <w:adjustRightInd w:val="0"/>
        <w:snapToGrid w:val="0"/>
        <w:spacing w:line="360" w:lineRule="auto"/>
        <w:jc w:val="left"/>
        <w:rPr>
          <w:rFonts w:ascii="宋体" w:cs="Times New Roman"/>
          <w:b/>
          <w:bCs/>
          <w:color w:val="auto"/>
          <w:sz w:val="52"/>
          <w:szCs w:val="52"/>
        </w:rPr>
      </w:pPr>
      <w:r>
        <w:rPr>
          <w:rFonts w:hint="eastAsia" w:ascii="宋体" w:cs="Times New Roman"/>
          <w:b/>
          <w:bCs/>
          <w:color w:val="auto"/>
          <w:sz w:val="52"/>
          <w:szCs w:val="52"/>
        </w:rPr>
        <w:t xml:space="preserve">          </w:t>
      </w:r>
    </w:p>
    <w:p w14:paraId="3C3B2C1E">
      <w:pPr>
        <w:pStyle w:val="13"/>
        <w:rPr>
          <w:color w:val="auto"/>
        </w:rPr>
      </w:pPr>
    </w:p>
    <w:p w14:paraId="6194ABA5">
      <w:pPr>
        <w:tabs>
          <w:tab w:val="left" w:pos="0"/>
        </w:tabs>
        <w:adjustRightInd w:val="0"/>
        <w:snapToGrid w:val="0"/>
        <w:spacing w:line="360" w:lineRule="auto"/>
        <w:jc w:val="center"/>
        <w:rPr>
          <w:rFonts w:ascii="宋体" w:hAnsi="宋体" w:cs="宋体"/>
          <w:b/>
          <w:bCs/>
          <w:color w:val="auto"/>
          <w:sz w:val="56"/>
          <w:szCs w:val="56"/>
        </w:rPr>
      </w:pPr>
      <w:r>
        <w:rPr>
          <w:rFonts w:hint="eastAsia" w:ascii="宋体" w:hAnsi="宋体" w:cs="宋体"/>
          <w:b/>
          <w:bCs/>
          <w:color w:val="auto"/>
          <w:sz w:val="56"/>
          <w:szCs w:val="56"/>
        </w:rPr>
        <w:t>竞争性磋商文件</w:t>
      </w:r>
    </w:p>
    <w:p w14:paraId="6D94CEBD">
      <w:pPr>
        <w:rPr>
          <w:color w:val="auto"/>
        </w:rPr>
      </w:pPr>
    </w:p>
    <w:p w14:paraId="52FE3A3C">
      <w:pPr>
        <w:rPr>
          <w:color w:val="auto"/>
        </w:rPr>
      </w:pPr>
    </w:p>
    <w:p w14:paraId="4CE782CC">
      <w:pPr>
        <w:rPr>
          <w:color w:val="auto"/>
        </w:rPr>
      </w:pPr>
    </w:p>
    <w:p w14:paraId="615AC963">
      <w:pPr>
        <w:pStyle w:val="29"/>
        <w:rPr>
          <w:color w:val="auto"/>
        </w:rPr>
      </w:pPr>
    </w:p>
    <w:p w14:paraId="2A05E3FC">
      <w:pPr>
        <w:rPr>
          <w:color w:val="auto"/>
        </w:rPr>
      </w:pPr>
    </w:p>
    <w:p w14:paraId="424534EC">
      <w:pPr>
        <w:pStyle w:val="23"/>
        <w:rPr>
          <w:color w:val="auto"/>
        </w:rPr>
      </w:pPr>
    </w:p>
    <w:p w14:paraId="75C70740">
      <w:pPr>
        <w:adjustRightInd w:val="0"/>
        <w:snapToGrid w:val="0"/>
        <w:spacing w:line="840" w:lineRule="auto"/>
        <w:ind w:firstLine="1928" w:firstLineChars="600"/>
        <w:rPr>
          <w:rFonts w:hint="default" w:ascii="宋体" w:hAnsi="宋体" w:eastAsia="宋体" w:cs="宋体"/>
          <w:b/>
          <w:bCs/>
          <w:color w:val="auto"/>
          <w:sz w:val="32"/>
          <w:szCs w:val="32"/>
          <w:lang w:val="en-US" w:eastAsia="zh-CN"/>
        </w:rPr>
      </w:pPr>
      <w:r>
        <w:rPr>
          <w:rFonts w:hint="eastAsia" w:ascii="宋体" w:hAnsi="宋体" w:cs="宋体"/>
          <w:b/>
          <w:bCs/>
          <w:color w:val="auto"/>
          <w:sz w:val="32"/>
          <w:szCs w:val="32"/>
        </w:rPr>
        <w:t>采 购 人：</w:t>
      </w:r>
      <w:r>
        <w:rPr>
          <w:rFonts w:hint="eastAsia" w:ascii="宋体" w:hAnsi="宋体" w:cs="宋体"/>
          <w:b/>
          <w:bCs/>
          <w:color w:val="auto"/>
          <w:sz w:val="32"/>
          <w:szCs w:val="32"/>
          <w:lang w:eastAsia="zh-CN"/>
        </w:rPr>
        <w:t>安康市中医医院</w:t>
      </w:r>
    </w:p>
    <w:p w14:paraId="0FDAE9B1">
      <w:pPr>
        <w:adjustRightInd w:val="0"/>
        <w:snapToGrid w:val="0"/>
        <w:spacing w:line="840" w:lineRule="auto"/>
        <w:jc w:val="center"/>
        <w:rPr>
          <w:rFonts w:ascii="宋体" w:hAnsi="宋体" w:cs="宋体"/>
          <w:b/>
          <w:bCs/>
          <w:color w:val="auto"/>
          <w:sz w:val="32"/>
          <w:szCs w:val="32"/>
        </w:rPr>
      </w:pPr>
      <w:r>
        <w:rPr>
          <w:rFonts w:hint="eastAsia" w:ascii="宋体" w:hAnsi="宋体" w:cs="宋体"/>
          <w:b/>
          <w:bCs/>
          <w:color w:val="auto"/>
          <w:sz w:val="32"/>
          <w:szCs w:val="32"/>
        </w:rPr>
        <w:t xml:space="preserve"> 代理机构：安康尚昊招标代理有限公司</w:t>
      </w:r>
    </w:p>
    <w:p w14:paraId="4817E177">
      <w:pPr>
        <w:keepNext w:val="0"/>
        <w:keepLines w:val="0"/>
        <w:pageBreakBefore w:val="0"/>
        <w:widowControl w:val="0"/>
        <w:kinsoku/>
        <w:wordWrap/>
        <w:overflowPunct/>
        <w:topLinePunct w:val="0"/>
        <w:autoSpaceDE/>
        <w:autoSpaceDN/>
        <w:bidi w:val="0"/>
        <w:adjustRightInd w:val="0"/>
        <w:snapToGrid w:val="0"/>
        <w:spacing w:line="360" w:lineRule="auto"/>
        <w:ind w:firstLine="2570" w:firstLineChars="800"/>
        <w:textAlignment w:val="auto"/>
        <w:rPr>
          <w:rFonts w:ascii="宋体" w:cs="Times New Roman"/>
          <w:b/>
          <w:bCs/>
          <w:color w:val="auto"/>
          <w:sz w:val="30"/>
          <w:szCs w:val="30"/>
        </w:rPr>
        <w:sectPr>
          <w:headerReference r:id="rId4" w:type="first"/>
          <w:headerReference r:id="rId3" w:type="default"/>
          <w:footerReference r:id="rId5" w:type="default"/>
          <w:pgSz w:w="11906" w:h="16838"/>
          <w:pgMar w:top="1417" w:right="1417" w:bottom="1417" w:left="1417" w:header="850" w:footer="992" w:gutter="0"/>
          <w:cols w:space="0" w:num="1"/>
          <w:titlePg/>
          <w:docGrid w:type="lines" w:linePitch="326" w:charSpace="0"/>
        </w:sectPr>
      </w:pPr>
      <w:r>
        <w:rPr>
          <w:rFonts w:hint="eastAsia" w:ascii="宋体" w:hAnsi="宋体" w:cs="宋体"/>
          <w:b/>
          <w:bCs/>
          <w:color w:val="auto"/>
          <w:sz w:val="32"/>
          <w:szCs w:val="32"/>
        </w:rPr>
        <w:t>时    间：二</w:t>
      </w:r>
      <w:r>
        <w:rPr>
          <w:rFonts w:hint="eastAsia" w:ascii="宋体" w:hAnsi="宋体" w:cs="宋体"/>
          <w:b/>
          <w:bCs/>
          <w:color w:val="auto"/>
          <w:sz w:val="32"/>
          <w:szCs w:val="32"/>
          <w:lang w:val="en-US" w:eastAsia="zh-CN"/>
        </w:rPr>
        <w:t>〇</w:t>
      </w:r>
      <w:r>
        <w:rPr>
          <w:rFonts w:ascii="宋体" w:hAnsi="宋体" w:cs="宋体"/>
          <w:b/>
          <w:bCs/>
          <w:color w:val="auto"/>
          <w:sz w:val="32"/>
          <w:szCs w:val="32"/>
        </w:rPr>
        <w:t>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rPr>
        <w:t>年</w:t>
      </w:r>
      <w:r>
        <w:rPr>
          <w:rFonts w:hint="eastAsia" w:ascii="宋体" w:hAnsi="宋体" w:cs="宋体"/>
          <w:b/>
          <w:bCs/>
          <w:color w:val="auto"/>
          <w:sz w:val="32"/>
          <w:szCs w:val="32"/>
          <w:lang w:val="en-US" w:eastAsia="zh-CN"/>
        </w:rPr>
        <w:t>九</w:t>
      </w:r>
      <w:r>
        <w:rPr>
          <w:rFonts w:hint="eastAsia" w:ascii="宋体" w:hAnsi="宋体" w:cs="宋体"/>
          <w:b/>
          <w:bCs/>
          <w:color w:val="auto"/>
          <w:sz w:val="32"/>
          <w:szCs w:val="32"/>
        </w:rPr>
        <w:t>月</w:t>
      </w:r>
    </w:p>
    <w:p w14:paraId="723DA020">
      <w:pPr>
        <w:pStyle w:val="25"/>
        <w:tabs>
          <w:tab w:val="center" w:pos="4819"/>
          <w:tab w:val="left" w:pos="6069"/>
          <w:tab w:val="right" w:leader="dot" w:pos="8306"/>
        </w:tabs>
        <w:spacing w:before="0" w:after="0" w:line="480" w:lineRule="exact"/>
        <w:rPr>
          <w:rFonts w:ascii="宋体" w:hAnsi="宋体" w:cs="宋体"/>
          <w:b w:val="0"/>
          <w:bCs w:val="0"/>
          <w:color w:val="auto"/>
          <w:sz w:val="48"/>
          <w:szCs w:val="52"/>
        </w:rPr>
      </w:pPr>
      <w:r>
        <w:rPr>
          <w:rFonts w:ascii="宋体" w:hAnsi="宋体" w:cs="宋体"/>
          <w:b w:val="0"/>
          <w:bCs w:val="0"/>
          <w:color w:val="auto"/>
          <w:sz w:val="48"/>
          <w:szCs w:val="52"/>
        </w:rPr>
        <w:tab/>
      </w:r>
    </w:p>
    <w:p w14:paraId="0D3A60F7">
      <w:pPr>
        <w:rPr>
          <w:color w:val="auto"/>
        </w:rPr>
      </w:pPr>
    </w:p>
    <w:p w14:paraId="6E2ECAE4">
      <w:pPr>
        <w:pStyle w:val="25"/>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760" w:lineRule="exact"/>
        <w:jc w:val="center"/>
        <w:textAlignment w:val="auto"/>
        <w:rPr>
          <w:rFonts w:ascii="宋体" w:hAnsi="宋体" w:cs="宋体"/>
          <w:b/>
          <w:bCs/>
          <w:color w:val="auto"/>
          <w:sz w:val="72"/>
          <w:szCs w:val="96"/>
        </w:rPr>
      </w:pPr>
      <w:r>
        <w:rPr>
          <w:rFonts w:hint="eastAsia" w:ascii="宋体" w:hAnsi="宋体" w:cs="宋体"/>
          <w:b/>
          <w:bCs/>
          <w:color w:val="auto"/>
          <w:sz w:val="72"/>
          <w:szCs w:val="96"/>
        </w:rPr>
        <w:t xml:space="preserve">目 </w:t>
      </w:r>
      <w:r>
        <w:rPr>
          <w:rFonts w:ascii="宋体" w:hAnsi="宋体" w:cs="宋体"/>
          <w:b/>
          <w:bCs/>
          <w:color w:val="auto"/>
          <w:sz w:val="72"/>
          <w:szCs w:val="96"/>
        </w:rPr>
        <w:t xml:space="preserve"> </w:t>
      </w:r>
      <w:r>
        <w:rPr>
          <w:rFonts w:hint="eastAsia" w:ascii="宋体" w:hAnsi="宋体" w:cs="宋体"/>
          <w:b/>
          <w:bCs/>
          <w:color w:val="auto"/>
          <w:sz w:val="72"/>
          <w:szCs w:val="96"/>
        </w:rPr>
        <w:t>录</w:t>
      </w:r>
    </w:p>
    <w:p w14:paraId="4C684DF1">
      <w:pPr>
        <w:rPr>
          <w:b/>
          <w:bCs/>
          <w:color w:val="auto"/>
          <w:sz w:val="28"/>
          <w:szCs w:val="28"/>
        </w:rPr>
      </w:pPr>
    </w:p>
    <w:p w14:paraId="117BBA50">
      <w:pPr>
        <w:pStyle w:val="25"/>
        <w:tabs>
          <w:tab w:val="right" w:leader="dot" w:pos="9072"/>
        </w:tabs>
        <w:rPr>
          <w:b w:val="0"/>
          <w:bCs w:val="0"/>
          <w:color w:val="auto"/>
          <w:sz w:val="28"/>
          <w:szCs w:val="28"/>
        </w:rPr>
      </w:pPr>
      <w:bookmarkStart w:id="1" w:name="_Toc19543333"/>
      <w:bookmarkStart w:id="2" w:name="_Toc536202282"/>
      <w:bookmarkStart w:id="3" w:name="_Toc536429369"/>
      <w:bookmarkStart w:id="4" w:name="_Toc536202376"/>
      <w:bookmarkStart w:id="5" w:name="OLE_LINK3"/>
      <w:bookmarkStart w:id="6" w:name="_Toc438048787"/>
      <w:bookmarkStart w:id="7" w:name="_Toc30089"/>
      <w:r>
        <w:rPr>
          <w:rFonts w:hint="eastAsia" w:ascii="宋体" w:hAnsi="宋体" w:cs="宋体"/>
          <w:b/>
          <w:bCs/>
          <w:caps w:val="0"/>
          <w:color w:val="auto"/>
          <w:sz w:val="44"/>
          <w:szCs w:val="44"/>
        </w:rPr>
        <w:fldChar w:fldCharType="begin"/>
      </w:r>
      <w:r>
        <w:rPr>
          <w:rFonts w:hint="eastAsia" w:ascii="宋体" w:hAnsi="宋体" w:cs="宋体"/>
          <w:b/>
          <w:bCs/>
          <w:caps w:val="0"/>
          <w:color w:val="auto"/>
          <w:sz w:val="44"/>
          <w:szCs w:val="44"/>
        </w:rPr>
        <w:instrText xml:space="preserve"> TOC \o "1-1" \h \z \u </w:instrText>
      </w:r>
      <w:r>
        <w:rPr>
          <w:rFonts w:hint="eastAsia" w:ascii="宋体" w:hAnsi="宋体" w:cs="宋体"/>
          <w:b/>
          <w:bCs/>
          <w:caps w:val="0"/>
          <w:color w:val="auto"/>
          <w:sz w:val="44"/>
          <w:szCs w:val="44"/>
        </w:rPr>
        <w:fldChar w:fldCharType="separate"/>
      </w:r>
      <w:r>
        <w:rPr>
          <w:rFonts w:hint="eastAsia" w:ascii="宋体" w:hAnsi="宋体" w:cs="宋体"/>
          <w:b w:val="0"/>
          <w:bCs w:val="0"/>
          <w:caps w:val="0"/>
          <w:color w:val="auto"/>
          <w:sz w:val="28"/>
          <w:szCs w:val="60"/>
        </w:rPr>
        <w:fldChar w:fldCharType="begin"/>
      </w:r>
      <w:r>
        <w:rPr>
          <w:rFonts w:hint="eastAsia" w:ascii="宋体" w:hAnsi="宋体" w:cs="宋体"/>
          <w:b w:val="0"/>
          <w:bCs w:val="0"/>
          <w:caps w:val="0"/>
          <w:color w:val="auto"/>
          <w:sz w:val="28"/>
          <w:szCs w:val="60"/>
        </w:rPr>
        <w:instrText xml:space="preserve"> HYPERLINK \l _Toc490 </w:instrText>
      </w:r>
      <w:r>
        <w:rPr>
          <w:rFonts w:hint="eastAsia" w:ascii="宋体" w:hAnsi="宋体" w:cs="宋体"/>
          <w:b w:val="0"/>
          <w:bCs w:val="0"/>
          <w:caps w:val="0"/>
          <w:color w:val="auto"/>
          <w:sz w:val="28"/>
          <w:szCs w:val="60"/>
        </w:rPr>
        <w:fldChar w:fldCharType="separate"/>
      </w:r>
      <w:r>
        <w:rPr>
          <w:rFonts w:hint="eastAsia"/>
          <w:b w:val="0"/>
          <w:bCs w:val="0"/>
          <w:color w:val="auto"/>
          <w:sz w:val="28"/>
          <w:szCs w:val="28"/>
        </w:rPr>
        <w:t>第一部分  竞争性</w:t>
      </w:r>
      <w:r>
        <w:rPr>
          <w:b w:val="0"/>
          <w:bCs w:val="0"/>
          <w:color w:val="auto"/>
          <w:sz w:val="28"/>
          <w:szCs w:val="28"/>
        </w:rPr>
        <w:t>磋商公告</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_Toc490 \h </w:instrText>
      </w:r>
      <w:r>
        <w:rPr>
          <w:b w:val="0"/>
          <w:bCs w:val="0"/>
          <w:color w:val="auto"/>
          <w:sz w:val="28"/>
          <w:szCs w:val="28"/>
        </w:rPr>
        <w:fldChar w:fldCharType="separate"/>
      </w:r>
      <w:r>
        <w:rPr>
          <w:b w:val="0"/>
          <w:bCs w:val="0"/>
          <w:color w:val="auto"/>
          <w:sz w:val="28"/>
          <w:szCs w:val="28"/>
        </w:rPr>
        <w:t>1</w:t>
      </w:r>
      <w:r>
        <w:rPr>
          <w:b w:val="0"/>
          <w:bCs w:val="0"/>
          <w:color w:val="auto"/>
          <w:sz w:val="28"/>
          <w:szCs w:val="28"/>
        </w:rPr>
        <w:fldChar w:fldCharType="end"/>
      </w:r>
      <w:r>
        <w:rPr>
          <w:rFonts w:hint="eastAsia" w:ascii="宋体" w:hAnsi="宋体" w:cs="宋体"/>
          <w:b w:val="0"/>
          <w:bCs w:val="0"/>
          <w:caps w:val="0"/>
          <w:color w:val="auto"/>
          <w:sz w:val="28"/>
          <w:szCs w:val="60"/>
        </w:rPr>
        <w:fldChar w:fldCharType="end"/>
      </w:r>
    </w:p>
    <w:p w14:paraId="4CC5E7C2">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_Toc23343 </w:instrText>
      </w:r>
      <w:r>
        <w:rPr>
          <w:rFonts w:hint="eastAsia" w:ascii="宋体" w:hAnsi="宋体" w:cs="宋体"/>
          <w:b w:val="0"/>
          <w:bCs w:val="0"/>
          <w:caps/>
          <w:color w:val="auto"/>
          <w:kern w:val="2"/>
          <w:sz w:val="28"/>
          <w:szCs w:val="60"/>
        </w:rPr>
        <w:fldChar w:fldCharType="separate"/>
      </w:r>
      <w:r>
        <w:rPr>
          <w:rFonts w:hint="eastAsia"/>
          <w:b w:val="0"/>
          <w:bCs w:val="0"/>
          <w:color w:val="auto"/>
          <w:sz w:val="28"/>
          <w:szCs w:val="28"/>
        </w:rPr>
        <w:t>第二部分</w:t>
      </w:r>
      <w:r>
        <w:rPr>
          <w:b w:val="0"/>
          <w:bCs w:val="0"/>
          <w:color w:val="auto"/>
          <w:sz w:val="28"/>
          <w:szCs w:val="28"/>
        </w:rPr>
        <w:t xml:space="preserve">  </w:t>
      </w:r>
      <w:r>
        <w:rPr>
          <w:rFonts w:hint="eastAsia"/>
          <w:b w:val="0"/>
          <w:bCs w:val="0"/>
          <w:color w:val="auto"/>
          <w:sz w:val="28"/>
          <w:szCs w:val="28"/>
        </w:rPr>
        <w:t>供应商须知前附表</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_Toc23343 \h </w:instrText>
      </w:r>
      <w:r>
        <w:rPr>
          <w:b w:val="0"/>
          <w:bCs w:val="0"/>
          <w:color w:val="auto"/>
          <w:sz w:val="28"/>
          <w:szCs w:val="28"/>
        </w:rPr>
        <w:fldChar w:fldCharType="separate"/>
      </w:r>
      <w:r>
        <w:rPr>
          <w:b w:val="0"/>
          <w:bCs w:val="0"/>
          <w:color w:val="auto"/>
          <w:sz w:val="28"/>
          <w:szCs w:val="28"/>
        </w:rPr>
        <w:t>5</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008E3AC3">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_Toc32193 </w:instrText>
      </w:r>
      <w:r>
        <w:rPr>
          <w:rFonts w:hint="eastAsia" w:ascii="宋体" w:hAnsi="宋体" w:cs="宋体"/>
          <w:b w:val="0"/>
          <w:bCs w:val="0"/>
          <w:caps/>
          <w:color w:val="auto"/>
          <w:kern w:val="2"/>
          <w:sz w:val="28"/>
          <w:szCs w:val="60"/>
        </w:rPr>
        <w:fldChar w:fldCharType="separate"/>
      </w:r>
      <w:r>
        <w:rPr>
          <w:rFonts w:hint="eastAsia" w:ascii="宋体" w:hAnsi="宋体" w:cs="宋体"/>
          <w:b w:val="0"/>
          <w:bCs w:val="0"/>
          <w:color w:val="auto"/>
          <w:sz w:val="28"/>
          <w:szCs w:val="28"/>
        </w:rPr>
        <w:t xml:space="preserve">第三部分 </w:t>
      </w:r>
      <w:r>
        <w:rPr>
          <w:rFonts w:ascii="宋体" w:hAnsi="宋体" w:cs="宋体"/>
          <w:b w:val="0"/>
          <w:bCs w:val="0"/>
          <w:color w:val="auto"/>
          <w:sz w:val="28"/>
          <w:szCs w:val="28"/>
        </w:rPr>
        <w:t xml:space="preserve"> </w:t>
      </w:r>
      <w:r>
        <w:rPr>
          <w:rFonts w:hint="eastAsia" w:ascii="宋体" w:hAnsi="宋体" w:cs="宋体"/>
          <w:b w:val="0"/>
          <w:bCs w:val="0"/>
          <w:color w:val="auto"/>
          <w:sz w:val="28"/>
          <w:szCs w:val="28"/>
        </w:rPr>
        <w:t>供应商须知</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_Toc32193 \h </w:instrText>
      </w:r>
      <w:r>
        <w:rPr>
          <w:b w:val="0"/>
          <w:bCs w:val="0"/>
          <w:color w:val="auto"/>
          <w:sz w:val="28"/>
          <w:szCs w:val="28"/>
        </w:rPr>
        <w:fldChar w:fldCharType="separate"/>
      </w:r>
      <w:r>
        <w:rPr>
          <w:b w:val="0"/>
          <w:bCs w:val="0"/>
          <w:color w:val="auto"/>
          <w:sz w:val="28"/>
          <w:szCs w:val="28"/>
        </w:rPr>
        <w:t>8</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7D39845D">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_Toc26846 </w:instrText>
      </w:r>
      <w:r>
        <w:rPr>
          <w:rFonts w:hint="eastAsia" w:ascii="宋体" w:hAnsi="宋体" w:cs="宋体"/>
          <w:b w:val="0"/>
          <w:bCs w:val="0"/>
          <w:caps/>
          <w:color w:val="auto"/>
          <w:kern w:val="2"/>
          <w:sz w:val="28"/>
          <w:szCs w:val="60"/>
        </w:rPr>
        <w:fldChar w:fldCharType="separate"/>
      </w:r>
      <w:r>
        <w:rPr>
          <w:rFonts w:hint="eastAsia"/>
          <w:b w:val="0"/>
          <w:bCs w:val="0"/>
          <w:color w:val="auto"/>
          <w:sz w:val="28"/>
          <w:szCs w:val="28"/>
        </w:rPr>
        <w:t xml:space="preserve">第四部分 </w:t>
      </w:r>
      <w:r>
        <w:rPr>
          <w:rFonts w:hint="eastAsia"/>
          <w:b w:val="0"/>
          <w:bCs w:val="0"/>
          <w:color w:val="auto"/>
          <w:sz w:val="28"/>
          <w:szCs w:val="28"/>
          <w:lang w:val="en-US" w:eastAsia="zh-CN"/>
        </w:rPr>
        <w:t xml:space="preserve"> </w:t>
      </w:r>
      <w:r>
        <w:rPr>
          <w:rFonts w:hint="eastAsia"/>
          <w:b w:val="0"/>
          <w:bCs w:val="0"/>
          <w:color w:val="auto"/>
          <w:sz w:val="28"/>
          <w:szCs w:val="28"/>
        </w:rPr>
        <w:t>评分</w:t>
      </w:r>
      <w:r>
        <w:rPr>
          <w:b w:val="0"/>
          <w:bCs w:val="0"/>
          <w:color w:val="auto"/>
          <w:sz w:val="28"/>
          <w:szCs w:val="28"/>
        </w:rPr>
        <w:t>标准</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_Toc26846 \h </w:instrText>
      </w:r>
      <w:r>
        <w:rPr>
          <w:b w:val="0"/>
          <w:bCs w:val="0"/>
          <w:color w:val="auto"/>
          <w:sz w:val="28"/>
          <w:szCs w:val="28"/>
        </w:rPr>
        <w:fldChar w:fldCharType="separate"/>
      </w:r>
      <w:r>
        <w:rPr>
          <w:b w:val="0"/>
          <w:bCs w:val="0"/>
          <w:color w:val="auto"/>
          <w:sz w:val="28"/>
          <w:szCs w:val="28"/>
        </w:rPr>
        <w:t>25</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70EDFFC6">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_Toc21819 </w:instrText>
      </w:r>
      <w:r>
        <w:rPr>
          <w:rFonts w:hint="eastAsia" w:ascii="宋体" w:hAnsi="宋体" w:cs="宋体"/>
          <w:b w:val="0"/>
          <w:bCs w:val="0"/>
          <w:caps/>
          <w:color w:val="auto"/>
          <w:kern w:val="2"/>
          <w:sz w:val="28"/>
          <w:szCs w:val="60"/>
        </w:rPr>
        <w:fldChar w:fldCharType="separate"/>
      </w:r>
      <w:r>
        <w:rPr>
          <w:rFonts w:hint="eastAsia" w:ascii="宋体" w:hAnsi="宋体" w:cs="宋体"/>
          <w:b w:val="0"/>
          <w:bCs w:val="0"/>
          <w:color w:val="auto"/>
          <w:sz w:val="28"/>
          <w:szCs w:val="28"/>
        </w:rPr>
        <w:t xml:space="preserve">第五部分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rPr>
        <w:t>采购内容及要求</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_Toc21819 \h </w:instrText>
      </w:r>
      <w:r>
        <w:rPr>
          <w:b w:val="0"/>
          <w:bCs w:val="0"/>
          <w:color w:val="auto"/>
          <w:sz w:val="28"/>
          <w:szCs w:val="28"/>
        </w:rPr>
        <w:fldChar w:fldCharType="separate"/>
      </w:r>
      <w:r>
        <w:rPr>
          <w:b w:val="0"/>
          <w:bCs w:val="0"/>
          <w:color w:val="auto"/>
          <w:sz w:val="28"/>
          <w:szCs w:val="28"/>
        </w:rPr>
        <w:t>29</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60FD3497">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_Toc21623 </w:instrText>
      </w:r>
      <w:r>
        <w:rPr>
          <w:rFonts w:hint="eastAsia" w:ascii="宋体" w:hAnsi="宋体" w:cs="宋体"/>
          <w:b w:val="0"/>
          <w:bCs w:val="0"/>
          <w:caps/>
          <w:color w:val="auto"/>
          <w:kern w:val="2"/>
          <w:sz w:val="28"/>
          <w:szCs w:val="60"/>
        </w:rPr>
        <w:fldChar w:fldCharType="separate"/>
      </w:r>
      <w:r>
        <w:rPr>
          <w:rFonts w:hint="eastAsia" w:ascii="宋体" w:hAnsi="宋体" w:cs="宋体"/>
          <w:b w:val="0"/>
          <w:bCs w:val="0"/>
          <w:color w:val="auto"/>
          <w:sz w:val="28"/>
          <w:szCs w:val="28"/>
        </w:rPr>
        <w:t xml:space="preserve">第六部分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rPr>
        <w:t>商务及合同主要条款</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_Toc21623 \h </w:instrText>
      </w:r>
      <w:r>
        <w:rPr>
          <w:b w:val="0"/>
          <w:bCs w:val="0"/>
          <w:color w:val="auto"/>
          <w:sz w:val="28"/>
          <w:szCs w:val="28"/>
        </w:rPr>
        <w:fldChar w:fldCharType="separate"/>
      </w:r>
      <w:r>
        <w:rPr>
          <w:b w:val="0"/>
          <w:bCs w:val="0"/>
          <w:color w:val="auto"/>
          <w:sz w:val="28"/>
          <w:szCs w:val="28"/>
        </w:rPr>
        <w:t>32</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3D503623">
      <w:pPr>
        <w:pStyle w:val="25"/>
        <w:tabs>
          <w:tab w:val="right" w:leader="dot" w:pos="9072"/>
        </w:tabs>
        <w:rPr>
          <w:color w:val="auto"/>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_Toc24956 </w:instrText>
      </w:r>
      <w:r>
        <w:rPr>
          <w:rFonts w:hint="eastAsia" w:ascii="宋体" w:hAnsi="宋体" w:cs="宋体"/>
          <w:b w:val="0"/>
          <w:bCs w:val="0"/>
          <w:caps/>
          <w:color w:val="auto"/>
          <w:kern w:val="2"/>
          <w:sz w:val="28"/>
          <w:szCs w:val="60"/>
        </w:rPr>
        <w:fldChar w:fldCharType="separate"/>
      </w:r>
      <w:r>
        <w:rPr>
          <w:rFonts w:hint="eastAsia"/>
          <w:b w:val="0"/>
          <w:bCs w:val="0"/>
          <w:color w:val="auto"/>
          <w:sz w:val="28"/>
          <w:szCs w:val="52"/>
          <w:lang w:val="en-US" w:eastAsia="zh-CN"/>
        </w:rPr>
        <w:t>第七部分  响应文件格式</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_Toc24956 \h </w:instrText>
      </w:r>
      <w:r>
        <w:rPr>
          <w:b w:val="0"/>
          <w:bCs w:val="0"/>
          <w:color w:val="auto"/>
          <w:sz w:val="28"/>
          <w:szCs w:val="28"/>
        </w:rPr>
        <w:fldChar w:fldCharType="separate"/>
      </w:r>
      <w:r>
        <w:rPr>
          <w:b w:val="0"/>
          <w:bCs w:val="0"/>
          <w:color w:val="auto"/>
          <w:sz w:val="28"/>
          <w:szCs w:val="28"/>
        </w:rPr>
        <w:t>38</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5B2A78B5">
      <w:pPr>
        <w:pStyle w:val="2"/>
        <w:tabs>
          <w:tab w:val="left" w:pos="206"/>
        </w:tabs>
        <w:spacing w:line="360" w:lineRule="auto"/>
        <w:jc w:val="left"/>
        <w:rPr>
          <w:color w:val="auto"/>
        </w:rPr>
        <w:sectPr>
          <w:headerReference r:id="rId7" w:type="first"/>
          <w:footerReference r:id="rId9" w:type="first"/>
          <w:headerReference r:id="rId6" w:type="default"/>
          <w:footerReference r:id="rId8" w:type="default"/>
          <w:pgSz w:w="11906" w:h="16838"/>
          <w:pgMar w:top="1417" w:right="1417" w:bottom="1417" w:left="1417" w:header="1134" w:footer="992" w:gutter="0"/>
          <w:pgNumType w:start="1"/>
          <w:cols w:space="0" w:num="1"/>
          <w:titlePg/>
          <w:docGrid w:type="lines" w:linePitch="326" w:charSpace="0"/>
        </w:sectPr>
      </w:pPr>
      <w:r>
        <w:rPr>
          <w:rFonts w:hint="eastAsia" w:ascii="宋体" w:hAnsi="宋体" w:cs="宋体"/>
          <w:bCs/>
          <w:caps/>
          <w:color w:val="auto"/>
          <w:kern w:val="2"/>
          <w:szCs w:val="44"/>
        </w:rPr>
        <w:fldChar w:fldCharType="end"/>
      </w:r>
    </w:p>
    <w:p w14:paraId="033B01A1">
      <w:pPr>
        <w:pStyle w:val="2"/>
        <w:keepNext/>
        <w:keepLines/>
        <w:pageBreakBefore w:val="0"/>
        <w:widowControl w:val="0"/>
        <w:tabs>
          <w:tab w:val="left" w:pos="206"/>
        </w:tabs>
        <w:kinsoku/>
        <w:wordWrap/>
        <w:overflowPunct/>
        <w:topLinePunct w:val="0"/>
        <w:autoSpaceDE/>
        <w:autoSpaceDN/>
        <w:bidi w:val="0"/>
        <w:adjustRightInd/>
        <w:snapToGrid/>
        <w:spacing w:before="164" w:beforeLines="50" w:after="164" w:afterLines="50" w:line="360" w:lineRule="auto"/>
        <w:jc w:val="left"/>
        <w:textAlignment w:val="auto"/>
        <w:rPr>
          <w:color w:val="auto"/>
        </w:rPr>
      </w:pPr>
      <w:r>
        <w:rPr>
          <w:rFonts w:hint="eastAsia"/>
          <w:color w:val="auto"/>
        </w:rPr>
        <w:tab/>
      </w:r>
      <w:r>
        <w:rPr>
          <w:rFonts w:hint="eastAsia"/>
          <w:color w:val="auto"/>
        </w:rPr>
        <w:t xml:space="preserve">                </w:t>
      </w:r>
      <w:bookmarkStart w:id="8" w:name="_Toc490"/>
      <w:r>
        <w:rPr>
          <w:rFonts w:hint="eastAsia"/>
          <w:color w:val="auto"/>
        </w:rPr>
        <w:t xml:space="preserve">第一部分  </w:t>
      </w:r>
      <w:bookmarkStart w:id="9" w:name="OLE_LINK4"/>
      <w:bookmarkStart w:id="10" w:name="OLE_LINK1"/>
      <w:r>
        <w:rPr>
          <w:rFonts w:hint="eastAsia"/>
          <w:color w:val="auto"/>
        </w:rPr>
        <w:t>竞争性</w:t>
      </w:r>
      <w:r>
        <w:rPr>
          <w:color w:val="auto"/>
        </w:rPr>
        <w:t>磋商公告</w:t>
      </w:r>
      <w:bookmarkEnd w:id="1"/>
      <w:bookmarkEnd w:id="2"/>
      <w:bookmarkEnd w:id="3"/>
      <w:bookmarkEnd w:id="4"/>
      <w:bookmarkEnd w:id="8"/>
    </w:p>
    <w:bookmarkEnd w:id="5"/>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bookmarkStart w:id="11" w:name="_Toc536202377"/>
      <w:bookmarkStart w:id="12" w:name="_Toc536202283"/>
      <w:bookmarkStart w:id="13" w:name="_Toc5018"/>
      <w:bookmarkStart w:id="14" w:name="_Toc536429370"/>
      <w:bookmarkStart w:id="15" w:name="_Toc536429317"/>
      <w:r>
        <w:rPr>
          <w:rStyle w:val="40"/>
          <w:rFonts w:hint="eastAsia" w:ascii="宋体" w:hAnsi="宋体" w:eastAsia="宋体" w:cs="宋体"/>
          <w:b/>
          <w:bCs/>
          <w:i w:val="0"/>
          <w:iCs w:val="0"/>
          <w:caps w:val="0"/>
          <w:color w:val="auto"/>
          <w:spacing w:val="0"/>
          <w:sz w:val="24"/>
          <w:szCs w:val="24"/>
          <w:shd w:val="clear" w:fill="FFFFFF"/>
        </w:rPr>
        <w:t>项目概况</w:t>
      </w:r>
    </w:p>
    <w:p w14:paraId="2DEC2EC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安康市中医医院电力系统安全管理维保服务项目</w:t>
      </w:r>
      <w:r>
        <w:rPr>
          <w:rFonts w:hint="eastAsia" w:ascii="宋体" w:hAnsi="宋体" w:eastAsia="宋体" w:cs="宋体"/>
          <w:i w:val="0"/>
          <w:iCs w:val="0"/>
          <w:caps w:val="0"/>
          <w:color w:val="auto"/>
          <w:spacing w:val="0"/>
          <w:sz w:val="24"/>
          <w:szCs w:val="24"/>
          <w:shd w:val="clear" w:fill="FFFFFF"/>
        </w:rPr>
        <w:t>的潜在供应商应在安康市高新区高新观澜8栋2单元801室获取采购文件，并于</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9</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20</w:t>
      </w:r>
      <w:r>
        <w:rPr>
          <w:color w:val="000000" w:themeColor="text1"/>
          <w:shd w:val="clear" w:fill="FFFFFF"/>
          <w:lang w:eastAsia="zh-CN"/>
          <w14:textFill>
            <w14:solidFill>
              <w14:schemeClr w14:val="tx1"/>
            </w14:solidFill>
          </w14:textFill>
        </w:rPr>
        <w:t>日</w:t>
      </w:r>
      <w:r>
        <w:rPr>
          <w:rFonts w:hint="eastAsia"/>
          <w:color w:val="000000" w:themeColor="text1"/>
          <w:shd w:val="clear" w:fill="FFFFFF"/>
          <w:lang w:val="en-US" w:eastAsia="zh-CN"/>
          <w14:textFill>
            <w14:solidFill>
              <w14:schemeClr w14:val="tx1"/>
            </w14:solidFill>
          </w14:textFill>
        </w:rPr>
        <w:t>09</w:t>
      </w:r>
      <w:r>
        <w:rPr>
          <w:color w:val="000000" w:themeColor="text1"/>
          <w:shd w:val="clear" w:fill="FFFFFF"/>
          <w:lang w:eastAsia="zh-CN"/>
          <w14:textFill>
            <w14:solidFill>
              <w14:schemeClr w14:val="tx1"/>
            </w14:solidFill>
          </w14:textFill>
        </w:rPr>
        <w:t>时</w:t>
      </w:r>
      <w:r>
        <w:rPr>
          <w:rFonts w:hint="eastAsia"/>
          <w:color w:val="000000" w:themeColor="text1"/>
          <w:shd w:val="clear" w:fill="FFFFFF"/>
          <w:lang w:val="en-US" w:eastAsia="zh-CN"/>
          <w14:textFill>
            <w14:solidFill>
              <w14:schemeClr w14:val="tx1"/>
            </w14:solidFill>
          </w14:textFill>
        </w:rPr>
        <w:t>0</w:t>
      </w:r>
      <w:r>
        <w:rPr>
          <w:rFonts w:hint="eastAsia"/>
          <w:color w:val="auto"/>
          <w:shd w:val="clear" w:fill="FFFFFF"/>
          <w:lang w:val="en-US" w:eastAsia="zh-CN"/>
        </w:rPr>
        <w:t>0</w:t>
      </w:r>
      <w:r>
        <w:rPr>
          <w:color w:val="auto"/>
          <w:shd w:val="clear" w:fill="FFFFFF"/>
          <w:lang w:eastAsia="zh-CN"/>
        </w:rPr>
        <w:t>分</w:t>
      </w:r>
      <w:r>
        <w:rPr>
          <w:rFonts w:hint="eastAsia" w:ascii="宋体" w:hAnsi="宋体" w:eastAsia="宋体" w:cs="宋体"/>
          <w:i w:val="0"/>
          <w:iCs w:val="0"/>
          <w:caps w:val="0"/>
          <w:color w:val="auto"/>
          <w:spacing w:val="0"/>
          <w:sz w:val="24"/>
          <w:szCs w:val="24"/>
          <w:shd w:val="clear" w:fill="FFFFFF"/>
        </w:rPr>
        <w:t>（北京时间）前提交响应文件。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一、项目基本情况</w:t>
      </w:r>
    </w:p>
    <w:p w14:paraId="3C835A6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AKSH2026-ZCS-104</w:t>
      </w:r>
    </w:p>
    <w:p w14:paraId="017A096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安康市中医医院电力系统安全管理维保服务项目</w:t>
      </w:r>
    </w:p>
    <w:p w14:paraId="54EF656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预算金额：</w:t>
      </w:r>
      <w:r>
        <w:rPr>
          <w:rFonts w:hint="eastAsia" w:cs="宋体"/>
          <w:i w:val="0"/>
          <w:iCs w:val="0"/>
          <w:caps w:val="0"/>
          <w:color w:val="auto"/>
          <w:spacing w:val="0"/>
          <w:sz w:val="24"/>
          <w:szCs w:val="24"/>
          <w:highlight w:val="none"/>
          <w:shd w:val="clear" w:fill="FFFFFF"/>
          <w:lang w:eastAsia="zh-CN"/>
        </w:rPr>
        <w:t>140000.00</w:t>
      </w:r>
      <w:r>
        <w:rPr>
          <w:rFonts w:hint="eastAsia" w:ascii="宋体" w:hAnsi="宋体" w:eastAsia="宋体" w:cs="宋体"/>
          <w:i w:val="0"/>
          <w:iCs w:val="0"/>
          <w:caps w:val="0"/>
          <w:color w:val="auto"/>
          <w:spacing w:val="0"/>
          <w:sz w:val="24"/>
          <w:szCs w:val="24"/>
          <w:highlight w:val="none"/>
          <w:shd w:val="clear" w:fill="FFFFFF"/>
        </w:rPr>
        <w:t>元</w:t>
      </w:r>
    </w:p>
    <w:p w14:paraId="27C43D9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采购需求：</w:t>
      </w:r>
    </w:p>
    <w:p w14:paraId="6AED6A4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安康市中医医院电力系统安全管理维保服务项目</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eastAsia="zh-CN"/>
        </w:rPr>
        <w:t>：</w:t>
      </w:r>
    </w:p>
    <w:p w14:paraId="53D3F67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w:t>
      </w:r>
      <w:r>
        <w:rPr>
          <w:rFonts w:hint="eastAsia" w:cs="宋体"/>
          <w:i w:val="0"/>
          <w:iCs w:val="0"/>
          <w:caps w:val="0"/>
          <w:color w:val="auto"/>
          <w:spacing w:val="0"/>
          <w:sz w:val="24"/>
          <w:szCs w:val="24"/>
          <w:highlight w:val="none"/>
          <w:shd w:val="clear" w:fill="FFFFFF"/>
          <w:lang w:eastAsia="zh-CN"/>
        </w:rPr>
        <w:t>140000.00</w:t>
      </w:r>
      <w:r>
        <w:rPr>
          <w:rFonts w:hint="eastAsia" w:ascii="宋体" w:hAnsi="宋体" w:eastAsia="宋体" w:cs="宋体"/>
          <w:i w:val="0"/>
          <w:iCs w:val="0"/>
          <w:caps w:val="0"/>
          <w:color w:val="auto"/>
          <w:spacing w:val="0"/>
          <w:sz w:val="24"/>
          <w:szCs w:val="24"/>
          <w:highlight w:val="none"/>
          <w:shd w:val="clear" w:fill="FFFFFF"/>
        </w:rPr>
        <w:t>元</w:t>
      </w:r>
    </w:p>
    <w:p w14:paraId="5DB2643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highlight w:val="yellow"/>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cs="宋体"/>
          <w:i w:val="0"/>
          <w:iCs w:val="0"/>
          <w:caps w:val="0"/>
          <w:color w:val="auto"/>
          <w:spacing w:val="0"/>
          <w:sz w:val="24"/>
          <w:szCs w:val="24"/>
          <w:highlight w:val="none"/>
          <w:shd w:val="clear" w:fill="FFFFFF"/>
          <w:lang w:eastAsia="zh-CN"/>
        </w:rPr>
        <w:t>132600.00</w:t>
      </w:r>
      <w:r>
        <w:rPr>
          <w:rFonts w:hint="eastAsia" w:ascii="宋体" w:hAnsi="宋体" w:eastAsia="宋体" w:cs="宋体"/>
          <w:i w:val="0"/>
          <w:iCs w:val="0"/>
          <w:caps w:val="0"/>
          <w:color w:val="auto"/>
          <w:spacing w:val="0"/>
          <w:sz w:val="24"/>
          <w:szCs w:val="24"/>
          <w:highlight w:val="none"/>
          <w:shd w:val="clear" w:fill="FFFFFF"/>
        </w:rPr>
        <w:t>元</w:t>
      </w:r>
    </w:p>
    <w:tbl>
      <w:tblPr>
        <w:tblStyle w:val="37"/>
        <w:tblW w:w="4973"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3"/>
        <w:gridCol w:w="1808"/>
        <w:gridCol w:w="2315"/>
        <w:gridCol w:w="1246"/>
        <w:gridCol w:w="1568"/>
        <w:gridCol w:w="1329"/>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CA678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其他专业技术服务</w:t>
            </w:r>
          </w:p>
        </w:tc>
        <w:tc>
          <w:tcPr>
            <w:tcW w:w="12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电力系统安全管理维保服务</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年</w:t>
            </w:r>
            <w:r>
              <w:rPr>
                <w:rFonts w:hint="eastAsia" w:ascii="宋体" w:hAnsi="宋体" w:eastAsia="宋体" w:cs="宋体"/>
                <w:color w:val="auto"/>
                <w:kern w:val="0"/>
                <w:sz w:val="24"/>
                <w:szCs w:val="24"/>
                <w:lang w:val="en-US" w:eastAsia="zh-CN" w:bidi="ar"/>
              </w:rPr>
              <w:t>)</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1B8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highlight w:val="yellow"/>
              </w:rPr>
            </w:pPr>
            <w:r>
              <w:rPr>
                <w:rFonts w:hint="eastAsia" w:ascii="宋体" w:hAnsi="宋体" w:cs="宋体"/>
                <w:color w:val="auto"/>
                <w:kern w:val="0"/>
                <w:sz w:val="24"/>
                <w:szCs w:val="24"/>
                <w:highlight w:val="none"/>
                <w:lang w:val="en-US" w:eastAsia="zh-CN" w:bidi="ar"/>
              </w:rPr>
              <w:t>140000.00</w:t>
            </w:r>
          </w:p>
        </w:tc>
      </w:tr>
    </w:tbl>
    <w:p w14:paraId="3AF48CF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自合同签订生效之日起一年</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二、申请人的资格要求：</w:t>
      </w:r>
    </w:p>
    <w:p w14:paraId="58D6ACE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安康市中医医院电力系统安全管理维保服务项目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 财办采〔2020〕15 号）、陕西省财政厅关于印发《陕西省中小企业政府采购信用融资办法》（陕财办采〔2018〕23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A312F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安康市中医医院电力系统安全管理维保服务项目</w:t>
      </w:r>
      <w:r>
        <w:rPr>
          <w:rFonts w:hint="eastAsia" w:ascii="宋体" w:hAnsi="宋体" w:eastAsia="宋体" w:cs="宋体"/>
          <w:i w:val="0"/>
          <w:iCs w:val="0"/>
          <w:caps w:val="0"/>
          <w:color w:val="auto"/>
          <w:spacing w:val="0"/>
          <w:sz w:val="24"/>
          <w:szCs w:val="24"/>
          <w:shd w:val="clear" w:fill="FFFFFF"/>
        </w:rPr>
        <w:t>)特定资格要求如下:</w:t>
      </w:r>
    </w:p>
    <w:p w14:paraId="2E82DB5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579B391">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036FF1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270FB1B">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0BD7959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191BFED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提供2026年1月至今任意一个月缴纳的纳税证明或完税证明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1CD0D7DE">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提供2026年1月至今任意一个月社会保障资金缴存单据或社保机构开具的社会保险参保缴费情况证明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0B6710D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（8）供应商具有国家行政主管部门颁发的承装（修、试）电力设施许可证（承修类三级、承试类三级及以上）或以上资质，同时具备有效的安全生产许可证。</w:t>
      </w:r>
    </w:p>
    <w:p w14:paraId="20AA6BD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9</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1C09090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10</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7C1E64E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firstLine="480" w:firstLineChars="200"/>
        <w:jc w:val="left"/>
        <w:textAlignment w:val="auto"/>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（11）本项目专门面向中小企业采购，投标人须提供《中小企业声明函》。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三、获取采购文件</w:t>
      </w:r>
    </w:p>
    <w:p w14:paraId="38481D2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color w:val="auto"/>
          <w:shd w:val="clear" w:fill="FFFFFF"/>
          <w:lang w:val="en-US"/>
        </w:rPr>
        <w:t>202</w:t>
      </w:r>
      <w:r>
        <w:rPr>
          <w:rFonts w:hint="eastAsia"/>
          <w:color w:val="auto"/>
          <w:shd w:val="clear" w:fill="FFFFFF"/>
          <w:lang w:val="en-US" w:eastAsia="zh-CN"/>
        </w:rPr>
        <w:t>6</w:t>
      </w:r>
      <w:r>
        <w:rPr>
          <w:color w:val="auto"/>
          <w:shd w:val="clear" w:fill="FFFFFF"/>
          <w:lang w:eastAsia="zh-CN"/>
        </w:rPr>
        <w:t>年</w:t>
      </w:r>
      <w:r>
        <w:rPr>
          <w:rFonts w:hint="eastAsia"/>
          <w:color w:val="000000" w:themeColor="text1"/>
          <w:shd w:val="clear" w:fill="FFFFFF"/>
          <w:lang w:val="en-US" w:eastAsia="zh-CN"/>
          <w14:textFill>
            <w14:solidFill>
              <w14:schemeClr w14:val="tx1"/>
            </w14:solidFill>
          </w14:textFill>
        </w:rPr>
        <w:t>9</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10</w:t>
      </w:r>
      <w:r>
        <w:rPr>
          <w:color w:val="000000" w:themeColor="text1"/>
          <w:shd w:val="clear" w:fill="FFFFFF"/>
          <w:lang w:eastAsia="zh-CN"/>
          <w14:textFill>
            <w14:solidFill>
              <w14:schemeClr w14:val="tx1"/>
            </w14:solidFill>
          </w14:textFill>
        </w:rPr>
        <w:t>日至</w:t>
      </w:r>
      <w:r>
        <w:rPr>
          <w:color w:val="000000" w:themeColor="text1"/>
          <w:shd w:val="clear" w:fill="FFFFFF"/>
          <w:lang w:val="en-US"/>
          <w14:textFill>
            <w14:solidFill>
              <w14:schemeClr w14:val="tx1"/>
            </w14:solidFill>
          </w14:textFill>
        </w:rPr>
        <w:t>202</w:t>
      </w:r>
      <w:r>
        <w:rPr>
          <w:rFonts w:hint="eastAsia"/>
          <w:color w:val="000000" w:themeColor="text1"/>
          <w:shd w:val="clear" w:fill="FFFFFF"/>
          <w:lang w:val="en-US" w:eastAsia="zh-CN"/>
          <w14:textFill>
            <w14:solidFill>
              <w14:schemeClr w14:val="tx1"/>
            </w14:solidFill>
          </w14:textFill>
        </w:rPr>
        <w:t>6</w:t>
      </w:r>
      <w:r>
        <w:rPr>
          <w:color w:val="000000" w:themeColor="text1"/>
          <w:shd w:val="clear" w:fill="FFFFFF"/>
          <w:lang w:eastAsia="zh-CN"/>
          <w14:textFill>
            <w14:solidFill>
              <w14:schemeClr w14:val="tx1"/>
            </w14:solidFill>
          </w14:textFill>
        </w:rPr>
        <w:t>年</w:t>
      </w:r>
      <w:r>
        <w:rPr>
          <w:rFonts w:hint="eastAsia"/>
          <w:color w:val="000000" w:themeColor="text1"/>
          <w:shd w:val="clear" w:fill="FFFFFF"/>
          <w:lang w:val="en-US" w:eastAsia="zh-CN"/>
          <w14:textFill>
            <w14:solidFill>
              <w14:schemeClr w14:val="tx1"/>
            </w14:solidFill>
          </w14:textFill>
        </w:rPr>
        <w:t>9</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16</w:t>
      </w:r>
      <w:r>
        <w:rPr>
          <w:color w:val="000000" w:themeColor="text1"/>
          <w:shd w:val="clear" w:fill="FFFFFF"/>
          <w:lang w:eastAsia="zh-CN"/>
          <w14:textFill>
            <w14:solidFill>
              <w14:schemeClr w14:val="tx1"/>
            </w14:solidFill>
          </w14:textFill>
        </w:rPr>
        <w:t>日</w:t>
      </w:r>
      <w:r>
        <w:rPr>
          <w:color w:val="auto"/>
          <w:shd w:val="clear" w:fill="FFFFFF"/>
          <w:lang w:eastAsia="zh-CN"/>
        </w:rPr>
        <w:t>，</w:t>
      </w:r>
      <w:r>
        <w:rPr>
          <w:rFonts w:hint="eastAsia" w:ascii="宋体" w:hAnsi="宋体" w:eastAsia="宋体" w:cs="宋体"/>
          <w:i w:val="0"/>
          <w:iCs w:val="0"/>
          <w:caps w:val="0"/>
          <w:color w:val="auto"/>
          <w:spacing w:val="0"/>
          <w:sz w:val="24"/>
          <w:szCs w:val="24"/>
          <w:shd w:val="clear" w:fill="FFFFFF"/>
        </w:rPr>
        <w:t>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途径：安康市高新区高新观澜8栋2单元801室</w:t>
      </w:r>
    </w:p>
    <w:p w14:paraId="2F69A38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cs="宋体"/>
          <w:i w:val="0"/>
          <w:iCs w:val="0"/>
          <w:caps w:val="0"/>
          <w:color w:val="auto"/>
          <w:spacing w:val="0"/>
          <w:sz w:val="24"/>
          <w:szCs w:val="24"/>
          <w:shd w:val="clear" w:fill="FFFFFF"/>
          <w:lang w:val="en-US" w:eastAsia="zh-CN"/>
        </w:rPr>
        <w:t>现场</w:t>
      </w:r>
      <w:r>
        <w:rPr>
          <w:rFonts w:hint="eastAsia" w:ascii="宋体" w:hAnsi="宋体" w:eastAsia="宋体" w:cs="宋体"/>
          <w:i w:val="0"/>
          <w:iCs w:val="0"/>
          <w:caps w:val="0"/>
          <w:color w:val="auto"/>
          <w:spacing w:val="0"/>
          <w:sz w:val="24"/>
          <w:szCs w:val="24"/>
          <w:shd w:val="clear" w:fill="FFFFFF"/>
        </w:rPr>
        <w:t>获取</w:t>
      </w:r>
    </w:p>
    <w:p w14:paraId="1A744EA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w:t>
      </w:r>
      <w:r>
        <w:rPr>
          <w:rFonts w:hint="eastAsia"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四、响应文件提交</w:t>
      </w:r>
    </w:p>
    <w:p w14:paraId="7562574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9</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20</w:t>
      </w:r>
      <w:r>
        <w:rPr>
          <w:color w:val="000000" w:themeColor="text1"/>
          <w:shd w:val="clear" w:fill="FFFFFF"/>
          <w:lang w:eastAsia="zh-CN"/>
          <w14:textFill>
            <w14:solidFill>
              <w14:schemeClr w14:val="tx1"/>
            </w14:solidFill>
          </w14:textFill>
        </w:rPr>
        <w:t>日</w:t>
      </w:r>
      <w:r>
        <w:rPr>
          <w:rFonts w:hint="eastAsia"/>
          <w:color w:val="000000" w:themeColor="text1"/>
          <w:shd w:val="clear" w:fill="FFFFFF"/>
          <w:lang w:val="en-US" w:eastAsia="zh-CN"/>
          <w14:textFill>
            <w14:solidFill>
              <w14:schemeClr w14:val="tx1"/>
            </w14:solidFill>
          </w14:textFill>
        </w:rPr>
        <w:t>09</w:t>
      </w:r>
      <w:r>
        <w:rPr>
          <w:color w:val="000000" w:themeColor="text1"/>
          <w:shd w:val="clear" w:fill="FFFFFF"/>
          <w:lang w:eastAsia="zh-CN"/>
          <w14:textFill>
            <w14:solidFill>
              <w14:schemeClr w14:val="tx1"/>
            </w14:solidFill>
          </w14:textFill>
        </w:rPr>
        <w:t>时</w:t>
      </w:r>
      <w:r>
        <w:rPr>
          <w:rFonts w:hint="eastAsia"/>
          <w:color w:val="000000" w:themeColor="text1"/>
          <w:shd w:val="clear" w:fill="FFFFFF"/>
          <w:lang w:val="en-US" w:eastAsia="zh-CN"/>
          <w14:textFill>
            <w14:solidFill>
              <w14:schemeClr w14:val="tx1"/>
            </w14:solidFill>
          </w14:textFill>
        </w:rPr>
        <w:t>0</w:t>
      </w:r>
      <w:r>
        <w:rPr>
          <w:rFonts w:hint="eastAsia"/>
          <w:color w:val="auto"/>
          <w:shd w:val="clear" w:fill="FFFFFF"/>
          <w:lang w:val="en-US" w:eastAsia="zh-CN"/>
        </w:rPr>
        <w:t>0</w:t>
      </w:r>
      <w:r>
        <w:rPr>
          <w:color w:val="auto"/>
          <w:shd w:val="clear" w:fill="FFFFFF"/>
          <w:lang w:eastAsia="zh-CN"/>
        </w:rPr>
        <w:t>分</w:t>
      </w:r>
      <w:r>
        <w:rPr>
          <w:rFonts w:hint="eastAsia" w:ascii="宋体" w:hAnsi="宋体" w:eastAsia="宋体" w:cs="宋体"/>
          <w:i w:val="0"/>
          <w:iCs w:val="0"/>
          <w:caps w:val="0"/>
          <w:color w:val="auto"/>
          <w:spacing w:val="0"/>
          <w:sz w:val="24"/>
          <w:szCs w:val="24"/>
          <w:shd w:val="clear" w:fill="FFFFFF"/>
        </w:rPr>
        <w:t>（北京时间）</w:t>
      </w:r>
    </w:p>
    <w:p w14:paraId="7EC8120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五、开启</w:t>
      </w:r>
    </w:p>
    <w:p w14:paraId="46FA966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9</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20</w:t>
      </w:r>
      <w:r>
        <w:rPr>
          <w:color w:val="000000" w:themeColor="text1"/>
          <w:shd w:val="clear" w:fill="FFFFFF"/>
          <w:lang w:eastAsia="zh-CN"/>
          <w14:textFill>
            <w14:solidFill>
              <w14:schemeClr w14:val="tx1"/>
            </w14:solidFill>
          </w14:textFill>
        </w:rPr>
        <w:t>日</w:t>
      </w:r>
      <w:r>
        <w:rPr>
          <w:rFonts w:hint="eastAsia"/>
          <w:color w:val="000000" w:themeColor="text1"/>
          <w:shd w:val="clear" w:fill="FFFFFF"/>
          <w:lang w:val="en-US" w:eastAsia="zh-CN"/>
          <w14:textFill>
            <w14:solidFill>
              <w14:schemeClr w14:val="tx1"/>
            </w14:solidFill>
          </w14:textFill>
        </w:rPr>
        <w:t>09</w:t>
      </w:r>
      <w:r>
        <w:rPr>
          <w:color w:val="000000" w:themeColor="text1"/>
          <w:shd w:val="clear" w:fill="FFFFFF"/>
          <w:lang w:eastAsia="zh-CN"/>
          <w14:textFill>
            <w14:solidFill>
              <w14:schemeClr w14:val="tx1"/>
            </w14:solidFill>
          </w14:textFill>
        </w:rPr>
        <w:t>时</w:t>
      </w:r>
      <w:r>
        <w:rPr>
          <w:rFonts w:hint="eastAsia"/>
          <w:color w:val="000000" w:themeColor="text1"/>
          <w:shd w:val="clear" w:fill="FFFFFF"/>
          <w:lang w:val="en-US" w:eastAsia="zh-CN"/>
          <w14:textFill>
            <w14:solidFill>
              <w14:schemeClr w14:val="tx1"/>
            </w14:solidFill>
          </w14:textFill>
        </w:rPr>
        <w:t>0</w:t>
      </w:r>
      <w:r>
        <w:rPr>
          <w:rFonts w:hint="eastAsia"/>
          <w:color w:val="auto"/>
          <w:shd w:val="clear" w:fill="FFFFFF"/>
          <w:lang w:val="en-US" w:eastAsia="zh-CN"/>
        </w:rPr>
        <w:t>0</w:t>
      </w:r>
      <w:r>
        <w:rPr>
          <w:color w:val="auto"/>
          <w:shd w:val="clear" w:fill="FFFFFF"/>
          <w:lang w:eastAsia="zh-CN"/>
        </w:rPr>
        <w:t>分</w:t>
      </w:r>
      <w:r>
        <w:rPr>
          <w:rFonts w:hint="eastAsia" w:ascii="宋体" w:hAnsi="宋体" w:eastAsia="宋体" w:cs="宋体"/>
          <w:i w:val="0"/>
          <w:iCs w:val="0"/>
          <w:caps w:val="0"/>
          <w:color w:val="auto"/>
          <w:spacing w:val="0"/>
          <w:sz w:val="24"/>
          <w:szCs w:val="24"/>
          <w:shd w:val="clear" w:fill="FFFFFF"/>
        </w:rPr>
        <w:t>（北京时间）</w:t>
      </w:r>
    </w:p>
    <w:p w14:paraId="6D39338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六、公告期限</w:t>
      </w:r>
    </w:p>
    <w:p w14:paraId="1FCF01E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七、其他补充事宜</w:t>
      </w:r>
    </w:p>
    <w:p w14:paraId="2834D71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获取须知：</w:t>
      </w:r>
      <w:r>
        <w:rPr>
          <w:rFonts w:hint="eastAsia" w:ascii="宋体" w:hAnsi="宋体" w:eastAsia="宋体" w:cs="宋体"/>
          <w:b w:val="0"/>
          <w:bCs w:val="0"/>
          <w:color w:val="auto"/>
          <w:sz w:val="24"/>
          <w:szCs w:val="24"/>
          <w:lang w:val="en-US" w:eastAsia="zh-CN"/>
        </w:rPr>
        <w:t>投标供应商请在文件获取时间以内将单位介绍信(备注经办人联系电话及电子邮箱)及身份证复印件加盖公章递交至安康</w:t>
      </w:r>
      <w:r>
        <w:rPr>
          <w:rFonts w:hint="eastAsia" w:ascii="宋体" w:hAnsi="宋体" w:cs="宋体"/>
          <w:b w:val="0"/>
          <w:bCs w:val="0"/>
          <w:color w:val="auto"/>
          <w:sz w:val="24"/>
          <w:szCs w:val="24"/>
          <w:lang w:val="en-US" w:eastAsia="zh-CN"/>
        </w:rPr>
        <w:t>尚昊</w:t>
      </w:r>
      <w:r>
        <w:rPr>
          <w:rFonts w:hint="eastAsia" w:ascii="宋体" w:hAnsi="宋体" w:eastAsia="宋体" w:cs="宋体"/>
          <w:b w:val="0"/>
          <w:bCs w:val="0"/>
          <w:color w:val="auto"/>
          <w:sz w:val="24"/>
          <w:szCs w:val="24"/>
          <w:lang w:val="en-US" w:eastAsia="zh-CN"/>
        </w:rPr>
        <w:t>招标代理有限公司。</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安康市中医医院</w:t>
      </w:r>
    </w:p>
    <w:p w14:paraId="2B020AE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cs="宋体"/>
          <w:color w:val="000000" w:themeColor="text1"/>
          <w:kern w:val="0"/>
          <w:sz w:val="24"/>
          <w:szCs w:val="24"/>
          <w14:textFill>
            <w14:solidFill>
              <w14:schemeClr w14:val="tx1"/>
            </w14:solidFill>
          </w14:textFill>
        </w:rPr>
        <w:t>安康市汉滨区巴山东路47号</w:t>
      </w:r>
    </w:p>
    <w:p w14:paraId="09840E5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r>
        <w:rPr>
          <w:rFonts w:hint="eastAsia" w:cs="宋体"/>
          <w:i w:val="0"/>
          <w:iCs w:val="0"/>
          <w:caps w:val="0"/>
          <w:color w:val="auto"/>
          <w:spacing w:val="0"/>
          <w:sz w:val="24"/>
          <w:szCs w:val="24"/>
          <w:shd w:val="clear" w:fill="FFFFFF"/>
          <w:lang w:val="en-US" w:eastAsia="zh-CN"/>
        </w:rPr>
        <w:t>0915-8183617</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4"/>
          <w:szCs w:val="24"/>
          <w:shd w:val="clear" w:fill="FFFFFF"/>
        </w:rPr>
        <w:t>电话：13991519725</w:t>
      </w:r>
    </w:p>
    <w:p w14:paraId="377ECB47">
      <w:pPr>
        <w:pStyle w:val="4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auto"/>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安康尚昊招标代理有限公司</w:t>
      </w:r>
    </w:p>
    <w:p w14:paraId="4FCA8014">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2026年</w:t>
      </w:r>
      <w:r>
        <w:rPr>
          <w:rFonts w:hint="eastAsia" w:ascii="宋体" w:hAnsi="宋体"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9</w:t>
      </w:r>
      <w:r>
        <w:rPr>
          <w:rFonts w:hint="eastAsia" w:ascii="宋体" w:hAnsi="宋体" w:eastAsia="宋体" w:cs="宋体"/>
          <w:color w:val="000000" w:themeColor="text1"/>
          <w:kern w:val="0"/>
          <w:sz w:val="24"/>
          <w:szCs w:val="24"/>
          <w:lang w:val="en-US" w:eastAsia="zh-CN" w:bidi="ar-SA"/>
          <w14:textFill>
            <w14:solidFill>
              <w14:schemeClr w14:val="tx1"/>
            </w14:solidFill>
          </w14:textFill>
        </w:rPr>
        <w:t>日</w:t>
      </w:r>
    </w:p>
    <w:p w14:paraId="718619CF">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docGrid w:type="lines" w:linePitch="326" w:charSpace="0"/>
        </w:sectPr>
      </w:pPr>
      <w:bookmarkStart w:id="16" w:name="_Toc19543334"/>
    </w:p>
    <w:p w14:paraId="2841CB10">
      <w:pPr>
        <w:pStyle w:val="2"/>
        <w:spacing w:line="360" w:lineRule="auto"/>
        <w:rPr>
          <w:rFonts w:ascii="宋体" w:hAnsi="宋体" w:cs="宋体"/>
          <w:color w:val="auto"/>
        </w:rPr>
      </w:pPr>
      <w:bookmarkStart w:id="17" w:name="_Toc23343"/>
      <w:r>
        <w:rPr>
          <w:rFonts w:hint="eastAsia"/>
          <w:color w:val="auto"/>
        </w:rPr>
        <w:t>第二部分</w:t>
      </w:r>
      <w:r>
        <w:rPr>
          <w:color w:val="auto"/>
        </w:rPr>
        <w:t xml:space="preserve">  </w:t>
      </w:r>
      <w:r>
        <w:rPr>
          <w:rFonts w:hint="eastAsia"/>
          <w:color w:val="auto"/>
        </w:rPr>
        <w:t>供应商须知前附表</w:t>
      </w:r>
      <w:bookmarkEnd w:id="6"/>
      <w:bookmarkEnd w:id="7"/>
      <w:bookmarkEnd w:id="11"/>
      <w:bookmarkEnd w:id="12"/>
      <w:bookmarkEnd w:id="13"/>
      <w:bookmarkEnd w:id="14"/>
      <w:bookmarkEnd w:id="15"/>
      <w:bookmarkEnd w:id="16"/>
      <w:bookmarkEnd w:id="17"/>
    </w:p>
    <w:tbl>
      <w:tblPr>
        <w:tblStyle w:val="80"/>
        <w:tblW w:w="9643" w:type="dxa"/>
        <w:jc w:val="center"/>
        <w:tblLayout w:type="fixed"/>
        <w:tblCellMar>
          <w:top w:w="147" w:type="dxa"/>
          <w:left w:w="108" w:type="dxa"/>
          <w:bottom w:w="56" w:type="dxa"/>
          <w:right w:w="0" w:type="dxa"/>
        </w:tblCellMar>
      </w:tblPr>
      <w:tblGrid>
        <w:gridCol w:w="704"/>
        <w:gridCol w:w="1990"/>
        <w:gridCol w:w="6949"/>
      </w:tblGrid>
      <w:tr w14:paraId="310A0AD9">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119A212">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6F91ABD6">
            <w:pPr>
              <w:spacing w:line="259" w:lineRule="auto"/>
              <w:ind w:right="310"/>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612D8DC6">
            <w:pPr>
              <w:spacing w:line="259" w:lineRule="auto"/>
              <w:ind w:left="840" w:right="111" w:firstLine="1680" w:firstLineChars="700"/>
              <w:jc w:val="both"/>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4B88077C">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ABF6597">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0BE945C">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2C91EDF0">
            <w:pPr>
              <w:spacing w:line="259" w:lineRule="auto"/>
              <w:rPr>
                <w:rFonts w:hint="default" w:asciiTheme="minorEastAsia" w:hAnsiTheme="minorEastAsia" w:eastAsiaTheme="minorEastAsia"/>
                <w:color w:val="auto"/>
                <w:sz w:val="24"/>
                <w:szCs w:val="24"/>
                <w:lang w:val="en-US" w:eastAsia="zh-CN"/>
              </w:rPr>
            </w:pPr>
            <w:r>
              <w:rPr>
                <w:rFonts w:hint="eastAsia" w:ascii="宋体" w:hAnsi="宋体" w:cs="宋体"/>
                <w:color w:val="auto"/>
                <w:kern w:val="0"/>
                <w:sz w:val="24"/>
                <w:szCs w:val="24"/>
                <w:lang w:eastAsia="zh-CN"/>
              </w:rPr>
              <w:t>安康市中医医院</w:t>
            </w:r>
          </w:p>
        </w:tc>
      </w:tr>
      <w:tr w14:paraId="320D3FE1">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A935DD0">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72954CE">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1600E7B">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4B3A0381">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5962679">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DCE8247">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39486ACF">
            <w:pPr>
              <w:pStyle w:val="79"/>
              <w:widowControl/>
              <w:snapToGrid w:val="0"/>
              <w:spacing w:line="400" w:lineRule="exact"/>
              <w:ind w:firstLine="0" w:firstLineChars="0"/>
              <w:jc w:val="left"/>
              <w:rPr>
                <w:rFonts w:asciiTheme="minorEastAsia" w:hAnsiTheme="minorEastAsia" w:eastAsiaTheme="minorEastAsia"/>
                <w:color w:val="auto"/>
                <w:sz w:val="24"/>
                <w:szCs w:val="24"/>
              </w:rPr>
            </w:pPr>
            <w:r>
              <w:rPr>
                <w:rFonts w:ascii="宋体" w:hAnsi="宋体" w:cs="Times New Roman"/>
                <w:color w:val="auto"/>
                <w:sz w:val="24"/>
                <w:szCs w:val="24"/>
              </w:rPr>
              <mc:AlternateContent>
                <mc:Choice Requires="wps">
                  <w:drawing>
                    <wp:anchor distT="0" distB="0" distL="114300" distR="114300" simplePos="0" relativeHeight="251661312"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1312;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auto"/>
                <w:sz w:val="24"/>
                <w:szCs w:val="24"/>
                <w:lang w:eastAsia="zh-CN"/>
              </w:rPr>
              <w:t>安康市中医医院电力系统安全管理维保服务项目</w:t>
            </w:r>
            <w:r>
              <w:rPr>
                <w:rFonts w:hint="eastAsia" w:ascii="宋体" w:hAnsi="宋体" w:cs="Times New Roman"/>
                <w:color w:val="auto"/>
                <w:sz w:val="24"/>
                <w:szCs w:val="24"/>
              </w:rPr>
              <w:t xml:space="preserve"> </w:t>
            </w:r>
          </w:p>
        </w:tc>
      </w:tr>
      <w:tr w14:paraId="3E7A7356">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73A42F">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115C67E1">
            <w:pPr>
              <w:spacing w:line="259" w:lineRule="auto"/>
              <w:ind w:right="111"/>
              <w:jc w:val="center"/>
              <w:rPr>
                <w:rFonts w:hint="eastAsia" w:asciiTheme="minorEastAsia" w:hAnsiTheme="minorEastAsia" w:eastAsiaTheme="minorEastAsia"/>
                <w:color w:val="auto"/>
                <w:sz w:val="24"/>
                <w:szCs w:val="24"/>
              </w:rPr>
            </w:pPr>
          </w:p>
          <w:p w14:paraId="5D3622B6">
            <w:pPr>
              <w:spacing w:line="259"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w:t>
            </w:r>
            <w:r>
              <w:rPr>
                <w:rFonts w:asciiTheme="minorEastAsia" w:hAnsiTheme="minorEastAsia" w:eastAsiaTheme="minorEastAsia"/>
                <w:color w:val="auto"/>
                <w:sz w:val="24"/>
                <w:szCs w:val="24"/>
              </w:rPr>
              <w:t>内容</w:t>
            </w:r>
          </w:p>
        </w:tc>
        <w:tc>
          <w:tcPr>
            <w:tcW w:w="6949" w:type="dxa"/>
            <w:tcBorders>
              <w:top w:val="single" w:color="000000" w:sz="4" w:space="0"/>
              <w:left w:val="single" w:color="000000" w:sz="4" w:space="0"/>
              <w:bottom w:val="single" w:color="000000" w:sz="4" w:space="0"/>
              <w:right w:val="single" w:color="000000" w:sz="4" w:space="0"/>
            </w:tcBorders>
          </w:tcPr>
          <w:p w14:paraId="34C196C9">
            <w:pPr>
              <w:keepNext w:val="0"/>
              <w:keepLines w:val="0"/>
              <w:pageBreakBefore w:val="0"/>
              <w:widowControl/>
              <w:kinsoku/>
              <w:wordWrap/>
              <w:overflowPunct/>
              <w:topLinePunct w:val="0"/>
              <w:autoSpaceDE/>
              <w:autoSpaceDN/>
              <w:bidi w:val="0"/>
              <w:adjustRightInd/>
              <w:snapToGrid w:val="0"/>
              <w:spacing w:line="500" w:lineRule="exact"/>
              <w:jc w:val="left"/>
              <w:textAlignment w:val="auto"/>
              <w:rPr>
                <w:rFonts w:cs="宋体" w:asciiTheme="minorEastAsia" w:hAnsiTheme="minorEastAsia" w:eastAsiaTheme="minorEastAsia"/>
                <w:color w:val="auto"/>
                <w:kern w:val="0"/>
                <w:sz w:val="24"/>
                <w:szCs w:val="24"/>
              </w:rPr>
            </w:pPr>
            <w:r>
              <w:rPr>
                <w:rFonts w:hint="eastAsia" w:ascii="宋体" w:hAnsi="宋体" w:cs="宋体"/>
                <w:color w:val="auto"/>
                <w:kern w:val="0"/>
                <w:sz w:val="24"/>
                <w:szCs w:val="24"/>
                <w:lang w:eastAsia="zh-CN"/>
              </w:rPr>
              <w:t>安康市中医医院电力系统安全管理维保服务项目</w:t>
            </w:r>
            <w:r>
              <w:rPr>
                <w:rFonts w:hint="eastAsia" w:ascii="宋体" w:hAnsi="宋体" w:eastAsia="宋体" w:cs="宋体"/>
                <w:color w:val="auto"/>
                <w:kern w:val="0"/>
                <w:sz w:val="24"/>
                <w:szCs w:val="24"/>
                <w:lang w:val="en-US" w:eastAsia="zh-CN"/>
              </w:rPr>
              <w:t>1项；技术要求详见磋商文件第五部分“采购内容及要求”</w:t>
            </w:r>
          </w:p>
        </w:tc>
      </w:tr>
      <w:tr w14:paraId="71120127">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66E663">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2A55019C">
            <w:pPr>
              <w:spacing w:line="259" w:lineRule="auto"/>
              <w:ind w:right="111"/>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预算金额</w:t>
            </w:r>
          </w:p>
        </w:tc>
        <w:tc>
          <w:tcPr>
            <w:tcW w:w="6949" w:type="dxa"/>
            <w:tcBorders>
              <w:top w:val="single" w:color="000000" w:sz="4" w:space="0"/>
              <w:left w:val="single" w:color="000000" w:sz="4" w:space="0"/>
              <w:bottom w:val="single" w:color="000000" w:sz="4" w:space="0"/>
              <w:right w:val="single" w:color="000000" w:sz="4" w:space="0"/>
            </w:tcBorders>
          </w:tcPr>
          <w:p w14:paraId="32B97830">
            <w:pPr>
              <w:spacing w:line="259"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140000.00元</w:t>
            </w:r>
          </w:p>
        </w:tc>
      </w:tr>
      <w:tr w14:paraId="246B0A38">
        <w:tblPrEx>
          <w:tblCellMar>
            <w:top w:w="147" w:type="dxa"/>
            <w:left w:w="108" w:type="dxa"/>
            <w:bottom w:w="56" w:type="dxa"/>
            <w:right w:w="0" w:type="dxa"/>
          </w:tblCellMar>
        </w:tblPrEx>
        <w:trPr>
          <w:trHeight w:val="554"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2E005BC">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6BFBA530">
            <w:pPr>
              <w:widowControl/>
              <w:tabs>
                <w:tab w:val="left" w:pos="1620"/>
              </w:tabs>
              <w:snapToGrid w:val="0"/>
              <w:spacing w:line="400" w:lineRule="exact"/>
              <w:jc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最高限价</w:t>
            </w:r>
          </w:p>
        </w:tc>
        <w:tc>
          <w:tcPr>
            <w:tcW w:w="6949" w:type="dxa"/>
            <w:tcBorders>
              <w:top w:val="single" w:color="000000" w:sz="4" w:space="0"/>
              <w:left w:val="single" w:color="000000" w:sz="4" w:space="0"/>
              <w:bottom w:val="single" w:color="000000" w:sz="4" w:space="0"/>
              <w:right w:val="single" w:color="000000" w:sz="4" w:space="0"/>
            </w:tcBorders>
            <w:vAlign w:val="center"/>
          </w:tcPr>
          <w:p w14:paraId="53989C7D">
            <w:pPr>
              <w:widowControl/>
              <w:tabs>
                <w:tab w:val="left" w:pos="1620"/>
              </w:tabs>
              <w:snapToGrid w:val="0"/>
              <w:spacing w:line="400" w:lineRule="exact"/>
              <w:jc w:val="both"/>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132600.00元</w:t>
            </w:r>
          </w:p>
        </w:tc>
      </w:tr>
      <w:tr w14:paraId="5340B2BB">
        <w:tblPrEx>
          <w:tblCellMar>
            <w:top w:w="147" w:type="dxa"/>
            <w:left w:w="108" w:type="dxa"/>
            <w:bottom w:w="56" w:type="dxa"/>
            <w:right w:w="0" w:type="dxa"/>
          </w:tblCellMar>
        </w:tblPrEx>
        <w:trPr>
          <w:trHeight w:val="68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90ADC9A">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DC08617">
            <w:pPr>
              <w:widowControl/>
              <w:tabs>
                <w:tab w:val="left" w:pos="1620"/>
              </w:tabs>
              <w:snapToGrid w:val="0"/>
              <w:spacing w:line="400" w:lineRule="exact"/>
              <w:jc w:val="center"/>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合同履行期限</w:t>
            </w:r>
          </w:p>
        </w:tc>
        <w:tc>
          <w:tcPr>
            <w:tcW w:w="6949" w:type="dxa"/>
            <w:tcBorders>
              <w:top w:val="single" w:color="000000" w:sz="4" w:space="0"/>
              <w:left w:val="single" w:color="000000" w:sz="4" w:space="0"/>
              <w:bottom w:val="single" w:color="000000" w:sz="4" w:space="0"/>
              <w:right w:val="single" w:color="000000" w:sz="4" w:space="0"/>
            </w:tcBorders>
            <w:vAlign w:val="center"/>
          </w:tcPr>
          <w:p w14:paraId="6AC8DE5E">
            <w:pPr>
              <w:widowControl/>
              <w:tabs>
                <w:tab w:val="left" w:pos="1620"/>
              </w:tabs>
              <w:snapToGrid w:val="0"/>
              <w:spacing w:line="400" w:lineRule="exact"/>
              <w:jc w:val="both"/>
              <w:rPr>
                <w:rFonts w:hint="default" w:cs="宋体" w:asciiTheme="minorEastAsia" w:hAnsiTheme="minorEastAsia" w:eastAsiaTheme="minorEastAsia"/>
                <w:color w:val="000000" w:themeColor="text1"/>
                <w:kern w:val="0"/>
                <w:sz w:val="24"/>
                <w:szCs w:val="24"/>
                <w:highlight w:val="yellow"/>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自合同签订生效之日起一年</w:t>
            </w:r>
          </w:p>
        </w:tc>
      </w:tr>
      <w:tr w14:paraId="755D0A8C">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9F72CFD">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A2150F0">
            <w:pPr>
              <w:spacing w:line="360"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服务</w:t>
            </w:r>
            <w:r>
              <w:rPr>
                <w:rFonts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1C85E8F">
            <w:pPr>
              <w:spacing w:line="360" w:lineRule="auto"/>
              <w:jc w:val="left"/>
              <w:rPr>
                <w:rFonts w:ascii="宋体" w:hAnsi="宋体" w:cs="宋体"/>
                <w:color w:val="auto"/>
                <w:sz w:val="24"/>
                <w:szCs w:val="24"/>
              </w:rPr>
            </w:pPr>
            <w:r>
              <w:rPr>
                <w:rFonts w:hint="eastAsia" w:asciiTheme="minorEastAsia" w:hAnsiTheme="minorEastAsia" w:eastAsiaTheme="minorEastAsia"/>
                <w:color w:val="auto"/>
                <w:sz w:val="24"/>
                <w:szCs w:val="24"/>
              </w:rPr>
              <w:t>采购人指定地点</w:t>
            </w:r>
          </w:p>
        </w:tc>
      </w:tr>
      <w:tr w14:paraId="2E388D6C">
        <w:tblPrEx>
          <w:tblCellMar>
            <w:top w:w="147" w:type="dxa"/>
            <w:left w:w="108" w:type="dxa"/>
            <w:bottom w:w="56" w:type="dxa"/>
            <w:right w:w="0" w:type="dxa"/>
          </w:tblCellMar>
        </w:tblPrEx>
        <w:trPr>
          <w:trHeight w:val="54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8BF070">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249AF1EF">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7FE35C3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45F90FBB">
        <w:tblPrEx>
          <w:tblCellMar>
            <w:top w:w="147" w:type="dxa"/>
            <w:left w:w="108" w:type="dxa"/>
            <w:bottom w:w="56" w:type="dxa"/>
            <w:right w:w="0" w:type="dxa"/>
          </w:tblCellMar>
        </w:tblPrEx>
        <w:trPr>
          <w:trHeight w:val="330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3065E8">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2BAF59">
            <w:pPr>
              <w:spacing w:line="259" w:lineRule="auto"/>
              <w:ind w:right="29"/>
              <w:jc w:val="center"/>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投标人资格要求</w:t>
            </w:r>
          </w:p>
        </w:tc>
        <w:tc>
          <w:tcPr>
            <w:tcW w:w="6949" w:type="dxa"/>
            <w:tcBorders>
              <w:top w:val="single" w:color="000000" w:sz="4" w:space="0"/>
              <w:left w:val="single" w:color="000000" w:sz="4" w:space="0"/>
              <w:bottom w:val="single" w:color="000000" w:sz="4" w:space="0"/>
              <w:right w:val="single" w:color="000000" w:sz="4" w:space="0"/>
            </w:tcBorders>
          </w:tcPr>
          <w:p w14:paraId="72AA452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3E201FE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1060C03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7D693E2B">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08CB1CB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53B7E2C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提供2026年1月至今任意一个月缴纳的纳税证明或完税证明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159A12C2">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提供2026年1月至今任意一个月社会保障资金缴存单据或社保机构开具的社会保险参保缴费情况证明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698CE637">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（8）供应商具有国家行政主管部门颁发的承修（试）电力施工许可证（承修类三级、承试类三级)或以上资质，同时具备有效的安全生产许可证。</w:t>
            </w:r>
          </w:p>
          <w:p w14:paraId="1EE4CCC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9</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0944A547">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10</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2CE3FBA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（11）本项目专门面向中小企业采购，投标人须提供《中小企业声明函》。</w:t>
            </w:r>
          </w:p>
          <w:p w14:paraId="56A8F50E">
            <w:pPr>
              <w:spacing w:after="50" w:line="292" w:lineRule="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auto"/>
                <w:kern w:val="0"/>
                <w:sz w:val="24"/>
                <w:szCs w:val="24"/>
              </w:rPr>
              <w:t>。</w:t>
            </w:r>
          </w:p>
        </w:tc>
      </w:tr>
      <w:tr w14:paraId="550B7511">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83D462B">
            <w:pPr>
              <w:pStyle w:val="79"/>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39B7F6C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61A20432">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57A2271">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不接受联合体磋商</w:t>
            </w:r>
          </w:p>
        </w:tc>
      </w:tr>
      <w:tr w14:paraId="7F9E6588">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787C463">
            <w:pPr>
              <w:pStyle w:val="79"/>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57F8DA1">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180D756A">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自行勘察，未勘察现场造成的一切后果由投标人自行承担（一切费用自理）。</w:t>
            </w:r>
          </w:p>
        </w:tc>
      </w:tr>
      <w:tr w14:paraId="61DD4EEC">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45BDA6">
            <w:pPr>
              <w:pStyle w:val="79"/>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5E04425">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5172647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lang w:val="en-US" w:eastAsia="zh-CN"/>
              </w:rPr>
              <w:t>2026</w:t>
            </w:r>
            <w:r>
              <w:rPr>
                <w:rFonts w:asciiTheme="minorEastAsia" w:hAnsiTheme="minorEastAsia" w:eastAsiaTheme="minorEastAsia"/>
                <w:color w:val="auto"/>
                <w:sz w:val="24"/>
                <w:szCs w:val="24"/>
                <w:lang w:eastAsia="zh-CN"/>
              </w:rPr>
              <w:t>年</w:t>
            </w:r>
            <w:r>
              <w:rPr>
                <w:rFonts w:hint="eastAsia" w:asciiTheme="minorEastAsia" w:hAnsiTheme="minorEastAsia" w:eastAsiaTheme="minorEastAsia"/>
                <w:color w:val="auto"/>
                <w:sz w:val="24"/>
                <w:szCs w:val="24"/>
                <w:lang w:val="en-US" w:eastAsia="zh-CN"/>
              </w:rPr>
              <w:t>9</w:t>
            </w:r>
            <w:r>
              <w:rPr>
                <w:rFonts w:asciiTheme="minorEastAsia" w:hAnsiTheme="minorEastAsia" w:eastAsiaTheme="minorEastAsia"/>
                <w:color w:val="auto"/>
                <w:sz w:val="24"/>
                <w:szCs w:val="24"/>
                <w:lang w:eastAsia="zh-CN"/>
              </w:rPr>
              <w:t>月</w:t>
            </w:r>
            <w:r>
              <w:rPr>
                <w:rFonts w:hint="eastAsia" w:asciiTheme="minorEastAsia" w:hAnsiTheme="minorEastAsia" w:eastAsiaTheme="minorEastAsia"/>
                <w:color w:val="auto"/>
                <w:sz w:val="24"/>
                <w:szCs w:val="24"/>
                <w:lang w:val="en-US" w:eastAsia="zh-CN"/>
              </w:rPr>
              <w:t>20</w:t>
            </w:r>
            <w:r>
              <w:rPr>
                <w:rFonts w:asciiTheme="minorEastAsia" w:hAnsiTheme="minorEastAsia" w:eastAsiaTheme="minorEastAsia"/>
                <w:color w:val="auto"/>
                <w:sz w:val="24"/>
                <w:szCs w:val="24"/>
                <w:lang w:eastAsia="zh-CN"/>
              </w:rPr>
              <w:t>日</w:t>
            </w:r>
            <w:r>
              <w:rPr>
                <w:rFonts w:hint="eastAsia" w:asciiTheme="minorEastAsia" w:hAnsiTheme="minorEastAsia" w:eastAsiaTheme="minorEastAsia"/>
                <w:color w:val="auto"/>
                <w:sz w:val="24"/>
                <w:szCs w:val="24"/>
                <w:lang w:val="en-US" w:eastAsia="zh-CN"/>
              </w:rPr>
              <w:t>09</w:t>
            </w:r>
            <w:r>
              <w:rPr>
                <w:rFonts w:asciiTheme="minorEastAsia" w:hAnsiTheme="minorEastAsia" w:eastAsiaTheme="minorEastAsia"/>
                <w:color w:val="auto"/>
                <w:sz w:val="24"/>
                <w:szCs w:val="24"/>
                <w:lang w:eastAsia="zh-CN"/>
              </w:rPr>
              <w:t>时</w:t>
            </w:r>
            <w:r>
              <w:rPr>
                <w:rFonts w:hint="eastAsia" w:asciiTheme="minorEastAsia" w:hAnsiTheme="minorEastAsia" w:eastAsiaTheme="minorEastAsia"/>
                <w:color w:val="auto"/>
                <w:sz w:val="24"/>
                <w:szCs w:val="24"/>
                <w:lang w:val="en-US" w:eastAsia="zh-CN"/>
              </w:rPr>
              <w:t>00</w:t>
            </w:r>
            <w:r>
              <w:rPr>
                <w:rFonts w:asciiTheme="minorEastAsia" w:hAnsiTheme="minorEastAsia" w:eastAsiaTheme="minorEastAsia"/>
                <w:color w:val="auto"/>
                <w:sz w:val="24"/>
                <w:szCs w:val="24"/>
                <w:lang w:eastAsia="zh-CN"/>
              </w:rPr>
              <w:t>分</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2CCF2EBD">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宋体" w:hAnsi="宋体" w:cs="宋体"/>
                <w:color w:val="auto"/>
                <w:kern w:val="0"/>
                <w:sz w:val="24"/>
                <w:szCs w:val="24"/>
              </w:rPr>
              <w:t>安康市高新区高新观澜8幢2单元801室</w:t>
            </w:r>
          </w:p>
          <w:p w14:paraId="266723B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（如有变动，另行通知） </w:t>
            </w:r>
          </w:p>
        </w:tc>
      </w:tr>
      <w:tr w14:paraId="5E462C57">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307250">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73F74123">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磋商响应文件递交截止时间地点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7A7A2FF7">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递交截止时间：2026年9月20日09时00分止</w:t>
            </w:r>
          </w:p>
          <w:p w14:paraId="052EB5A3">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递交地点：</w:t>
            </w:r>
            <w:r>
              <w:rPr>
                <w:rFonts w:hint="eastAsia" w:ascii="宋体" w:hAnsi="宋体" w:cs="宋体"/>
                <w:color w:val="auto"/>
                <w:kern w:val="0"/>
                <w:sz w:val="24"/>
                <w:szCs w:val="24"/>
              </w:rPr>
              <w:t>安康市高新区高新观澜8幢2单元801室</w:t>
            </w:r>
            <w:r>
              <w:rPr>
                <w:rFonts w:hint="eastAsia" w:ascii="宋体" w:hAnsi="宋体" w:eastAsia="宋体" w:cs="宋体"/>
                <w:color w:val="auto"/>
                <w:kern w:val="2"/>
                <w:sz w:val="24"/>
                <w:szCs w:val="24"/>
                <w:lang w:val="en-US" w:eastAsia="zh-CN" w:bidi="ar-SA"/>
              </w:rPr>
              <w:t xml:space="preserve">  </w:t>
            </w:r>
          </w:p>
        </w:tc>
      </w:tr>
      <w:tr w14:paraId="662A5473">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5B46FF">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2A4EE967">
            <w:pPr>
              <w:spacing w:line="259"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399660C4">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90日历天（从提交响应文件日起计算） </w:t>
            </w:r>
          </w:p>
        </w:tc>
      </w:tr>
      <w:tr w14:paraId="2D9E0E8D">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F7D7535">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9CC82A">
            <w:pPr>
              <w:spacing w:line="259" w:lineRule="auto"/>
              <w:jc w:val="center"/>
              <w:rPr>
                <w:rFonts w:hint="eastAsia" w:ascii="宋体" w:hAnsi="宋体" w:eastAsia="宋体" w:cs="宋体"/>
                <w:color w:val="auto"/>
                <w:kern w:val="2"/>
                <w:sz w:val="24"/>
                <w:szCs w:val="24"/>
                <w:lang w:val="en-US" w:eastAsia="zh-CN" w:bidi="ar-SA"/>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vAlign w:val="top"/>
          </w:tcPr>
          <w:p w14:paraId="671F816C">
            <w:pPr>
              <w:spacing w:line="259" w:lineRule="auto"/>
              <w:rPr>
                <w:rFonts w:hint="eastAsia" w:ascii="宋体" w:hAnsi="宋体" w:cs="宋体" w:eastAsiaTheme="minorEastAsia"/>
                <w:color w:val="auto"/>
                <w:kern w:val="2"/>
                <w:sz w:val="24"/>
                <w:szCs w:val="24"/>
                <w:lang w:val="en-US" w:eastAsia="zh-CN" w:bidi="ar-SA"/>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lang w:eastAsia="zh-CN"/>
              </w:rPr>
              <w:t>电子版（U盘）壹份</w:t>
            </w:r>
          </w:p>
        </w:tc>
      </w:tr>
      <w:tr w14:paraId="77460B6A">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70EBE5F">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F39A8F1">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auto"/>
                <w:kern w:val="0"/>
                <w:sz w:val="24"/>
                <w:szCs w:val="24"/>
              </w:rPr>
            </w:pPr>
            <w:r>
              <w:rPr>
                <w:rFonts w:hint="eastAsia" w:ascii="宋体" w:hAnsi="宋体"/>
                <w:color w:val="auto"/>
                <w:kern w:val="0"/>
                <w:sz w:val="24"/>
                <w:szCs w:val="24"/>
                <w:lang w:val="en-US" w:eastAsia="zh-CN"/>
              </w:rPr>
              <w:t>响应</w:t>
            </w:r>
            <w:r>
              <w:rPr>
                <w:rFonts w:hint="eastAsia" w:ascii="宋体" w:hAnsi="宋体"/>
                <w:color w:val="auto"/>
                <w:kern w:val="0"/>
                <w:sz w:val="24"/>
                <w:szCs w:val="24"/>
              </w:rPr>
              <w:t>文件</w:t>
            </w:r>
          </w:p>
          <w:p w14:paraId="1821D7C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eastAsia="宋体" w:cs="宋体"/>
                <w:color w:val="auto"/>
                <w:sz w:val="24"/>
                <w:szCs w:val="24"/>
                <w:lang w:val="en-US" w:eastAsia="zh-CN"/>
              </w:rPr>
            </w:pPr>
            <w:r>
              <w:rPr>
                <w:rFonts w:hint="eastAsia" w:ascii="宋体" w:hAnsi="宋体"/>
                <w:color w:val="auto"/>
                <w:kern w:val="0"/>
                <w:sz w:val="24"/>
                <w:szCs w:val="24"/>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636AF87E">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eastAsia="宋体" w:cs="宋体"/>
                <w:color w:val="auto"/>
                <w:sz w:val="24"/>
                <w:szCs w:val="24"/>
                <w:lang w:val="en-US" w:eastAsia="zh-CN"/>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cs="Times New Roman" w:asciiTheme="minorEastAsia" w:hAnsiTheme="minorEastAsia" w:eastAsiaTheme="minorEastAsia"/>
                <w:color w:val="auto"/>
                <w:kern w:val="0"/>
                <w:sz w:val="24"/>
                <w:szCs w:val="24"/>
                <w:lang w:val="en-US" w:eastAsia="zh-CN"/>
              </w:rPr>
              <w:t xml:space="preserve"> </w:t>
            </w:r>
          </w:p>
        </w:tc>
      </w:tr>
      <w:tr w14:paraId="0266F9B0">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24FFB46">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65D532B">
            <w:pPr>
              <w:spacing w:line="259" w:lineRule="auto"/>
              <w:ind w:right="11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评分办法</w:t>
            </w:r>
          </w:p>
        </w:tc>
        <w:tc>
          <w:tcPr>
            <w:tcW w:w="6949" w:type="dxa"/>
            <w:tcBorders>
              <w:top w:val="single" w:color="000000" w:sz="4" w:space="0"/>
              <w:left w:val="single" w:color="000000" w:sz="4" w:space="0"/>
              <w:bottom w:val="single" w:color="000000" w:sz="4" w:space="0"/>
              <w:right w:val="single" w:color="000000" w:sz="4" w:space="0"/>
            </w:tcBorders>
          </w:tcPr>
          <w:p w14:paraId="357BC5C0">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综合评分法 </w:t>
            </w:r>
          </w:p>
        </w:tc>
      </w:tr>
      <w:tr w14:paraId="101B8D04">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DD27697">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6F7A7B">
            <w:pPr>
              <w:spacing w:line="259"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6C1390F">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根据《中华人民共和国政府采购法》《政府采购</w:t>
            </w:r>
            <w:r>
              <w:rPr>
                <w:rFonts w:hint="eastAsia" w:ascii="宋体" w:hAnsi="宋体" w:cs="宋体"/>
                <w:color w:val="auto"/>
                <w:kern w:val="2"/>
                <w:sz w:val="24"/>
                <w:szCs w:val="24"/>
                <w:lang w:val="en-US" w:eastAsia="zh-CN" w:bidi="ar-SA"/>
              </w:rPr>
              <w:t>竞争性磋商采购方式管理暂行办法</w:t>
            </w:r>
            <w:r>
              <w:rPr>
                <w:rFonts w:hint="eastAsia" w:ascii="宋体" w:hAnsi="宋体" w:eastAsia="宋体" w:cs="宋体"/>
                <w:color w:val="auto"/>
                <w:kern w:val="2"/>
                <w:sz w:val="24"/>
                <w:szCs w:val="24"/>
                <w:lang w:val="en-US" w:eastAsia="zh-CN" w:bidi="ar-SA"/>
              </w:rPr>
              <w:t>》等有关法律规定组建磋商小组</w:t>
            </w:r>
          </w:p>
        </w:tc>
      </w:tr>
      <w:tr w14:paraId="66DE44B3">
        <w:tblPrEx>
          <w:tblCellMar>
            <w:top w:w="147" w:type="dxa"/>
            <w:left w:w="108" w:type="dxa"/>
            <w:bottom w:w="56" w:type="dxa"/>
            <w:right w:w="0" w:type="dxa"/>
          </w:tblCellMar>
        </w:tblPrEx>
        <w:trPr>
          <w:trHeight w:val="40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F53CA9">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69B9CB5">
            <w:pPr>
              <w:spacing w:line="259" w:lineRule="auto"/>
              <w:ind w:right="111"/>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5535166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bidi="ar-SA"/>
                <w14:textFill>
                  <w14:solidFill>
                    <w14:schemeClr w14:val="tx1"/>
                  </w14:solidFill>
                </w14:textFill>
              </w:rPr>
              <w:t>电力系统安全管理服务费按月考核结果结算，次月25日前甲方将上个月维保费用（节假日顺延）转账支付乙方，乙方需提供合规票据</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。付款时，乙方需提供甲方考核单，每月考核情况与服务费用挂钩。</w:t>
            </w:r>
          </w:p>
        </w:tc>
      </w:tr>
      <w:tr w14:paraId="3BBCF03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81EE4D">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184E32F2">
            <w:pPr>
              <w:spacing w:line="259" w:lineRule="auto"/>
              <w:ind w:right="109"/>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答疑</w:t>
            </w:r>
          </w:p>
        </w:tc>
        <w:tc>
          <w:tcPr>
            <w:tcW w:w="6949" w:type="dxa"/>
            <w:tcBorders>
              <w:top w:val="single" w:color="000000" w:sz="4" w:space="0"/>
              <w:left w:val="single" w:color="000000" w:sz="4" w:space="0"/>
              <w:bottom w:val="single" w:color="000000" w:sz="4" w:space="0"/>
              <w:right w:val="single" w:color="000000" w:sz="4" w:space="0"/>
            </w:tcBorders>
          </w:tcPr>
          <w:p w14:paraId="1CD3B2B1">
            <w:pPr>
              <w:spacing w:line="259" w:lineRule="auto"/>
              <w:ind w:right="-1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如有疑问，投标人需书面提出，经采购人收集问题后，统一答疑 </w:t>
            </w:r>
          </w:p>
        </w:tc>
      </w:tr>
      <w:tr w14:paraId="3345CAFB">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D6533F4">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bookmarkStart w:id="18" w:name="_Toc536429318"/>
            <w:bookmarkStart w:id="19" w:name="_Toc536429371"/>
            <w:bookmarkStart w:id="20" w:name="_Toc536202284"/>
            <w:bookmarkStart w:id="21" w:name="_Toc21495"/>
            <w:bookmarkStart w:id="22" w:name="_Toc536202378"/>
            <w:bookmarkStart w:id="23" w:name="_Toc19272"/>
          </w:p>
        </w:tc>
        <w:tc>
          <w:tcPr>
            <w:tcW w:w="1990" w:type="dxa"/>
            <w:tcBorders>
              <w:top w:val="single" w:color="000000" w:sz="4" w:space="0"/>
              <w:left w:val="single" w:color="000000" w:sz="4" w:space="0"/>
              <w:bottom w:val="single" w:color="000000" w:sz="4" w:space="0"/>
              <w:right w:val="single" w:color="000000" w:sz="4" w:space="0"/>
            </w:tcBorders>
            <w:vAlign w:val="center"/>
          </w:tcPr>
          <w:p w14:paraId="4D621834">
            <w:pPr>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其他说明事项</w:t>
            </w:r>
          </w:p>
        </w:tc>
        <w:tc>
          <w:tcPr>
            <w:tcW w:w="6949" w:type="dxa"/>
            <w:tcBorders>
              <w:top w:val="single" w:color="000000" w:sz="4" w:space="0"/>
              <w:left w:val="single" w:color="000000" w:sz="4" w:space="0"/>
              <w:bottom w:val="single" w:color="000000" w:sz="4" w:space="0"/>
              <w:right w:val="single" w:color="000000" w:sz="4" w:space="0"/>
            </w:tcBorders>
          </w:tcPr>
          <w:p w14:paraId="3FAA4A43">
            <w:pPr>
              <w:pageBreakBefore w:val="0"/>
              <w:kinsoku/>
              <w:wordWrap/>
              <w:overflowPunct/>
              <w:topLinePunct w:val="0"/>
              <w:autoSpaceDE/>
              <w:autoSpaceDN/>
              <w:bidi w:val="0"/>
              <w:adjustRightInd w:val="0"/>
              <w:snapToGrid w:val="0"/>
              <w:spacing w:line="460" w:lineRule="exact"/>
              <w:textAlignment w:val="auto"/>
              <w:rPr>
                <w:rFonts w:hint="eastAsia" w:ascii="宋体" w:hAnsi="宋体" w:cs="宋体"/>
                <w:b/>
                <w:bCs/>
                <w:color w:val="auto"/>
                <w:sz w:val="24"/>
                <w:szCs w:val="22"/>
                <w:highlight w:val="none"/>
                <w:lang w:val="en-US" w:eastAsia="zh-CN"/>
              </w:rPr>
            </w:pPr>
            <w:r>
              <w:rPr>
                <w:rFonts w:hint="eastAsia" w:ascii="宋体" w:hAnsi="宋体" w:eastAsia="宋体" w:cs="Times New Roman"/>
                <w:color w:val="auto"/>
                <w:sz w:val="24"/>
                <w:szCs w:val="24"/>
                <w:highlight w:val="none"/>
                <w:lang w:val="en-US" w:eastAsia="zh-CN"/>
              </w:rPr>
              <w:t>根据《中小企业划型标准规定》（工信部联企业〔2011〕300号），</w:t>
            </w:r>
          </w:p>
          <w:p w14:paraId="20861931">
            <w:pPr>
              <w:pageBreakBefore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本项目采购标的对应的中小企业划分标准所属行业为</w:t>
            </w:r>
            <w:r>
              <w:rPr>
                <w:rFonts w:hint="eastAsia" w:ascii="宋体" w:hAnsi="宋体" w:eastAsia="宋体" w:cs="宋体"/>
                <w:i w:val="0"/>
                <w:iCs w:val="0"/>
                <w:caps w:val="0"/>
                <w:color w:val="auto"/>
                <w:spacing w:val="0"/>
                <w:sz w:val="24"/>
                <w:szCs w:val="24"/>
                <w:highlight w:val="none"/>
                <w:shd w:val="clear" w:fill="FFFFFF"/>
              </w:rPr>
              <w:t>其他未列明行业</w:t>
            </w:r>
            <w:r>
              <w:rPr>
                <w:rFonts w:hint="eastAsia" w:ascii="宋体" w:hAnsi="宋体" w:eastAsia="宋体" w:cs="宋体"/>
                <w:i w:val="0"/>
                <w:iCs w:val="0"/>
                <w:caps w:val="0"/>
                <w:color w:val="auto"/>
                <w:spacing w:val="0"/>
                <w:sz w:val="24"/>
                <w:szCs w:val="24"/>
                <w:highlight w:val="none"/>
                <w:shd w:val="clear" w:fill="FFFFFF"/>
                <w:lang w:eastAsia="zh-CN"/>
              </w:rPr>
              <w:t>。</w:t>
            </w:r>
          </w:p>
          <w:p w14:paraId="6F7C4635">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aps w:val="0"/>
                <w:color w:val="auto"/>
                <w:spacing w:val="0"/>
                <w:sz w:val="24"/>
                <w:szCs w:val="24"/>
                <w:highlight w:val="none"/>
                <w:shd w:val="clear" w:fill="FFFFFF"/>
              </w:rPr>
              <w:t>其他未列明行业</w:t>
            </w:r>
            <w:r>
              <w:rPr>
                <w:rFonts w:hint="eastAsia" w:ascii="宋体" w:hAnsi="宋体" w:cs="宋体"/>
                <w:color w:val="auto"/>
                <w:sz w:val="24"/>
                <w:szCs w:val="22"/>
                <w:highlight w:val="none"/>
                <w:lang w:val="en-US" w:eastAsia="zh-CN"/>
              </w:rPr>
              <w:t>划型标准：</w:t>
            </w:r>
            <w:r>
              <w:rPr>
                <w:rFonts w:hint="eastAsia" w:ascii="宋体" w:hAnsi="宋体" w:eastAsia="宋体" w:cs="宋体"/>
                <w:i w:val="0"/>
                <w:iCs w:val="0"/>
                <w:caps w:val="0"/>
                <w:color w:val="auto"/>
                <w:spacing w:val="0"/>
                <w:sz w:val="24"/>
                <w:szCs w:val="24"/>
                <w:highlight w:val="none"/>
                <w:shd w:val="clear" w:fill="FFFFFF"/>
              </w:rPr>
              <w:t>从业人员300人以下的为中小微型企业。其中，从业人员100人及以上的为中型企业；从业人员10人及以上的为小型企业；从业人员10人以下的为微型企业。</w:t>
            </w:r>
          </w:p>
        </w:tc>
      </w:tr>
    </w:tbl>
    <w:p w14:paraId="5FBCF80A">
      <w:pPr>
        <w:pStyle w:val="13"/>
        <w:jc w:val="center"/>
        <w:rPr>
          <w:rFonts w:ascii="宋体"/>
          <w:color w:val="auto"/>
        </w:rPr>
      </w:pPr>
      <w:r>
        <w:rPr>
          <w:color w:val="auto"/>
        </w:rPr>
        <w:br w:type="page"/>
      </w:r>
      <w:bookmarkStart w:id="24" w:name="_Toc32193"/>
      <w:bookmarkStart w:id="25" w:name="_Toc19543335"/>
      <w:r>
        <w:rPr>
          <w:rFonts w:hint="eastAsia" w:ascii="Times New Roman" w:hAnsi="Times New Roman" w:eastAsia="宋体" w:cs="Times New Roman"/>
          <w:b/>
          <w:bCs/>
          <w:color w:val="auto"/>
          <w:kern w:val="44"/>
          <w:sz w:val="32"/>
          <w:szCs w:val="32"/>
          <w:lang w:val="en-US" w:eastAsia="zh-CN" w:bidi="ar-SA"/>
        </w:rPr>
        <w:t>第三部分   供应商须知</w:t>
      </w:r>
      <w:bookmarkEnd w:id="18"/>
      <w:bookmarkEnd w:id="19"/>
      <w:bookmarkEnd w:id="20"/>
      <w:bookmarkEnd w:id="21"/>
      <w:bookmarkEnd w:id="22"/>
      <w:bookmarkEnd w:id="23"/>
      <w:bookmarkEnd w:id="24"/>
      <w:bookmarkEnd w:id="25"/>
    </w:p>
    <w:p w14:paraId="0EA0AC95">
      <w:pPr>
        <w:widowControl/>
        <w:numPr>
          <w:ilvl w:val="0"/>
          <w:numId w:val="2"/>
        </w:numPr>
        <w:spacing w:line="400" w:lineRule="exact"/>
        <w:ind w:firstLine="643" w:firstLineChars="200"/>
        <w:jc w:val="center"/>
        <w:outlineLvl w:val="1"/>
        <w:rPr>
          <w:rFonts w:ascii="宋体" w:cs="Times New Roman"/>
          <w:b/>
          <w:bCs/>
          <w:color w:val="auto"/>
          <w:kern w:val="0"/>
          <w:sz w:val="32"/>
          <w:szCs w:val="32"/>
        </w:rPr>
      </w:pPr>
      <w:bookmarkStart w:id="26" w:name="_Toc536202285"/>
      <w:bookmarkStart w:id="27" w:name="_Toc536202379"/>
      <w:bookmarkStart w:id="28" w:name="_Toc19543336"/>
      <w:bookmarkStart w:id="29" w:name="_Toc26739"/>
      <w:bookmarkStart w:id="30" w:name="_Toc536429319"/>
      <w:bookmarkStart w:id="31" w:name="_Toc536429372"/>
      <w:bookmarkStart w:id="32" w:name="_Toc17059"/>
      <w:r>
        <w:rPr>
          <w:rFonts w:hint="eastAsia" w:ascii="宋体" w:hAnsi="宋体" w:cs="宋体"/>
          <w:b/>
          <w:bCs/>
          <w:color w:val="auto"/>
          <w:kern w:val="0"/>
          <w:sz w:val="32"/>
          <w:szCs w:val="32"/>
        </w:rPr>
        <w:t>总 则</w:t>
      </w:r>
      <w:bookmarkEnd w:id="26"/>
      <w:bookmarkEnd w:id="27"/>
      <w:bookmarkEnd w:id="28"/>
      <w:bookmarkEnd w:id="29"/>
      <w:bookmarkEnd w:id="30"/>
      <w:bookmarkEnd w:id="31"/>
      <w:bookmarkEnd w:id="32"/>
    </w:p>
    <w:p w14:paraId="1C128627">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cs="宋体"/>
          <w:b/>
          <w:bCs/>
          <w:color w:val="auto"/>
          <w:sz w:val="24"/>
          <w:szCs w:val="24"/>
        </w:rPr>
        <w:t>适用范围</w:t>
      </w:r>
    </w:p>
    <w:p w14:paraId="2FCFF41E">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1.1本磋商文件适用于本次采购活动的全过程。</w:t>
      </w:r>
    </w:p>
    <w:p w14:paraId="5235513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17511ADA">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cs="宋体"/>
          <w:b/>
          <w:bCs/>
          <w:color w:val="auto"/>
          <w:sz w:val="24"/>
          <w:szCs w:val="24"/>
        </w:rPr>
        <w:t>定义</w:t>
      </w:r>
    </w:p>
    <w:p w14:paraId="3C374D03">
      <w:pPr>
        <w:widowControl/>
        <w:snapToGrid w:val="0"/>
        <w:spacing w:line="360" w:lineRule="auto"/>
        <w:ind w:firstLine="480" w:firstLineChars="200"/>
        <w:jc w:val="left"/>
        <w:rPr>
          <w:rFonts w:hint="default" w:ascii="宋体" w:hAnsi="宋体" w:eastAsia="宋体" w:cs="宋体"/>
          <w:bCs/>
          <w:color w:val="auto"/>
          <w:sz w:val="24"/>
          <w:szCs w:val="24"/>
          <w:lang w:val="en-US" w:eastAsia="zh-CN"/>
        </w:rPr>
      </w:pPr>
      <w:r>
        <w:rPr>
          <w:rFonts w:hint="eastAsia" w:ascii="宋体" w:hAnsi="宋体" w:cs="宋体"/>
          <w:bCs/>
          <w:color w:val="auto"/>
          <w:sz w:val="24"/>
          <w:szCs w:val="24"/>
        </w:rPr>
        <w:t>2.1采购人：</w:t>
      </w:r>
      <w:r>
        <w:rPr>
          <w:rFonts w:hint="eastAsia" w:ascii="宋体" w:hAnsi="宋体" w:cs="宋体"/>
          <w:bCs/>
          <w:color w:val="auto"/>
          <w:sz w:val="24"/>
          <w:szCs w:val="24"/>
          <w:lang w:eastAsia="zh-CN"/>
        </w:rPr>
        <w:t>安康市中医医院</w:t>
      </w:r>
    </w:p>
    <w:p w14:paraId="0398293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2.2采购代理机构：安康尚昊招标代理有限公司</w:t>
      </w:r>
    </w:p>
    <w:p w14:paraId="4A4EA242">
      <w:pPr>
        <w:widowControl/>
        <w:snapToGrid w:val="0"/>
        <w:spacing w:line="336" w:lineRule="auto"/>
        <w:ind w:right="-90" w:rightChars="-43" w:firstLine="480" w:firstLineChars="200"/>
        <w:jc w:val="left"/>
        <w:rPr>
          <w:rFonts w:ascii="宋体" w:hAnsi="宋体" w:cs="宋体"/>
          <w:bCs/>
          <w:color w:val="auto"/>
          <w:sz w:val="24"/>
          <w:szCs w:val="24"/>
        </w:rPr>
      </w:pPr>
      <w:r>
        <w:rPr>
          <w:rFonts w:hint="eastAsia" w:ascii="宋体" w:hAnsi="宋体" w:cs="宋体"/>
          <w:bCs/>
          <w:color w:val="auto"/>
          <w:sz w:val="24"/>
          <w:szCs w:val="24"/>
        </w:rPr>
        <w:t>2.3监管机构：</w:t>
      </w:r>
      <w:r>
        <w:rPr>
          <w:rFonts w:hint="eastAsia" w:ascii="宋体" w:hAnsi="宋体" w:cs="宋体"/>
          <w:bCs/>
          <w:color w:val="auto"/>
          <w:sz w:val="24"/>
          <w:szCs w:val="24"/>
          <w:lang w:val="en-US" w:eastAsia="zh-CN"/>
        </w:rPr>
        <w:t>安康市</w:t>
      </w:r>
      <w:r>
        <w:rPr>
          <w:rFonts w:hint="eastAsia" w:ascii="宋体" w:hAnsi="宋体" w:cs="宋体"/>
          <w:bCs/>
          <w:color w:val="auto"/>
          <w:sz w:val="24"/>
          <w:szCs w:val="24"/>
        </w:rPr>
        <w:t>财政局</w:t>
      </w:r>
    </w:p>
    <w:p w14:paraId="3A7D65B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2.4供应商：指无条件接受磋商文件的各项要求，具备相应履约能力、具有《中华人民共和国政府采购法》第</w:t>
      </w:r>
      <w:r>
        <w:rPr>
          <w:rFonts w:hint="eastAsia" w:ascii="宋体" w:hAnsi="宋体" w:cs="宋体"/>
          <w:bCs/>
          <w:color w:val="auto"/>
          <w:sz w:val="24"/>
          <w:szCs w:val="24"/>
          <w:lang w:val="en-US" w:eastAsia="zh-CN"/>
        </w:rPr>
        <w:t>二十二</w:t>
      </w:r>
      <w:r>
        <w:rPr>
          <w:rFonts w:hint="eastAsia" w:ascii="宋体" w:hAnsi="宋体" w:cs="宋体"/>
          <w:bCs/>
          <w:color w:val="auto"/>
          <w:sz w:val="24"/>
          <w:szCs w:val="24"/>
        </w:rPr>
        <w:t>规定的相关条件并向磋商小组提交响应文件的</w:t>
      </w:r>
      <w:r>
        <w:rPr>
          <w:rFonts w:hint="eastAsia" w:ascii="宋体" w:hAnsi="宋体" w:eastAsia="宋体" w:cs="宋体"/>
          <w:bCs/>
          <w:color w:val="auto"/>
          <w:sz w:val="24"/>
          <w:szCs w:val="24"/>
        </w:rPr>
        <w:t>法人、其他组织或自然人</w:t>
      </w:r>
      <w:r>
        <w:rPr>
          <w:rFonts w:hint="eastAsia" w:ascii="宋体" w:hAnsi="宋体" w:cs="宋体"/>
          <w:bCs/>
          <w:color w:val="auto"/>
          <w:sz w:val="24"/>
          <w:szCs w:val="24"/>
        </w:rPr>
        <w:t>。</w:t>
      </w:r>
    </w:p>
    <w:p w14:paraId="6CE69F1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2.5货物：是指本次投标所需的各种形态和种类的物品。</w:t>
      </w:r>
    </w:p>
    <w:p w14:paraId="273D1870">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2.6服务：指除了货物和工</w:t>
      </w:r>
      <w:r>
        <w:rPr>
          <w:rFonts w:hint="eastAsia" w:ascii="宋体" w:hAnsi="宋体" w:cs="宋体"/>
          <w:b w:val="0"/>
          <w:bCs/>
          <w:color w:val="auto"/>
          <w:sz w:val="24"/>
          <w:szCs w:val="24"/>
        </w:rPr>
        <w:t>程外的其</w:t>
      </w:r>
      <w:r>
        <w:rPr>
          <w:rFonts w:hint="eastAsia" w:ascii="宋体" w:hAnsi="宋体" w:cs="宋体"/>
          <w:bCs/>
          <w:color w:val="auto"/>
          <w:sz w:val="24"/>
          <w:szCs w:val="24"/>
        </w:rPr>
        <w:t>他政府采购对象，包含除货物以外规定由供应商承担的与货物有关的辅助服务。</w:t>
      </w:r>
    </w:p>
    <w:p w14:paraId="28AB16A7">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3.</w:t>
      </w:r>
      <w:r>
        <w:rPr>
          <w:rFonts w:hint="eastAsia" w:ascii="宋体" w:hAnsi="宋体" w:cs="宋体"/>
          <w:b/>
          <w:bCs/>
          <w:color w:val="auto"/>
          <w:sz w:val="24"/>
          <w:szCs w:val="24"/>
        </w:rPr>
        <w:t>合格的供应商</w:t>
      </w:r>
    </w:p>
    <w:p w14:paraId="437FE05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3.1具有本项目生产、制造、加工、供应或实施能力，符合、承认并承诺履行本磋商文件各项规定的国内供应商。</w:t>
      </w:r>
    </w:p>
    <w:p w14:paraId="61D65D4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3.2供应商应遵守有关的国家</w:t>
      </w:r>
      <w:r>
        <w:rPr>
          <w:rFonts w:hint="eastAsia" w:ascii="宋体" w:hAnsi="宋体" w:cs="宋体"/>
          <w:bCs/>
          <w:color w:val="auto"/>
          <w:sz w:val="24"/>
          <w:szCs w:val="24"/>
          <w:lang w:eastAsia="zh-CN"/>
        </w:rPr>
        <w:t>法律法规</w:t>
      </w:r>
      <w:r>
        <w:rPr>
          <w:rFonts w:hint="eastAsia" w:ascii="宋体" w:hAnsi="宋体" w:cs="宋体"/>
          <w:bCs/>
          <w:color w:val="auto"/>
          <w:sz w:val="24"/>
          <w:szCs w:val="24"/>
        </w:rPr>
        <w:t>和条例，具备《中华人民共和国政府采购法》和本文件中规定的条件：</w:t>
      </w:r>
    </w:p>
    <w:p w14:paraId="1D571A33">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（1）具有独立承担民事责任的能力；</w:t>
      </w:r>
    </w:p>
    <w:p w14:paraId="46526163">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（2）具有良好的商业信誉和健全的财务会计制度；</w:t>
      </w:r>
    </w:p>
    <w:p w14:paraId="7E4AB686">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（3）具有履行合同所必需的产品和专业技术能力；</w:t>
      </w:r>
    </w:p>
    <w:p w14:paraId="78E68E07">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（4）具有依法缴纳税收和社会保障资金的良好记录；</w:t>
      </w:r>
    </w:p>
    <w:p w14:paraId="0F134B45">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（5）参加此项采购活动前三年内，在经营活动中没有重大违法记录；</w:t>
      </w:r>
    </w:p>
    <w:p w14:paraId="1E9B841E">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（6）法律、行政法规规定的其他条件。</w:t>
      </w:r>
    </w:p>
    <w:p w14:paraId="4567B7F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3.3供应商</w:t>
      </w:r>
      <w:r>
        <w:rPr>
          <w:rFonts w:hint="eastAsia" w:ascii="宋体" w:hAnsi="宋体" w:cs="宋体"/>
          <w:bCs/>
          <w:color w:val="auto"/>
          <w:sz w:val="24"/>
          <w:szCs w:val="24"/>
          <w:lang w:val="en-US" w:eastAsia="zh-CN"/>
        </w:rPr>
        <w:t>获取</w:t>
      </w:r>
      <w:r>
        <w:rPr>
          <w:rFonts w:hint="eastAsia" w:ascii="宋体" w:hAnsi="宋体" w:cs="宋体"/>
          <w:bCs/>
          <w:color w:val="auto"/>
          <w:sz w:val="24"/>
          <w:szCs w:val="24"/>
        </w:rPr>
        <w:t>磋商文件时应提供有效联系方式。</w:t>
      </w:r>
    </w:p>
    <w:p w14:paraId="35AE9916">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 xml:space="preserve">3.4如供应商代表不是法定代表人，须持有《法定代表人授权委托书》 </w:t>
      </w:r>
      <w:r>
        <w:rPr>
          <w:rFonts w:hint="eastAsia" w:ascii="宋体" w:hAnsi="宋体" w:cs="宋体"/>
          <w:bCs/>
          <w:color w:val="auto"/>
          <w:sz w:val="24"/>
          <w:szCs w:val="24"/>
          <w:lang w:eastAsia="zh-CN"/>
        </w:rPr>
        <w:t>（</w:t>
      </w:r>
      <w:r>
        <w:rPr>
          <w:rFonts w:hint="eastAsia" w:ascii="宋体" w:hAnsi="宋体" w:cs="宋体"/>
          <w:bCs/>
          <w:color w:val="auto"/>
          <w:sz w:val="24"/>
          <w:szCs w:val="24"/>
        </w:rPr>
        <w:t>按磋商文件提供的格式填写</w:t>
      </w:r>
      <w:r>
        <w:rPr>
          <w:rFonts w:hint="eastAsia" w:ascii="宋体" w:hAnsi="宋体" w:cs="宋体"/>
          <w:bCs/>
          <w:color w:val="auto"/>
          <w:sz w:val="24"/>
          <w:szCs w:val="24"/>
          <w:lang w:eastAsia="zh-CN"/>
        </w:rPr>
        <w:t>）</w:t>
      </w:r>
      <w:r>
        <w:rPr>
          <w:rFonts w:hint="eastAsia" w:ascii="宋体" w:hAnsi="宋体" w:cs="宋体"/>
          <w:bCs/>
          <w:color w:val="auto"/>
          <w:sz w:val="24"/>
          <w:szCs w:val="24"/>
        </w:rPr>
        <w:t>。</w:t>
      </w:r>
    </w:p>
    <w:p w14:paraId="15BB6933">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3.5供应商应独立于采购人，不得直接或间接地与采购人为采购本次招标的货物或服务进行设计、编制技术规格</w:t>
      </w:r>
      <w:r>
        <w:rPr>
          <w:rFonts w:hint="eastAsia" w:ascii="宋体" w:hAnsi="宋体" w:cs="宋体"/>
          <w:bCs/>
          <w:color w:val="auto"/>
          <w:sz w:val="24"/>
          <w:szCs w:val="24"/>
          <w:lang w:eastAsia="zh-CN"/>
        </w:rPr>
        <w:t>和其他</w:t>
      </w:r>
      <w:r>
        <w:rPr>
          <w:rFonts w:hint="eastAsia" w:ascii="宋体" w:hAnsi="宋体" w:cs="宋体"/>
          <w:bCs/>
          <w:color w:val="auto"/>
          <w:sz w:val="24"/>
          <w:szCs w:val="24"/>
        </w:rPr>
        <w:t>文件所委托的咨询公司或其附属机构有任何关联。</w:t>
      </w:r>
    </w:p>
    <w:p w14:paraId="557EBB24">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3.6供应商不得存在下列情形之一：</w:t>
      </w:r>
    </w:p>
    <w:p w14:paraId="5F0B2464">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（1）与采购人或采购代理机构存在隶属关系或者其他利害关系；</w:t>
      </w:r>
    </w:p>
    <w:p w14:paraId="2294DB85">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（2）与其他供应商的法定代表人（或者负责人）为同一人，或者与其他供应商存在直接控股、管理关系；</w:t>
      </w:r>
    </w:p>
    <w:p w14:paraId="3C03D2F5">
      <w:pPr>
        <w:widowControl/>
        <w:snapToGrid w:val="0"/>
        <w:spacing w:line="360" w:lineRule="auto"/>
        <w:ind w:firstLine="480" w:firstLineChars="200"/>
        <w:jc w:val="left"/>
        <w:rPr>
          <w:rFonts w:hint="eastAsia" w:ascii="宋体" w:hAnsi="宋体" w:eastAsia="宋体" w:cs="宋体"/>
          <w:bCs/>
          <w:color w:val="auto"/>
          <w:sz w:val="24"/>
          <w:szCs w:val="24"/>
          <w:lang w:eastAsia="zh-CN"/>
        </w:rPr>
      </w:pPr>
      <w:r>
        <w:rPr>
          <w:rFonts w:hint="eastAsia" w:ascii="宋体" w:hAnsi="宋体" w:cs="宋体"/>
          <w:bCs/>
          <w:color w:val="auto"/>
          <w:sz w:val="24"/>
          <w:szCs w:val="24"/>
        </w:rPr>
        <w:t>（3）</w:t>
      </w:r>
      <w:r>
        <w:rPr>
          <w:rFonts w:hint="eastAsia" w:ascii="宋体" w:hAnsi="宋体" w:eastAsia="宋体" w:cs="宋体"/>
          <w:bCs/>
          <w:color w:val="auto"/>
          <w:sz w:val="24"/>
          <w:szCs w:val="24"/>
        </w:rPr>
        <w:t>受到刑事处罚，或者受到 200万元以上罚款，责令停产停业、在一年至三年内禁止参加政府采购活动或吊销许可证、营业执照等情形之一的行政处罚，或者存在财政部门认定的其他重大违法记录</w:t>
      </w:r>
      <w:r>
        <w:rPr>
          <w:rFonts w:hint="eastAsia" w:ascii="宋体" w:hAnsi="宋体" w:cs="宋体"/>
          <w:bCs/>
          <w:color w:val="auto"/>
          <w:sz w:val="24"/>
          <w:szCs w:val="24"/>
          <w:lang w:eastAsia="zh-CN"/>
        </w:rPr>
        <w:t>；</w:t>
      </w:r>
    </w:p>
    <w:p w14:paraId="039E2798">
      <w:pPr>
        <w:widowControl/>
        <w:snapToGrid w:val="0"/>
        <w:spacing w:line="360" w:lineRule="auto"/>
        <w:ind w:firstLine="480" w:firstLineChars="200"/>
        <w:jc w:val="left"/>
        <w:rPr>
          <w:rFonts w:hint="eastAsia" w:ascii="宋体" w:hAnsi="宋体" w:eastAsia="宋体" w:cs="宋体"/>
          <w:bCs/>
          <w:color w:val="auto"/>
          <w:sz w:val="24"/>
          <w:szCs w:val="24"/>
          <w:lang w:eastAsia="zh-CN"/>
        </w:rPr>
      </w:pPr>
      <w:r>
        <w:rPr>
          <w:rFonts w:hint="eastAsia" w:ascii="宋体" w:hAnsi="宋体" w:cs="宋体"/>
          <w:bCs/>
          <w:color w:val="auto"/>
          <w:sz w:val="24"/>
          <w:szCs w:val="24"/>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r>
        <w:rPr>
          <w:rFonts w:hint="eastAsia" w:ascii="宋体" w:hAnsi="宋体" w:cs="宋体"/>
          <w:bCs/>
          <w:color w:val="auto"/>
          <w:sz w:val="24"/>
          <w:szCs w:val="24"/>
          <w:lang w:eastAsia="zh-CN"/>
        </w:rPr>
        <w:t>。</w:t>
      </w:r>
    </w:p>
    <w:p w14:paraId="56B12F46">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cs="宋体"/>
          <w:b/>
          <w:bCs/>
          <w:color w:val="auto"/>
          <w:sz w:val="24"/>
          <w:szCs w:val="24"/>
        </w:rPr>
        <w:t>政府采购政策支持</w:t>
      </w:r>
    </w:p>
    <w:p w14:paraId="438FA59A">
      <w:pPr>
        <w:spacing w:line="360" w:lineRule="auto"/>
        <w:ind w:firstLine="480" w:firstLineChars="200"/>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26DFAC2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2649334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p>
    <w:p w14:paraId="07F2EB60">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5B5CE45">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529AC154">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20718B5B">
      <w:pPr>
        <w:spacing w:line="360" w:lineRule="auto"/>
        <w:ind w:firstLine="482" w:firstLineChars="200"/>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w:t>
      </w:r>
      <w:r>
        <w:rPr>
          <w:rFonts w:hint="eastAsia" w:ascii="宋体" w:hAnsi="宋体"/>
          <w:color w:val="auto"/>
          <w:sz w:val="24"/>
          <w:szCs w:val="24"/>
          <w:lang w:eastAsia="zh-CN"/>
        </w:rPr>
        <w:t>响应文件</w:t>
      </w:r>
      <w:r>
        <w:rPr>
          <w:rFonts w:hint="eastAsia" w:ascii="宋体" w:hAnsi="宋体"/>
          <w:color w:val="auto"/>
          <w:sz w:val="24"/>
          <w:szCs w:val="24"/>
        </w:rPr>
        <w:t>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3DB36FC6">
      <w:pPr>
        <w:spacing w:line="360" w:lineRule="auto"/>
        <w:ind w:firstLine="480" w:firstLineChars="200"/>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2D964B8C">
      <w:pPr>
        <w:spacing w:line="360" w:lineRule="auto"/>
        <w:ind w:firstLine="480" w:firstLineChars="200"/>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4EF8D075">
      <w:pPr>
        <w:spacing w:line="360" w:lineRule="auto"/>
        <w:ind w:firstLine="480" w:firstLineChars="200"/>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693E7CC6">
      <w:pPr>
        <w:spacing w:line="360" w:lineRule="auto"/>
        <w:ind w:firstLine="480" w:firstLineChars="200"/>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78137F23">
      <w:pPr>
        <w:spacing w:line="360" w:lineRule="auto"/>
        <w:ind w:firstLine="480" w:firstLineChars="200"/>
        <w:rPr>
          <w:rFonts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2F4AAE7C">
      <w:pPr>
        <w:ind w:firstLine="480" w:firstLineChars="200"/>
        <w:rPr>
          <w:rFonts w:ascii="Calibri" w:hAnsi="Calibri"/>
          <w:color w:val="auto"/>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w:t>
      </w:r>
      <w:r>
        <w:rPr>
          <w:rFonts w:ascii="宋体" w:hAnsi="宋体"/>
          <w:color w:val="auto"/>
          <w:sz w:val="24"/>
          <w:szCs w:val="24"/>
        </w:rPr>
        <w:t>关于信用记录的查询和使用</w:t>
      </w:r>
    </w:p>
    <w:p w14:paraId="021978AE">
      <w:pPr>
        <w:spacing w:line="360" w:lineRule="auto"/>
        <w:ind w:firstLine="480" w:firstLineChars="200"/>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eastAsia="zh-CN"/>
        </w:rPr>
        <w:t>.</w:t>
      </w:r>
      <w:r>
        <w:rPr>
          <w:rFonts w:hint="eastAsia" w:ascii="宋体" w:hAnsi="宋体"/>
          <w:color w:val="auto"/>
          <w:sz w:val="24"/>
          <w:szCs w:val="24"/>
        </w:rPr>
        <w:t>采购人将在</w:t>
      </w:r>
      <w:r>
        <w:rPr>
          <w:rFonts w:ascii="宋体" w:hAnsi="宋体"/>
          <w:color w:val="auto"/>
          <w:sz w:val="24"/>
          <w:szCs w:val="24"/>
        </w:rPr>
        <w:t>资格审查</w:t>
      </w:r>
      <w:r>
        <w:rPr>
          <w:rFonts w:hint="eastAsia" w:ascii="宋体" w:hAnsi="宋体"/>
          <w:color w:val="auto"/>
          <w:sz w:val="24"/>
          <w:szCs w:val="24"/>
        </w:rPr>
        <w:t>阶段通过【</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color w:val="auto"/>
        </w:rPr>
        <w:fldChar w:fldCharType="begin"/>
      </w:r>
      <w:r>
        <w:rPr>
          <w:color w:val="auto"/>
        </w:rPr>
        <w:instrText xml:space="preserve"> HYPERLINK "http://www.ccgp.gov.cn/cr/list" </w:instrText>
      </w:r>
      <w:r>
        <w:rPr>
          <w:color w:val="auto"/>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w:t>
      </w:r>
      <w:r>
        <w:rPr>
          <w:rFonts w:hint="eastAsia" w:ascii="宋体" w:hAnsi="宋体"/>
          <w:color w:val="auto"/>
          <w:sz w:val="24"/>
          <w:szCs w:val="24"/>
          <w:lang w:eastAsia="zh-CN"/>
        </w:rPr>
        <w:t>响应文件</w:t>
      </w:r>
      <w:r>
        <w:rPr>
          <w:rFonts w:hint="eastAsia" w:ascii="宋体" w:hAnsi="宋体"/>
          <w:color w:val="auto"/>
          <w:sz w:val="24"/>
          <w:szCs w:val="24"/>
        </w:rPr>
        <w:t>中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69DE63F6">
      <w:pPr>
        <w:spacing w:line="360" w:lineRule="auto"/>
        <w:ind w:firstLine="480" w:firstLineChars="20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lang w:eastAsia="zh-CN"/>
        </w:rPr>
        <w:t>.</w:t>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1BA78AC6">
      <w:pPr>
        <w:spacing w:line="360" w:lineRule="auto"/>
        <w:ind w:firstLine="480" w:firstLineChars="200"/>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lang w:eastAsia="zh-CN"/>
        </w:rPr>
        <w:t>.</w:t>
      </w:r>
      <w:r>
        <w:rPr>
          <w:rFonts w:ascii="宋体" w:hAnsi="宋体"/>
          <w:color w:val="auto"/>
          <w:sz w:val="24"/>
          <w:szCs w:val="24"/>
        </w:rPr>
        <w:t>信用记录查询的截止时点为“</w:t>
      </w:r>
      <w:r>
        <w:rPr>
          <w:rFonts w:hint="eastAsia" w:ascii="宋体" w:hAnsi="宋体"/>
          <w:color w:val="auto"/>
          <w:sz w:val="24"/>
          <w:szCs w:val="24"/>
          <w:lang w:eastAsia="zh-CN"/>
        </w:rPr>
        <w:t>磋商文件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信用记录查询的结果，将以纸质截图或将截图保存至电子介质的形式留存。</w:t>
      </w:r>
    </w:p>
    <w:p w14:paraId="1168689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zh-CN" w:eastAsia="zh-CN"/>
        </w:rPr>
        <w:t>融资政策</w:t>
      </w:r>
    </w:p>
    <w:p w14:paraId="2EFF4A47">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 w:val="0"/>
          <w:bCs w:val="0"/>
          <w:color w:val="auto"/>
          <w:sz w:val="24"/>
          <w:szCs w:val="24"/>
          <w:lang w:val="zh-CN" w:eastAsia="zh-CN"/>
        </w:rPr>
        <w:t>根据《陕西省财政厅关于加快推进我省中小企业政府采购信用融资工作的通知》（陕财办采</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2020</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15号）文件精神，有融资需求的</w:t>
      </w:r>
      <w:r>
        <w:rPr>
          <w:rFonts w:hint="eastAsia" w:ascii="宋体" w:hAnsi="宋体" w:cs="宋体"/>
          <w:b w:val="0"/>
          <w:bCs w:val="0"/>
          <w:color w:val="auto"/>
          <w:sz w:val="24"/>
          <w:szCs w:val="24"/>
          <w:lang w:val="en-US" w:eastAsia="zh-CN"/>
        </w:rPr>
        <w:t>中标（成交）人</w:t>
      </w:r>
      <w:r>
        <w:rPr>
          <w:rFonts w:hint="eastAsia" w:ascii="宋体" w:hAnsi="宋体" w:cs="宋体"/>
          <w:b w:val="0"/>
          <w:bCs w:val="0"/>
          <w:color w:val="auto"/>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D43285">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5.</w:t>
      </w:r>
      <w:r>
        <w:rPr>
          <w:rFonts w:hint="eastAsia" w:ascii="宋体" w:hAnsi="宋体" w:cs="宋体"/>
          <w:b/>
          <w:bCs/>
          <w:color w:val="auto"/>
          <w:sz w:val="24"/>
          <w:szCs w:val="24"/>
        </w:rPr>
        <w:t>费用承担</w:t>
      </w:r>
    </w:p>
    <w:p w14:paraId="72A9C4E3">
      <w:pPr>
        <w:widowControl/>
        <w:snapToGrid w:val="0"/>
        <w:spacing w:line="360" w:lineRule="auto"/>
        <w:ind w:firstLine="480" w:firstLineChars="200"/>
        <w:jc w:val="left"/>
        <w:rPr>
          <w:color w:val="auto"/>
          <w:sz w:val="24"/>
          <w:szCs w:val="24"/>
        </w:rPr>
      </w:pPr>
      <w:r>
        <w:rPr>
          <w:rFonts w:hint="eastAsia"/>
          <w:color w:val="auto"/>
          <w:sz w:val="24"/>
          <w:szCs w:val="24"/>
        </w:rPr>
        <w:t>无论磋商结果如何，供应商自行承担所有与参加磋商有关的全部费用。</w:t>
      </w:r>
    </w:p>
    <w:p w14:paraId="0977569A">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6.</w:t>
      </w:r>
      <w:r>
        <w:rPr>
          <w:rFonts w:hint="eastAsia" w:ascii="宋体" w:hAnsi="宋体" w:cs="宋体"/>
          <w:b/>
          <w:bCs/>
          <w:color w:val="auto"/>
          <w:sz w:val="24"/>
          <w:szCs w:val="24"/>
        </w:rPr>
        <w:t>保密</w:t>
      </w:r>
    </w:p>
    <w:p w14:paraId="3A322A37">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参与磋商活动的各方应对磋商文件和响应文件的商业和技术等秘密保密，违者应对由此造成的后果承担法律责任。</w:t>
      </w:r>
    </w:p>
    <w:p w14:paraId="737022ED">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7.</w:t>
      </w:r>
      <w:r>
        <w:rPr>
          <w:rFonts w:hint="eastAsia" w:ascii="宋体" w:hAnsi="宋体" w:cs="宋体"/>
          <w:b/>
          <w:bCs/>
          <w:color w:val="auto"/>
          <w:sz w:val="24"/>
          <w:szCs w:val="24"/>
        </w:rPr>
        <w:t>语言文字</w:t>
      </w:r>
    </w:p>
    <w:p w14:paraId="6E4AE69D">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除专用术语外，与磋商文件有关的语言均使用中文；必要时专用术语应附有中文注释。</w:t>
      </w:r>
    </w:p>
    <w:p w14:paraId="3D444A3A">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8.</w:t>
      </w:r>
      <w:r>
        <w:rPr>
          <w:rFonts w:hint="eastAsia" w:ascii="宋体" w:hAnsi="宋体" w:cs="宋体"/>
          <w:b/>
          <w:bCs/>
          <w:color w:val="auto"/>
          <w:sz w:val="24"/>
          <w:szCs w:val="24"/>
        </w:rPr>
        <w:t>计量单位</w:t>
      </w:r>
    </w:p>
    <w:p w14:paraId="493BF011">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所有计量均采用中华人民共和国法定计量单位。</w:t>
      </w:r>
    </w:p>
    <w:p w14:paraId="6374FE7C">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9.</w:t>
      </w:r>
      <w:r>
        <w:rPr>
          <w:rFonts w:hint="eastAsia" w:ascii="宋体" w:hAnsi="宋体" w:cs="宋体"/>
          <w:b/>
          <w:bCs/>
          <w:color w:val="auto"/>
          <w:sz w:val="24"/>
          <w:szCs w:val="24"/>
        </w:rPr>
        <w:t>踏勘现场</w:t>
      </w:r>
    </w:p>
    <w:p w14:paraId="1703DA9B">
      <w:pPr>
        <w:pStyle w:val="13"/>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自行勘察，未勘察现场造成的一切后果由投标人自行承担（一切费用自理）。</w:t>
      </w:r>
    </w:p>
    <w:p w14:paraId="466F08B2">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rPr>
        <w:t>1</w:t>
      </w:r>
      <w:r>
        <w:rPr>
          <w:rFonts w:hint="eastAsia" w:ascii="宋体" w:hAnsi="宋体" w:cs="宋体"/>
          <w:b/>
          <w:bCs/>
          <w:color w:val="auto"/>
          <w:sz w:val="24"/>
          <w:szCs w:val="24"/>
          <w:lang w:eastAsia="zh-CN"/>
        </w:rPr>
        <w:t>0.</w:t>
      </w:r>
      <w:r>
        <w:rPr>
          <w:rFonts w:hint="eastAsia" w:ascii="宋体" w:hAnsi="宋体" w:cs="宋体"/>
          <w:b/>
          <w:bCs/>
          <w:color w:val="auto"/>
          <w:sz w:val="24"/>
          <w:szCs w:val="24"/>
        </w:rPr>
        <w:t>偏离</w:t>
      </w:r>
    </w:p>
    <w:p w14:paraId="25F41484">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除供应商须知前附表另有规定外，供应商递交的响应文件不允许严重负偏离。</w:t>
      </w:r>
    </w:p>
    <w:p w14:paraId="0FCD71C9">
      <w:pPr>
        <w:widowControl/>
        <w:numPr>
          <w:ilvl w:val="0"/>
          <w:numId w:val="2"/>
        </w:numPr>
        <w:spacing w:line="360" w:lineRule="auto"/>
        <w:ind w:firstLine="643" w:firstLineChars="200"/>
        <w:jc w:val="center"/>
        <w:outlineLvl w:val="1"/>
        <w:rPr>
          <w:rFonts w:ascii="宋体" w:hAnsi="宋体" w:cs="宋体"/>
          <w:b/>
          <w:bCs/>
          <w:color w:val="auto"/>
          <w:kern w:val="0"/>
          <w:sz w:val="32"/>
          <w:szCs w:val="32"/>
        </w:rPr>
      </w:pPr>
      <w:bookmarkStart w:id="33" w:name="_Toc536202380"/>
      <w:bookmarkStart w:id="34" w:name="_Toc536202288"/>
      <w:bookmarkStart w:id="35" w:name="_Toc19543337"/>
      <w:bookmarkStart w:id="36" w:name="_Toc3976"/>
      <w:bookmarkStart w:id="37" w:name="_Toc536429373"/>
      <w:bookmarkStart w:id="38" w:name="_Toc536429320"/>
      <w:r>
        <w:rPr>
          <w:rFonts w:hint="eastAsia" w:ascii="宋体" w:hAnsi="宋体" w:cs="宋体"/>
          <w:b/>
          <w:bCs/>
          <w:color w:val="auto"/>
          <w:kern w:val="0"/>
          <w:sz w:val="32"/>
          <w:szCs w:val="32"/>
        </w:rPr>
        <w:t>竞争性磋商文件</w:t>
      </w:r>
      <w:bookmarkEnd w:id="33"/>
      <w:bookmarkEnd w:id="34"/>
      <w:bookmarkEnd w:id="35"/>
      <w:bookmarkEnd w:id="36"/>
      <w:bookmarkEnd w:id="37"/>
      <w:bookmarkEnd w:id="38"/>
    </w:p>
    <w:p w14:paraId="01881EE8">
      <w:pPr>
        <w:pStyle w:val="4"/>
        <w:numPr>
          <w:ilvl w:val="0"/>
          <w:numId w:val="0"/>
        </w:numPr>
        <w:spacing w:line="360" w:lineRule="auto"/>
        <w:ind w:firstLine="482" w:firstLineChars="200"/>
        <w:rPr>
          <w:rFonts w:ascii="宋体" w:hAnsi="宋体" w:cs="宋体"/>
          <w:color w:val="auto"/>
          <w:sz w:val="24"/>
          <w:szCs w:val="28"/>
        </w:rPr>
      </w:pPr>
      <w:bookmarkStart w:id="39" w:name="_Toc5801"/>
      <w:bookmarkStart w:id="40" w:name="_Toc536202289"/>
      <w:r>
        <w:rPr>
          <w:rFonts w:hint="eastAsia" w:ascii="宋体" w:hAnsi="宋体" w:cs="宋体"/>
          <w:color w:val="auto"/>
          <w:sz w:val="24"/>
          <w:szCs w:val="28"/>
          <w:lang w:val="en-US" w:eastAsia="zh-CN"/>
        </w:rPr>
        <w:t>1.</w:t>
      </w:r>
      <w:r>
        <w:rPr>
          <w:rFonts w:hint="eastAsia" w:ascii="宋体" w:hAnsi="宋体" w:cs="宋体"/>
          <w:color w:val="auto"/>
          <w:sz w:val="24"/>
          <w:szCs w:val="28"/>
        </w:rPr>
        <w:t>竞争性磋商文件的构成</w:t>
      </w:r>
      <w:bookmarkEnd w:id="39"/>
      <w:bookmarkEnd w:id="40"/>
    </w:p>
    <w:p w14:paraId="2470A66F">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092FCDB">
      <w:pPr>
        <w:numPr>
          <w:ilvl w:val="0"/>
          <w:numId w:val="3"/>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竞争性磋商公告；</w:t>
      </w:r>
    </w:p>
    <w:p w14:paraId="349ECEEA">
      <w:pPr>
        <w:numPr>
          <w:ilvl w:val="0"/>
          <w:numId w:val="3"/>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供应商须知前附表；</w:t>
      </w:r>
    </w:p>
    <w:p w14:paraId="7F0D7A40">
      <w:pPr>
        <w:numPr>
          <w:ilvl w:val="0"/>
          <w:numId w:val="3"/>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供应商须知；</w:t>
      </w:r>
    </w:p>
    <w:p w14:paraId="7BB7D64A">
      <w:pPr>
        <w:numPr>
          <w:ilvl w:val="0"/>
          <w:numId w:val="3"/>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评分标准；</w:t>
      </w:r>
    </w:p>
    <w:p w14:paraId="0343A5DC">
      <w:pPr>
        <w:numPr>
          <w:ilvl w:val="0"/>
          <w:numId w:val="3"/>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采购</w:t>
      </w:r>
      <w:r>
        <w:rPr>
          <w:rFonts w:hint="eastAsia" w:ascii="宋体" w:hAnsi="宋体" w:cs="宋体"/>
          <w:color w:val="auto"/>
          <w:sz w:val="24"/>
          <w:szCs w:val="28"/>
          <w:lang w:val="en-US" w:eastAsia="zh-CN"/>
        </w:rPr>
        <w:t>内容及</w:t>
      </w:r>
      <w:r>
        <w:rPr>
          <w:rFonts w:hint="eastAsia" w:ascii="宋体" w:hAnsi="宋体" w:cs="宋体"/>
          <w:color w:val="auto"/>
          <w:sz w:val="24"/>
          <w:szCs w:val="28"/>
        </w:rPr>
        <w:t>要求；</w:t>
      </w:r>
    </w:p>
    <w:p w14:paraId="305122DD">
      <w:pPr>
        <w:numPr>
          <w:ilvl w:val="0"/>
          <w:numId w:val="3"/>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商务及合同主要条款；</w:t>
      </w:r>
    </w:p>
    <w:p w14:paraId="345A6901">
      <w:pPr>
        <w:numPr>
          <w:ilvl w:val="0"/>
          <w:numId w:val="3"/>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响应文件格式。</w:t>
      </w:r>
    </w:p>
    <w:p w14:paraId="57C5DE21">
      <w:pPr>
        <w:pStyle w:val="4"/>
        <w:numPr>
          <w:ilvl w:val="0"/>
          <w:numId w:val="0"/>
        </w:numPr>
        <w:spacing w:line="360" w:lineRule="auto"/>
        <w:ind w:firstLine="482" w:firstLineChars="200"/>
        <w:rPr>
          <w:rFonts w:ascii="宋体" w:hAnsi="宋体" w:cs="宋体"/>
          <w:color w:val="auto"/>
          <w:sz w:val="24"/>
          <w:szCs w:val="28"/>
        </w:rPr>
      </w:pPr>
      <w:bookmarkStart w:id="41" w:name="_Toc536202290"/>
      <w:r>
        <w:rPr>
          <w:rFonts w:hint="eastAsia" w:ascii="宋体" w:hAnsi="宋体" w:cs="宋体"/>
          <w:color w:val="auto"/>
          <w:sz w:val="24"/>
          <w:szCs w:val="28"/>
          <w:lang w:val="en-US" w:eastAsia="zh-CN"/>
        </w:rPr>
        <w:t>2.</w:t>
      </w:r>
      <w:r>
        <w:rPr>
          <w:rFonts w:hint="eastAsia" w:ascii="宋体" w:hAnsi="宋体" w:cs="宋体"/>
          <w:color w:val="auto"/>
          <w:sz w:val="24"/>
          <w:szCs w:val="28"/>
        </w:rPr>
        <w:t>磋商文件的检查及阅读</w:t>
      </w:r>
      <w:bookmarkEnd w:id="41"/>
    </w:p>
    <w:p w14:paraId="7A17F5CF">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供应商应认真阅读和充分理解竞争性磋商文件中所有的事项、格式条款和规范要求。供应商没有对竞争性磋商文件全面</w:t>
      </w:r>
      <w:r>
        <w:rPr>
          <w:rFonts w:hint="eastAsia" w:ascii="宋体" w:hAnsi="宋体" w:cs="宋体"/>
          <w:color w:val="auto"/>
          <w:sz w:val="24"/>
          <w:szCs w:val="28"/>
          <w:lang w:eastAsia="zh-CN"/>
        </w:rPr>
        <w:t>作出</w:t>
      </w:r>
      <w:r>
        <w:rPr>
          <w:rFonts w:hint="eastAsia" w:ascii="宋体" w:hAnsi="宋体" w:cs="宋体"/>
          <w:color w:val="auto"/>
          <w:sz w:val="24"/>
          <w:szCs w:val="28"/>
        </w:rPr>
        <w:t>实质性响应是供应商的风险。没有按照竞争性磋商文件要求作出实质性响应的响应文件应作无效文件处理。</w:t>
      </w:r>
    </w:p>
    <w:p w14:paraId="08BDF834">
      <w:pPr>
        <w:pStyle w:val="4"/>
        <w:numPr>
          <w:ilvl w:val="0"/>
          <w:numId w:val="0"/>
        </w:numPr>
        <w:spacing w:line="360" w:lineRule="auto"/>
        <w:ind w:firstLine="482" w:firstLineChars="200"/>
        <w:rPr>
          <w:rFonts w:ascii="宋体" w:hAnsi="宋体" w:cs="宋体"/>
          <w:color w:val="auto"/>
          <w:sz w:val="24"/>
          <w:szCs w:val="28"/>
        </w:rPr>
      </w:pPr>
      <w:bookmarkStart w:id="42" w:name="_Toc536202292"/>
      <w:r>
        <w:rPr>
          <w:rFonts w:hint="eastAsia" w:ascii="宋体" w:hAnsi="宋体" w:cs="宋体"/>
          <w:color w:val="auto"/>
          <w:sz w:val="24"/>
          <w:szCs w:val="28"/>
          <w:lang w:val="en-US" w:eastAsia="zh-CN"/>
        </w:rPr>
        <w:t>3.</w:t>
      </w:r>
      <w:r>
        <w:rPr>
          <w:rFonts w:hint="eastAsia" w:ascii="宋体" w:hAnsi="宋体" w:cs="宋体"/>
          <w:color w:val="auto"/>
          <w:sz w:val="24"/>
          <w:szCs w:val="28"/>
        </w:rPr>
        <w:t>现场踏勘及磋商文件答疑</w:t>
      </w:r>
      <w:bookmarkEnd w:id="42"/>
    </w:p>
    <w:p w14:paraId="6314349B">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招标代理机构将视情况确定是否有必要召开标前答疑会。如果召开标前答疑会，招标代理机构将通知所有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472494DD">
      <w:pPr>
        <w:pStyle w:val="4"/>
        <w:numPr>
          <w:ilvl w:val="0"/>
          <w:numId w:val="0"/>
        </w:numPr>
        <w:spacing w:line="360" w:lineRule="auto"/>
        <w:ind w:firstLine="482" w:firstLineChars="200"/>
        <w:rPr>
          <w:rFonts w:ascii="宋体" w:hAnsi="宋体" w:cs="宋体"/>
          <w:color w:val="auto"/>
          <w:sz w:val="24"/>
          <w:szCs w:val="28"/>
        </w:rPr>
      </w:pPr>
      <w:bookmarkStart w:id="43" w:name="_Toc536202293"/>
      <w:bookmarkStart w:id="44" w:name="_Toc19797"/>
      <w:r>
        <w:rPr>
          <w:rFonts w:hint="eastAsia" w:ascii="宋体" w:hAnsi="宋体" w:cs="宋体"/>
          <w:color w:val="auto"/>
          <w:sz w:val="24"/>
          <w:szCs w:val="28"/>
          <w:lang w:val="en-US" w:eastAsia="zh-CN"/>
        </w:rPr>
        <w:t>4.</w:t>
      </w:r>
      <w:r>
        <w:rPr>
          <w:rFonts w:hint="eastAsia" w:ascii="宋体" w:hAnsi="宋体" w:cs="宋体"/>
          <w:color w:val="auto"/>
          <w:sz w:val="24"/>
          <w:szCs w:val="28"/>
        </w:rPr>
        <w:t>竞争性磋商文件的澄清</w:t>
      </w:r>
      <w:bookmarkEnd w:id="43"/>
      <w:bookmarkEnd w:id="44"/>
    </w:p>
    <w:p w14:paraId="0D5B3F7E">
      <w:pPr>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color w:val="auto"/>
          <w:sz w:val="24"/>
          <w:szCs w:val="28"/>
          <w:lang w:eastAsia="zh-CN"/>
        </w:rPr>
        <w:t>或</w:t>
      </w:r>
      <w:r>
        <w:rPr>
          <w:rFonts w:hint="eastAsia" w:ascii="宋体" w:hAnsi="宋体" w:cs="宋体"/>
          <w:color w:val="auto"/>
          <w:sz w:val="24"/>
          <w:szCs w:val="28"/>
        </w:rPr>
        <w:t>因市场行情了解不清造成的后果和风险均由供应商自负。</w:t>
      </w:r>
    </w:p>
    <w:p w14:paraId="3B6D32D2">
      <w:pPr>
        <w:tabs>
          <w:tab w:val="left" w:pos="0"/>
        </w:tabs>
        <w:adjustRightInd w:val="0"/>
        <w:snapToGrid w:val="0"/>
        <w:spacing w:line="360" w:lineRule="auto"/>
        <w:ind w:firstLine="480" w:firstLineChars="200"/>
        <w:jc w:val="left"/>
        <w:rPr>
          <w:rFonts w:hint="eastAsia" w:ascii="宋体" w:hAnsi="宋体" w:eastAsia="宋体" w:cs="宋体"/>
          <w:color w:val="auto"/>
          <w:sz w:val="24"/>
          <w:szCs w:val="28"/>
        </w:rPr>
      </w:pPr>
      <w:r>
        <w:rPr>
          <w:rFonts w:hint="eastAsia" w:ascii="宋体" w:hAnsi="宋体" w:cs="宋体"/>
          <w:color w:val="auto"/>
          <w:sz w:val="24"/>
          <w:szCs w:val="28"/>
        </w:rPr>
        <w:t>4.2响应人若对磋商文件有任何疑问要求澄清，或认为有必要与采购人进行技术交流的，响应人在收到采购文件之日或者采购文件公告期限届满之日</w:t>
      </w:r>
      <w:r>
        <w:rPr>
          <w:rFonts w:hint="eastAsia" w:ascii="宋体" w:hAnsi="宋体" w:cs="宋体"/>
          <w:color w:val="auto"/>
          <w:sz w:val="24"/>
          <w:szCs w:val="24"/>
        </w:rPr>
        <w:t>七个工作日内</w:t>
      </w:r>
      <w:r>
        <w:rPr>
          <w:rFonts w:hint="eastAsia" w:ascii="宋体" w:hAnsi="宋体" w:cs="宋体"/>
          <w:color w:val="auto"/>
          <w:sz w:val="24"/>
          <w:szCs w:val="28"/>
        </w:rPr>
        <w:t>，以书面形式向招标代理机构提出。采购代理机构将视情况确定采用适当方式予以澄清或以书面形式予以答复，涉及变更或修正内容在相关媒体上发布变更公告。在此之后提出的询</w:t>
      </w:r>
      <w:r>
        <w:rPr>
          <w:rFonts w:hint="eastAsia" w:ascii="宋体" w:hAnsi="宋体" w:eastAsia="宋体" w:cs="宋体"/>
          <w:color w:val="auto"/>
          <w:sz w:val="24"/>
          <w:szCs w:val="28"/>
        </w:rPr>
        <w:t>问或者质疑均为无效，采购代理机构不予受理。</w:t>
      </w:r>
    </w:p>
    <w:p w14:paraId="7BDF85B5">
      <w:pPr>
        <w:tabs>
          <w:tab w:val="left" w:pos="0"/>
        </w:tabs>
        <w:adjustRightInd w:val="0"/>
        <w:snapToGrid w:val="0"/>
        <w:spacing w:line="360" w:lineRule="auto"/>
        <w:ind w:firstLine="480" w:firstLineChars="200"/>
        <w:jc w:val="left"/>
        <w:rPr>
          <w:rFonts w:ascii="宋体" w:hAnsi="宋体" w:cs="宋体"/>
          <w:color w:val="auto"/>
          <w:sz w:val="24"/>
          <w:szCs w:val="24"/>
        </w:rPr>
      </w:pPr>
      <w:r>
        <w:rPr>
          <w:rFonts w:hint="eastAsia" w:ascii="宋体" w:hAnsi="宋体" w:eastAsia="宋体" w:cs="宋体"/>
          <w:color w:val="auto"/>
          <w:sz w:val="24"/>
          <w:szCs w:val="28"/>
        </w:rPr>
        <w:t>4.3对于在规定时间内收到的投标人依法提出的询问或者质疑，采购代理机构将按</w:t>
      </w:r>
      <w:r>
        <w:rPr>
          <w:rFonts w:hint="eastAsia" w:ascii="宋体" w:hAnsi="宋体" w:cs="宋体"/>
          <w:color w:val="auto"/>
          <w:sz w:val="24"/>
          <w:szCs w:val="24"/>
        </w:rPr>
        <w:t>程序及时</w:t>
      </w:r>
      <w:r>
        <w:rPr>
          <w:rFonts w:hint="eastAsia" w:ascii="宋体" w:hAnsi="宋体" w:cs="宋体"/>
          <w:color w:val="auto"/>
          <w:sz w:val="24"/>
          <w:szCs w:val="24"/>
          <w:lang w:eastAsia="zh-CN"/>
        </w:rPr>
        <w:t>作出</w:t>
      </w:r>
      <w:r>
        <w:rPr>
          <w:rFonts w:hint="eastAsia" w:ascii="宋体" w:hAnsi="宋体" w:cs="宋体"/>
          <w:color w:val="auto"/>
          <w:sz w:val="24"/>
          <w:szCs w:val="24"/>
        </w:rPr>
        <w:t>答复，若对</w:t>
      </w:r>
      <w:r>
        <w:rPr>
          <w:rFonts w:hint="eastAsia" w:ascii="宋体" w:hAnsi="宋体" w:cs="宋体"/>
          <w:color w:val="auto"/>
          <w:sz w:val="24"/>
          <w:szCs w:val="24"/>
          <w:lang w:eastAsia="zh-CN"/>
        </w:rPr>
        <w:t>磋商文件</w:t>
      </w:r>
      <w:r>
        <w:rPr>
          <w:rFonts w:hint="eastAsia" w:ascii="宋体" w:hAnsi="宋体" w:cs="宋体"/>
          <w:color w:val="auto"/>
          <w:sz w:val="24"/>
          <w:szCs w:val="24"/>
        </w:rPr>
        <w:t>做出实质性变动，则按照相关规定延长投标截止时间。</w:t>
      </w:r>
    </w:p>
    <w:p w14:paraId="6F48A76E">
      <w:pPr>
        <w:pStyle w:val="9"/>
        <w:spacing w:line="360" w:lineRule="auto"/>
        <w:rPr>
          <w:rFonts w:ascii="宋体" w:hAnsi="宋体" w:cs="宋体"/>
          <w:color w:val="auto"/>
        </w:rPr>
      </w:pPr>
      <w:r>
        <w:rPr>
          <w:rFonts w:hint="eastAsia" w:ascii="宋体" w:hAnsi="宋体" w:cs="宋体"/>
          <w:color w:val="auto"/>
          <w:sz w:val="24"/>
          <w:szCs w:val="24"/>
        </w:rPr>
        <w:t>4.4投标人提出质疑应当有明确的请求和必要的证明材料。</w:t>
      </w:r>
    </w:p>
    <w:p w14:paraId="05A2F315">
      <w:pPr>
        <w:pStyle w:val="4"/>
        <w:numPr>
          <w:ilvl w:val="0"/>
          <w:numId w:val="0"/>
        </w:numPr>
        <w:spacing w:line="360" w:lineRule="auto"/>
        <w:ind w:firstLine="482" w:firstLineChars="200"/>
        <w:rPr>
          <w:rFonts w:ascii="宋体" w:hAnsi="宋体" w:cs="宋体"/>
          <w:color w:val="auto"/>
          <w:sz w:val="24"/>
          <w:szCs w:val="28"/>
        </w:rPr>
      </w:pPr>
      <w:bookmarkStart w:id="45" w:name="_Toc6390"/>
      <w:bookmarkStart w:id="46" w:name="_Toc536202294"/>
      <w:r>
        <w:rPr>
          <w:rFonts w:hint="eastAsia" w:ascii="宋体" w:hAnsi="宋体" w:cs="宋体"/>
          <w:color w:val="auto"/>
          <w:sz w:val="24"/>
          <w:szCs w:val="28"/>
          <w:lang w:val="en-US" w:eastAsia="zh-CN"/>
        </w:rPr>
        <w:t>5.</w:t>
      </w:r>
      <w:r>
        <w:rPr>
          <w:rFonts w:hint="eastAsia" w:ascii="宋体" w:hAnsi="宋体" w:cs="宋体"/>
          <w:color w:val="auto"/>
          <w:sz w:val="24"/>
          <w:szCs w:val="28"/>
        </w:rPr>
        <w:t>竞争性磋商文件的修改</w:t>
      </w:r>
      <w:bookmarkEnd w:id="45"/>
      <w:bookmarkEnd w:id="46"/>
    </w:p>
    <w:p w14:paraId="3C3AEBE6">
      <w:pPr>
        <w:overflowPunct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8"/>
        </w:rPr>
        <w:t>5.1 在磋商截止时间五日前，无论出于何种原因，代理机构可主动或在解答供应商提出的澄清问题时，对竞争性磋商文件进行修改，</w:t>
      </w:r>
      <w:r>
        <w:rPr>
          <w:rFonts w:hint="eastAsia" w:ascii="宋体" w:hAnsi="宋体" w:cs="宋体"/>
          <w:color w:val="auto"/>
          <w:sz w:val="24"/>
          <w:szCs w:val="24"/>
        </w:rPr>
        <w:t>不足5日的，顺延提交响应文件的截止时间</w:t>
      </w:r>
      <w:r>
        <w:rPr>
          <w:rFonts w:hint="eastAsia" w:ascii="宋体" w:hAnsi="宋体" w:cs="宋体"/>
          <w:color w:val="auto"/>
          <w:sz w:val="24"/>
          <w:szCs w:val="28"/>
        </w:rPr>
        <w:t>，并</w:t>
      </w:r>
      <w:r>
        <w:rPr>
          <w:rFonts w:hint="eastAsia" w:ascii="宋体" w:hAnsi="宋体" w:cs="宋体"/>
          <w:color w:val="auto"/>
          <w:sz w:val="24"/>
          <w:szCs w:val="24"/>
        </w:rPr>
        <w:t>在发布磋商公告的媒体上发布变更公告，并以书面形式通知所有</w:t>
      </w:r>
      <w:r>
        <w:rPr>
          <w:rFonts w:hint="eastAsia" w:ascii="宋体" w:hAnsi="宋体" w:cs="宋体"/>
          <w:color w:val="auto"/>
          <w:sz w:val="24"/>
          <w:szCs w:val="24"/>
          <w:lang w:val="en-US" w:eastAsia="zh-CN"/>
        </w:rPr>
        <w:t>获取</w:t>
      </w:r>
      <w:r>
        <w:rPr>
          <w:rFonts w:hint="eastAsia" w:ascii="宋体" w:hAnsi="宋体" w:cs="宋体"/>
          <w:color w:val="auto"/>
          <w:sz w:val="24"/>
          <w:szCs w:val="24"/>
        </w:rPr>
        <w:t>磋商文件的单位。该澄清或者修改的内容为</w:t>
      </w:r>
      <w:r>
        <w:rPr>
          <w:rFonts w:hint="eastAsia" w:ascii="宋体" w:hAnsi="宋体" w:cs="宋体"/>
          <w:color w:val="auto"/>
          <w:sz w:val="24"/>
          <w:szCs w:val="24"/>
          <w:lang w:eastAsia="zh-CN"/>
        </w:rPr>
        <w:t>磋商文件</w:t>
      </w:r>
      <w:r>
        <w:rPr>
          <w:rFonts w:hint="eastAsia" w:ascii="宋体" w:hAnsi="宋体" w:cs="宋体"/>
          <w:color w:val="auto"/>
          <w:sz w:val="24"/>
          <w:szCs w:val="24"/>
        </w:rPr>
        <w:t>的组成部分。</w:t>
      </w:r>
    </w:p>
    <w:p w14:paraId="034A1EF4">
      <w:pPr>
        <w:overflowPunct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5.2</w:t>
      </w:r>
      <w:r>
        <w:rPr>
          <w:rFonts w:hint="eastAsia" w:ascii="宋体" w:hAnsi="宋体" w:cs="宋体"/>
          <w:color w:val="auto"/>
          <w:sz w:val="24"/>
          <w:szCs w:val="24"/>
          <w:lang w:eastAsia="zh-CN"/>
        </w:rPr>
        <w:t>磋商文件</w:t>
      </w:r>
      <w:r>
        <w:rPr>
          <w:rFonts w:hint="eastAsia" w:ascii="宋体" w:hAnsi="宋体" w:cs="宋体"/>
          <w:color w:val="auto"/>
          <w:sz w:val="24"/>
          <w:szCs w:val="24"/>
        </w:rPr>
        <w:t>的修改书将构成</w:t>
      </w:r>
      <w:r>
        <w:rPr>
          <w:rFonts w:hint="eastAsia" w:ascii="宋体" w:hAnsi="宋体" w:cs="宋体"/>
          <w:color w:val="auto"/>
          <w:sz w:val="24"/>
          <w:szCs w:val="24"/>
          <w:lang w:eastAsia="zh-CN"/>
        </w:rPr>
        <w:t>磋商文件</w:t>
      </w:r>
      <w:r>
        <w:rPr>
          <w:rFonts w:hint="eastAsia" w:ascii="宋体" w:hAnsi="宋体" w:cs="宋体"/>
          <w:color w:val="auto"/>
          <w:sz w:val="24"/>
          <w:szCs w:val="24"/>
        </w:rPr>
        <w:t>的一部分，对采购人和投标人都具有约束力。</w:t>
      </w:r>
    </w:p>
    <w:p w14:paraId="540483A8">
      <w:pPr>
        <w:spacing w:line="360" w:lineRule="auto"/>
        <w:ind w:firstLine="480" w:firstLineChars="200"/>
        <w:rPr>
          <w:rFonts w:ascii="宋体" w:hAnsi="宋体" w:cs="宋体"/>
          <w:color w:val="auto"/>
          <w:sz w:val="24"/>
          <w:szCs w:val="28"/>
        </w:rPr>
      </w:pPr>
      <w:r>
        <w:rPr>
          <w:rFonts w:hint="eastAsia" w:ascii="宋体" w:hAnsi="宋体" w:cs="宋体"/>
          <w:color w:val="auto"/>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auto"/>
          <w:sz w:val="24"/>
          <w:szCs w:val="24"/>
          <w:lang w:val="en-US" w:eastAsia="zh-CN"/>
        </w:rPr>
        <w:t>获取</w:t>
      </w:r>
      <w:r>
        <w:rPr>
          <w:rFonts w:hint="eastAsia" w:ascii="宋体" w:hAnsi="宋体" w:cs="宋体"/>
          <w:color w:val="auto"/>
          <w:sz w:val="24"/>
          <w:szCs w:val="24"/>
        </w:rPr>
        <w:t>磋商文件的单位。</w:t>
      </w:r>
    </w:p>
    <w:p w14:paraId="01726B83">
      <w:pPr>
        <w:pStyle w:val="4"/>
        <w:numPr>
          <w:ilvl w:val="0"/>
          <w:numId w:val="0"/>
        </w:numPr>
        <w:spacing w:line="360" w:lineRule="auto"/>
        <w:ind w:firstLine="482" w:firstLineChars="200"/>
        <w:rPr>
          <w:rFonts w:ascii="宋体" w:hAnsi="宋体" w:cs="宋体"/>
          <w:color w:val="auto"/>
          <w:sz w:val="24"/>
          <w:szCs w:val="28"/>
        </w:rPr>
      </w:pPr>
      <w:bookmarkStart w:id="47" w:name="_Toc31188"/>
      <w:bookmarkStart w:id="48" w:name="_Toc536202295"/>
      <w:r>
        <w:rPr>
          <w:rFonts w:hint="eastAsia" w:ascii="宋体" w:hAnsi="宋体" w:cs="宋体"/>
          <w:color w:val="auto"/>
          <w:sz w:val="24"/>
          <w:szCs w:val="28"/>
          <w:lang w:val="en-US" w:eastAsia="zh-CN"/>
        </w:rPr>
        <w:t>6.</w:t>
      </w:r>
      <w:r>
        <w:rPr>
          <w:rFonts w:hint="eastAsia" w:ascii="宋体" w:hAnsi="宋体" w:cs="宋体"/>
          <w:color w:val="auto"/>
          <w:sz w:val="24"/>
          <w:szCs w:val="28"/>
        </w:rPr>
        <w:t>质疑</w:t>
      </w:r>
    </w:p>
    <w:p w14:paraId="08127B3B">
      <w:pPr>
        <w:pStyle w:val="4"/>
        <w:spacing w:line="360" w:lineRule="auto"/>
        <w:ind w:firstLine="480" w:firstLineChars="200"/>
        <w:rPr>
          <w:rFonts w:ascii="宋体" w:hAnsi="宋体" w:cs="宋体"/>
          <w:b w:val="0"/>
          <w:color w:val="auto"/>
          <w:sz w:val="24"/>
          <w:szCs w:val="28"/>
        </w:rPr>
      </w:pPr>
      <w:r>
        <w:rPr>
          <w:rFonts w:hint="eastAsia" w:ascii="宋体" w:hAnsi="宋体" w:cs="宋体"/>
          <w:b w:val="0"/>
          <w:color w:val="auto"/>
          <w:sz w:val="24"/>
          <w:szCs w:val="28"/>
        </w:rPr>
        <w:t>供应商认为磋商文件、招标过程和中标结果使自己的权益受到损害的，可以按《政府采购法》第</w:t>
      </w:r>
      <w:r>
        <w:rPr>
          <w:rFonts w:hint="eastAsia" w:ascii="宋体" w:hAnsi="宋体" w:cs="宋体"/>
          <w:b w:val="0"/>
          <w:color w:val="auto"/>
          <w:sz w:val="24"/>
          <w:szCs w:val="28"/>
          <w:lang w:val="en-US" w:eastAsia="zh-CN"/>
        </w:rPr>
        <w:t>五十二</w:t>
      </w:r>
      <w:r>
        <w:rPr>
          <w:rFonts w:hint="eastAsia" w:ascii="宋体" w:hAnsi="宋体" w:cs="宋体"/>
          <w:b w:val="0"/>
          <w:color w:val="auto"/>
          <w:sz w:val="24"/>
          <w:szCs w:val="28"/>
        </w:rPr>
        <w:t>条执行。</w:t>
      </w:r>
    </w:p>
    <w:p w14:paraId="617874C8">
      <w:pPr>
        <w:pStyle w:val="4"/>
        <w:numPr>
          <w:ilvl w:val="0"/>
          <w:numId w:val="0"/>
        </w:numPr>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val="en-US" w:eastAsia="zh-CN"/>
        </w:rPr>
        <w:t>7.</w:t>
      </w:r>
      <w:r>
        <w:rPr>
          <w:rFonts w:hint="eastAsia" w:ascii="宋体" w:hAnsi="宋体" w:cs="宋体"/>
          <w:color w:val="auto"/>
          <w:sz w:val="24"/>
          <w:szCs w:val="28"/>
        </w:rPr>
        <w:t>竞争性磋商文件的获取</w:t>
      </w:r>
      <w:bookmarkEnd w:id="47"/>
      <w:bookmarkEnd w:id="48"/>
    </w:p>
    <w:p w14:paraId="32511B75">
      <w:pPr>
        <w:widowControl/>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供应商必须从代理机构</w:t>
      </w:r>
      <w:r>
        <w:rPr>
          <w:rFonts w:hint="eastAsia" w:ascii="宋体" w:hAnsi="宋体" w:cs="宋体"/>
          <w:color w:val="auto"/>
          <w:sz w:val="24"/>
          <w:szCs w:val="28"/>
          <w:lang w:val="en-US" w:eastAsia="zh-CN"/>
        </w:rPr>
        <w:t>获取</w:t>
      </w:r>
      <w:r>
        <w:rPr>
          <w:rFonts w:hint="eastAsia" w:ascii="宋体" w:hAnsi="宋体" w:cs="宋体"/>
          <w:color w:val="auto"/>
          <w:sz w:val="24"/>
          <w:szCs w:val="28"/>
        </w:rPr>
        <w:t>竞争性磋商文件，供应商自行转让或复制竞争性磋商文件视为无效。</w:t>
      </w:r>
    </w:p>
    <w:p w14:paraId="78AB5488">
      <w:pPr>
        <w:pStyle w:val="9"/>
        <w:spacing w:line="360" w:lineRule="auto"/>
        <w:ind w:firstLine="482" w:firstLineChars="200"/>
        <w:jc w:val="left"/>
        <w:rPr>
          <w:rFonts w:ascii="宋体" w:hAnsi="宋体" w:cs="宋体"/>
          <w:color w:val="auto"/>
          <w:sz w:val="24"/>
          <w:szCs w:val="28"/>
        </w:rPr>
      </w:pPr>
      <w:bookmarkStart w:id="49" w:name="_Toc536202296"/>
      <w:bookmarkStart w:id="50" w:name="_Toc5095"/>
      <w:r>
        <w:rPr>
          <w:rFonts w:hint="eastAsia" w:ascii="宋体" w:hAnsi="宋体" w:cs="宋体"/>
          <w:b/>
          <w:bCs/>
          <w:color w:val="auto"/>
          <w:sz w:val="24"/>
          <w:szCs w:val="28"/>
          <w:lang w:eastAsia="zh-CN"/>
        </w:rPr>
        <w:t>8.</w:t>
      </w:r>
      <w:r>
        <w:rPr>
          <w:rFonts w:hint="eastAsia" w:ascii="宋体" w:hAnsi="宋体" w:cs="宋体"/>
          <w:b/>
          <w:bCs/>
          <w:color w:val="auto"/>
          <w:sz w:val="24"/>
          <w:szCs w:val="28"/>
        </w:rPr>
        <w:t>竞争性磋商文件的解释权归代理机构</w:t>
      </w:r>
      <w:bookmarkEnd w:id="49"/>
      <w:bookmarkEnd w:id="50"/>
      <w:r>
        <w:rPr>
          <w:rFonts w:hint="eastAsia" w:ascii="宋体" w:hAnsi="宋体" w:cs="宋体"/>
          <w:color w:val="auto"/>
          <w:sz w:val="24"/>
          <w:szCs w:val="28"/>
        </w:rPr>
        <w:t>（如发现磋商文件内容与现行法律法规不相符的情况，以现行法律法规为准</w:t>
      </w:r>
      <w:r>
        <w:rPr>
          <w:rFonts w:hint="eastAsia" w:ascii="宋体" w:hAnsi="宋体" w:cs="宋体"/>
          <w:color w:val="auto"/>
          <w:sz w:val="24"/>
          <w:szCs w:val="28"/>
          <w:lang w:eastAsia="zh-CN"/>
        </w:rPr>
        <w:t>）。</w:t>
      </w:r>
    </w:p>
    <w:p w14:paraId="5CED2EFB">
      <w:pPr>
        <w:widowControl/>
        <w:numPr>
          <w:ilvl w:val="0"/>
          <w:numId w:val="0"/>
        </w:numPr>
        <w:spacing w:line="360" w:lineRule="auto"/>
        <w:jc w:val="center"/>
        <w:outlineLvl w:val="1"/>
        <w:rPr>
          <w:rFonts w:ascii="宋体" w:hAnsi="宋体"/>
          <w:b w:val="0"/>
          <w:bCs w:val="0"/>
          <w:color w:val="auto"/>
          <w:sz w:val="24"/>
          <w:szCs w:val="21"/>
        </w:rPr>
      </w:pPr>
      <w:bookmarkStart w:id="51" w:name="_Toc536202297"/>
      <w:bookmarkStart w:id="52" w:name="_Toc19543338"/>
      <w:bookmarkStart w:id="53" w:name="_Toc536202381"/>
      <w:bookmarkStart w:id="54" w:name="_Toc536429374"/>
      <w:bookmarkStart w:id="55" w:name="_Toc536429321"/>
      <w:bookmarkStart w:id="56" w:name="_Toc622"/>
      <w:r>
        <w:rPr>
          <w:rFonts w:hint="eastAsia" w:ascii="宋体" w:hAnsi="宋体" w:cs="宋体"/>
          <w:b/>
          <w:bCs/>
          <w:color w:val="auto"/>
          <w:kern w:val="0"/>
          <w:sz w:val="28"/>
          <w:szCs w:val="32"/>
          <w:lang w:val="en-US" w:eastAsia="zh-CN"/>
        </w:rPr>
        <w:t>三、</w:t>
      </w:r>
      <w:r>
        <w:rPr>
          <w:rFonts w:hint="eastAsia" w:ascii="宋体" w:hAnsi="宋体" w:cs="宋体"/>
          <w:b/>
          <w:bCs/>
          <w:color w:val="auto"/>
          <w:kern w:val="0"/>
          <w:sz w:val="28"/>
          <w:szCs w:val="32"/>
        </w:rPr>
        <w:t>响应文件</w:t>
      </w:r>
      <w:bookmarkEnd w:id="51"/>
      <w:bookmarkEnd w:id="52"/>
      <w:bookmarkEnd w:id="53"/>
      <w:bookmarkEnd w:id="54"/>
      <w:bookmarkEnd w:id="55"/>
      <w:bookmarkEnd w:id="56"/>
    </w:p>
    <w:p w14:paraId="035D0828">
      <w:pPr>
        <w:widowControl/>
        <w:numPr>
          <w:ilvl w:val="0"/>
          <w:numId w:val="0"/>
        </w:numPr>
        <w:spacing w:line="360" w:lineRule="auto"/>
        <w:ind w:firstLine="480" w:firstLineChars="200"/>
        <w:jc w:val="both"/>
        <w:outlineLvl w:val="1"/>
        <w:rPr>
          <w:rFonts w:hint="eastAsia" w:ascii="宋体" w:hAnsi="宋体"/>
          <w:b w:val="0"/>
          <w:bCs w:val="0"/>
          <w:color w:val="auto"/>
          <w:sz w:val="24"/>
          <w:szCs w:val="21"/>
        </w:rPr>
      </w:pPr>
      <w:r>
        <w:rPr>
          <w:rFonts w:hint="eastAsia" w:ascii="宋体" w:hAnsi="宋体"/>
          <w:b w:val="0"/>
          <w:bCs w:val="0"/>
          <w:color w:val="auto"/>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auto"/>
          <w:sz w:val="24"/>
          <w:szCs w:val="21"/>
          <w:lang w:eastAsia="zh-CN"/>
        </w:rPr>
        <w:t>作出</w:t>
      </w:r>
      <w:r>
        <w:rPr>
          <w:rFonts w:hint="eastAsia" w:ascii="宋体" w:hAnsi="宋体"/>
          <w:b w:val="0"/>
          <w:bCs w:val="0"/>
          <w:color w:val="auto"/>
          <w:sz w:val="24"/>
          <w:szCs w:val="21"/>
        </w:rPr>
        <w:t>实质性响应，其磋商将被拒绝。</w:t>
      </w:r>
    </w:p>
    <w:p w14:paraId="3361BC4D">
      <w:pPr>
        <w:widowControl/>
        <w:numPr>
          <w:ilvl w:val="0"/>
          <w:numId w:val="0"/>
        </w:numPr>
        <w:spacing w:line="360" w:lineRule="auto"/>
        <w:ind w:firstLine="480" w:firstLineChars="200"/>
        <w:jc w:val="both"/>
        <w:outlineLvl w:val="1"/>
        <w:rPr>
          <w:rFonts w:hint="eastAsia" w:ascii="宋体" w:hAnsi="宋体"/>
          <w:b w:val="0"/>
          <w:bCs w:val="0"/>
          <w:color w:val="auto"/>
          <w:sz w:val="24"/>
          <w:szCs w:val="21"/>
        </w:rPr>
      </w:pPr>
      <w:r>
        <w:rPr>
          <w:rFonts w:hint="eastAsia" w:ascii="宋体" w:hAnsi="宋体"/>
          <w:b w:val="0"/>
          <w:bCs w:val="0"/>
          <w:color w:val="auto"/>
          <w:sz w:val="24"/>
          <w:szCs w:val="21"/>
        </w:rPr>
        <w:t>投标人提交的磋商响应文件（包括产品的技术资料）以及投标人与采购代理机构就有关磋商的所有来往函电均应以中文书写。</w:t>
      </w:r>
    </w:p>
    <w:p w14:paraId="01B93250">
      <w:pPr>
        <w:widowControl/>
        <w:numPr>
          <w:ilvl w:val="0"/>
          <w:numId w:val="0"/>
        </w:numPr>
        <w:spacing w:line="360" w:lineRule="auto"/>
        <w:ind w:firstLine="482" w:firstLineChars="200"/>
        <w:jc w:val="both"/>
        <w:outlineLvl w:val="1"/>
        <w:rPr>
          <w:rFonts w:ascii="宋体" w:hAnsi="宋体" w:cs="宋体"/>
          <w:b/>
          <w:bCs/>
          <w:color w:val="auto"/>
          <w:sz w:val="24"/>
          <w:szCs w:val="28"/>
        </w:rPr>
      </w:pPr>
      <w:r>
        <w:rPr>
          <w:rFonts w:hint="eastAsia" w:ascii="宋体" w:hAnsi="宋体" w:cs="宋体"/>
          <w:b/>
          <w:bCs/>
          <w:color w:val="auto"/>
          <w:sz w:val="24"/>
          <w:szCs w:val="28"/>
          <w:lang w:val="en-US" w:eastAsia="zh-CN"/>
        </w:rPr>
        <w:t>1.</w:t>
      </w:r>
      <w:r>
        <w:rPr>
          <w:rFonts w:hint="eastAsia" w:ascii="宋体" w:hAnsi="宋体" w:cs="宋体"/>
          <w:b/>
          <w:bCs/>
          <w:color w:val="auto"/>
          <w:sz w:val="24"/>
          <w:szCs w:val="28"/>
        </w:rPr>
        <w:t>响应文件构成和格式</w:t>
      </w:r>
    </w:p>
    <w:p w14:paraId="060525E5">
      <w:pPr>
        <w:widowControl/>
        <w:spacing w:line="360" w:lineRule="auto"/>
        <w:ind w:firstLine="480" w:firstLineChars="200"/>
        <w:outlineLvl w:val="1"/>
        <w:rPr>
          <w:rFonts w:ascii="宋体" w:hAnsi="宋体" w:cs="宋体"/>
          <w:bCs/>
          <w:color w:val="auto"/>
          <w:kern w:val="0"/>
          <w:sz w:val="24"/>
          <w:szCs w:val="24"/>
        </w:rPr>
      </w:pPr>
      <w:r>
        <w:rPr>
          <w:rFonts w:hint="eastAsia" w:ascii="宋体" w:hAnsi="宋体" w:cs="宋体"/>
          <w:bCs/>
          <w:color w:val="auto"/>
          <w:kern w:val="0"/>
          <w:sz w:val="24"/>
          <w:szCs w:val="24"/>
        </w:rPr>
        <w:t>投标人应按照本须知响应文件构成和格式及第七部分提供的格式编写</w:t>
      </w: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，不得缺少</w:t>
      </w: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要求填写的表格或提交的资料。</w:t>
      </w:r>
    </w:p>
    <w:p w14:paraId="2EAA4C8F">
      <w:pPr>
        <w:pStyle w:val="4"/>
        <w:numPr>
          <w:ilvl w:val="0"/>
          <w:numId w:val="0"/>
        </w:numPr>
        <w:spacing w:line="360" w:lineRule="auto"/>
        <w:ind w:firstLine="482" w:firstLineChars="200"/>
        <w:rPr>
          <w:rFonts w:ascii="宋体" w:hAnsi="宋体" w:cs="宋体"/>
          <w:color w:val="auto"/>
          <w:sz w:val="24"/>
          <w:szCs w:val="28"/>
        </w:rPr>
      </w:pPr>
      <w:bookmarkStart w:id="57" w:name="_Toc536202299"/>
      <w:r>
        <w:rPr>
          <w:rFonts w:hint="eastAsia" w:ascii="宋体" w:hAnsi="宋体" w:cs="宋体"/>
          <w:color w:val="auto"/>
          <w:sz w:val="24"/>
          <w:szCs w:val="28"/>
          <w:lang w:val="en-US" w:eastAsia="zh-CN"/>
        </w:rPr>
        <w:t>2.</w:t>
      </w:r>
      <w:r>
        <w:rPr>
          <w:rFonts w:hint="eastAsia" w:ascii="宋体" w:hAnsi="宋体" w:cs="宋体"/>
          <w:color w:val="auto"/>
          <w:sz w:val="24"/>
          <w:szCs w:val="28"/>
        </w:rPr>
        <w:t>磋商报价</w:t>
      </w:r>
      <w:bookmarkEnd w:id="57"/>
    </w:p>
    <w:p w14:paraId="62BBC3CE">
      <w:pPr>
        <w:spacing w:line="360" w:lineRule="auto"/>
        <w:ind w:firstLine="480" w:firstLineChars="200"/>
        <w:rPr>
          <w:rFonts w:ascii="宋体" w:hAnsi="宋体" w:cs="宋体"/>
          <w:color w:val="auto"/>
          <w:sz w:val="28"/>
          <w:szCs w:val="22"/>
        </w:rPr>
      </w:pPr>
      <w:bookmarkStart w:id="58" w:name="_Toc29200"/>
      <w:bookmarkStart w:id="59" w:name="_Toc536202300"/>
      <w:r>
        <w:rPr>
          <w:rFonts w:hint="eastAsia" w:ascii="宋体" w:hAnsi="宋体" w:cs="宋体"/>
          <w:color w:val="auto"/>
          <w:sz w:val="24"/>
        </w:rPr>
        <w:t>（1）磋商报价为供应商充分考虑磋商文件的各项条款和所掌握的市场情况及本项目的实际情况，根据自身情况自主报价。</w:t>
      </w:r>
    </w:p>
    <w:p w14:paraId="4B87A04E">
      <w:pPr>
        <w:spacing w:line="360" w:lineRule="auto"/>
        <w:ind w:firstLine="480" w:firstLineChars="200"/>
        <w:rPr>
          <w:rFonts w:ascii="宋体" w:hAnsi="宋体" w:cs="宋体"/>
          <w:color w:val="auto"/>
          <w:sz w:val="24"/>
        </w:rPr>
      </w:pPr>
      <w:r>
        <w:rPr>
          <w:rFonts w:hint="eastAsia" w:ascii="宋体" w:hAnsi="宋体" w:cs="宋体"/>
          <w:color w:val="auto"/>
          <w:sz w:val="24"/>
        </w:rPr>
        <w:t>（2）供应商应在响应报价表中标明本次招标所要求的货物、服务且验收合格的所有费用。</w:t>
      </w:r>
    </w:p>
    <w:p w14:paraId="5F82B065">
      <w:pPr>
        <w:spacing w:line="360" w:lineRule="auto"/>
        <w:ind w:firstLine="480" w:firstLineChars="200"/>
        <w:rPr>
          <w:rFonts w:ascii="宋体" w:hAnsi="宋体" w:cs="宋体"/>
          <w:color w:val="auto"/>
          <w:sz w:val="24"/>
        </w:rPr>
      </w:pPr>
      <w:r>
        <w:rPr>
          <w:rFonts w:hint="eastAsia" w:ascii="宋体" w:hAnsi="宋体" w:cs="宋体"/>
          <w:color w:val="auto"/>
          <w:sz w:val="24"/>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cs="宋体"/>
          <w:color w:val="auto"/>
          <w:spacing w:val="4"/>
          <w:sz w:val="24"/>
        </w:rPr>
        <w:t>供应商应考虑全部材料的风险，供应商一旦成交，采购人将不再对此部分进行调整；供应商的报价应将此差异考虑在综合单价内，</w:t>
      </w:r>
      <w:r>
        <w:rPr>
          <w:rFonts w:hint="eastAsia" w:ascii="宋体" w:hAnsi="宋体" w:cs="宋体"/>
          <w:color w:val="auto"/>
          <w:sz w:val="24"/>
          <w:szCs w:val="24"/>
        </w:rPr>
        <w:t>采购人不再</w:t>
      </w:r>
      <w:r>
        <w:rPr>
          <w:rFonts w:hint="eastAsia" w:ascii="宋体" w:hAnsi="宋体" w:cs="宋体"/>
          <w:color w:val="auto"/>
          <w:sz w:val="24"/>
          <w:szCs w:val="24"/>
          <w:lang w:eastAsia="zh-CN"/>
        </w:rPr>
        <w:t>承担其他任何</w:t>
      </w:r>
      <w:r>
        <w:rPr>
          <w:rFonts w:hint="eastAsia" w:ascii="宋体" w:hAnsi="宋体" w:cs="宋体"/>
          <w:color w:val="auto"/>
          <w:sz w:val="24"/>
          <w:szCs w:val="24"/>
        </w:rPr>
        <w:t>费用</w:t>
      </w:r>
      <w:r>
        <w:rPr>
          <w:rFonts w:hint="eastAsia" w:ascii="宋体" w:hAnsi="宋体" w:cs="宋体"/>
          <w:color w:val="auto"/>
          <w:spacing w:val="4"/>
          <w:sz w:val="24"/>
        </w:rPr>
        <w:t>。</w:t>
      </w:r>
    </w:p>
    <w:p w14:paraId="7FD76DEB">
      <w:pPr>
        <w:spacing w:line="360" w:lineRule="auto"/>
        <w:ind w:firstLine="480" w:firstLineChars="200"/>
        <w:rPr>
          <w:rFonts w:ascii="宋体" w:hAnsi="宋体" w:cs="宋体"/>
          <w:color w:val="auto"/>
          <w:sz w:val="24"/>
        </w:rPr>
      </w:pPr>
      <w:r>
        <w:rPr>
          <w:rFonts w:hint="eastAsia" w:ascii="宋体" w:hAnsi="宋体" w:cs="宋体"/>
          <w:color w:val="auto"/>
          <w:sz w:val="24"/>
        </w:rPr>
        <w:t>（4）响应报价表应有法定代表人或被授权人的签字。</w:t>
      </w:r>
    </w:p>
    <w:p w14:paraId="66F5635B">
      <w:pPr>
        <w:pStyle w:val="4"/>
        <w:numPr>
          <w:ilvl w:val="0"/>
          <w:numId w:val="0"/>
        </w:numPr>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val="en-US" w:eastAsia="zh-CN"/>
        </w:rPr>
        <w:t>3.</w:t>
      </w:r>
      <w:r>
        <w:rPr>
          <w:rFonts w:hint="eastAsia" w:ascii="宋体" w:hAnsi="宋体" w:cs="宋体"/>
          <w:color w:val="auto"/>
          <w:sz w:val="24"/>
          <w:szCs w:val="28"/>
        </w:rPr>
        <w:t>磋商货币</w:t>
      </w:r>
      <w:bookmarkEnd w:id="58"/>
      <w:bookmarkEnd w:id="59"/>
    </w:p>
    <w:p w14:paraId="645F7CED">
      <w:pPr>
        <w:widowControl/>
        <w:spacing w:line="360" w:lineRule="auto"/>
        <w:ind w:firstLine="480" w:firstLineChars="200"/>
        <w:rPr>
          <w:rFonts w:ascii="宋体" w:hAnsi="宋体" w:cs="宋体"/>
          <w:color w:val="auto"/>
          <w:kern w:val="0"/>
          <w:sz w:val="24"/>
          <w:szCs w:val="28"/>
        </w:rPr>
      </w:pPr>
      <w:r>
        <w:rPr>
          <w:rFonts w:hint="eastAsia" w:ascii="宋体" w:hAnsi="宋体" w:cs="宋体"/>
          <w:color w:val="auto"/>
          <w:kern w:val="0"/>
          <w:sz w:val="24"/>
          <w:szCs w:val="28"/>
        </w:rPr>
        <w:t>采购人只接受人民币作为唯一磋商货币。以人民币为投标货币。以元为报价单位，保留小数点后两位。</w:t>
      </w:r>
    </w:p>
    <w:p w14:paraId="1EF350A3">
      <w:pPr>
        <w:pStyle w:val="4"/>
        <w:numPr>
          <w:ilvl w:val="0"/>
          <w:numId w:val="0"/>
        </w:numPr>
        <w:spacing w:line="360" w:lineRule="auto"/>
        <w:ind w:firstLine="482" w:firstLineChars="200"/>
        <w:rPr>
          <w:rFonts w:ascii="宋体" w:hAnsi="宋体" w:cs="宋体"/>
          <w:color w:val="auto"/>
          <w:sz w:val="24"/>
          <w:szCs w:val="28"/>
        </w:rPr>
      </w:pPr>
      <w:bookmarkStart w:id="60" w:name="_Toc536202302"/>
      <w:r>
        <w:rPr>
          <w:rFonts w:hint="eastAsia" w:ascii="宋体" w:hAnsi="宋体" w:cs="宋体"/>
          <w:color w:val="auto"/>
          <w:sz w:val="24"/>
          <w:szCs w:val="28"/>
          <w:lang w:val="en-US" w:eastAsia="zh-CN"/>
        </w:rPr>
        <w:t>4.</w:t>
      </w:r>
      <w:r>
        <w:rPr>
          <w:rFonts w:hint="eastAsia" w:ascii="宋体" w:hAnsi="宋体" w:cs="宋体"/>
          <w:color w:val="auto"/>
          <w:sz w:val="24"/>
          <w:szCs w:val="28"/>
        </w:rPr>
        <w:t>响应有效期</w:t>
      </w:r>
      <w:bookmarkEnd w:id="60"/>
    </w:p>
    <w:p w14:paraId="4DF64409">
      <w:pPr>
        <w:adjustRightInd w:val="0"/>
        <w:snapToGrid w:val="0"/>
        <w:spacing w:line="360" w:lineRule="auto"/>
        <w:ind w:firstLine="480" w:firstLineChars="200"/>
        <w:rPr>
          <w:rFonts w:ascii="宋体" w:hAnsi="宋体" w:cs="宋体"/>
          <w:color w:val="auto"/>
          <w:sz w:val="24"/>
          <w:szCs w:val="28"/>
        </w:rPr>
      </w:pPr>
      <w:r>
        <w:rPr>
          <w:rFonts w:hint="eastAsia" w:ascii="宋体" w:hAnsi="宋体" w:cs="宋体"/>
          <w:color w:val="auto"/>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13061BC8">
      <w:pPr>
        <w:pStyle w:val="4"/>
        <w:numPr>
          <w:ilvl w:val="0"/>
          <w:numId w:val="0"/>
        </w:numPr>
        <w:spacing w:line="360" w:lineRule="auto"/>
        <w:ind w:firstLine="482" w:firstLineChars="200"/>
        <w:rPr>
          <w:rFonts w:ascii="宋体" w:hAnsi="宋体" w:cs="宋体"/>
          <w:color w:val="auto"/>
          <w:sz w:val="24"/>
          <w:szCs w:val="28"/>
        </w:rPr>
      </w:pPr>
      <w:bookmarkStart w:id="61" w:name="_Toc24827"/>
      <w:bookmarkStart w:id="62" w:name="_Toc536202303"/>
      <w:r>
        <w:rPr>
          <w:rFonts w:hint="eastAsia" w:ascii="宋体" w:hAnsi="宋体" w:cs="宋体"/>
          <w:color w:val="auto"/>
          <w:sz w:val="24"/>
          <w:szCs w:val="28"/>
          <w:lang w:val="en-US" w:eastAsia="zh-CN"/>
        </w:rPr>
        <w:t>5.</w:t>
      </w:r>
      <w:r>
        <w:rPr>
          <w:rFonts w:hint="eastAsia" w:ascii="宋体" w:hAnsi="宋体" w:cs="宋体"/>
          <w:color w:val="auto"/>
          <w:sz w:val="24"/>
          <w:szCs w:val="28"/>
        </w:rPr>
        <w:t>响应文件的格式、装订、密封和签署</w:t>
      </w:r>
      <w:bookmarkEnd w:id="61"/>
      <w:bookmarkEnd w:id="62"/>
    </w:p>
    <w:p w14:paraId="07C5BAAA">
      <w:pPr>
        <w:spacing w:line="312" w:lineRule="auto"/>
        <w:ind w:firstLine="480" w:firstLineChars="200"/>
        <w:jc w:val="left"/>
        <w:rPr>
          <w:rFonts w:ascii="宋体" w:hAnsi="宋体" w:cs="宋体"/>
          <w:color w:val="auto"/>
          <w:sz w:val="24"/>
          <w:szCs w:val="28"/>
        </w:rPr>
      </w:pPr>
      <w:r>
        <w:rPr>
          <w:rFonts w:hint="eastAsia" w:ascii="宋体" w:hAnsi="宋体" w:cs="宋体"/>
          <w:color w:val="auto"/>
          <w:sz w:val="24"/>
          <w:szCs w:val="28"/>
        </w:rPr>
        <w:t>5.1供应商须依据竞争性磋商文件内容和响应文件格式的要求编制响应文件；响应文件的正本和副本须用A4纸打印，并编制目录和页码，确保纸质</w:t>
      </w:r>
      <w:r>
        <w:rPr>
          <w:rFonts w:hint="eastAsia" w:ascii="宋体" w:hAnsi="宋体" w:cs="宋体"/>
          <w:color w:val="auto"/>
          <w:sz w:val="24"/>
          <w:szCs w:val="28"/>
          <w:lang w:eastAsia="zh-CN"/>
        </w:rPr>
        <w:t>响应文件</w:t>
      </w:r>
      <w:r>
        <w:rPr>
          <w:rFonts w:hint="eastAsia" w:ascii="宋体" w:hAnsi="宋体" w:cs="宋体"/>
          <w:color w:val="auto"/>
          <w:sz w:val="24"/>
          <w:szCs w:val="28"/>
        </w:rPr>
        <w:t>应与电子</w:t>
      </w:r>
      <w:r>
        <w:rPr>
          <w:rFonts w:hint="eastAsia" w:ascii="宋体" w:hAnsi="宋体" w:cs="宋体"/>
          <w:color w:val="auto"/>
          <w:sz w:val="24"/>
          <w:szCs w:val="28"/>
          <w:lang w:eastAsia="zh-CN"/>
        </w:rPr>
        <w:t>响应文件</w:t>
      </w:r>
      <w:r>
        <w:rPr>
          <w:rFonts w:hint="eastAsia" w:ascii="宋体" w:hAnsi="宋体" w:cs="宋体"/>
          <w:color w:val="auto"/>
          <w:sz w:val="24"/>
          <w:szCs w:val="28"/>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478F8878">
      <w:pPr>
        <w:spacing w:line="312" w:lineRule="auto"/>
        <w:ind w:firstLine="480" w:firstLineChars="200"/>
        <w:jc w:val="left"/>
        <w:rPr>
          <w:rFonts w:ascii="宋体" w:hAnsi="宋体" w:cs="宋体"/>
          <w:color w:val="auto"/>
          <w:sz w:val="24"/>
          <w:szCs w:val="28"/>
        </w:rPr>
      </w:pPr>
      <w:r>
        <w:rPr>
          <w:rFonts w:hint="eastAsia" w:ascii="宋体" w:hAnsi="宋体" w:cs="宋体"/>
          <w:color w:val="auto"/>
          <w:sz w:val="24"/>
          <w:szCs w:val="28"/>
        </w:rPr>
        <w:t>5.2响应文件的装订</w:t>
      </w:r>
    </w:p>
    <w:p w14:paraId="2EE10757">
      <w:pPr>
        <w:spacing w:line="360" w:lineRule="auto"/>
        <w:ind w:firstLine="480" w:firstLineChars="200"/>
        <w:jc w:val="left"/>
        <w:rPr>
          <w:rFonts w:ascii="宋体" w:hAnsi="宋体" w:cs="宋体"/>
          <w:color w:val="auto"/>
          <w:sz w:val="24"/>
          <w:szCs w:val="28"/>
          <w:highlight w:val="yellow"/>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p w14:paraId="3CAC9FD4">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5.3响应文件的签署</w:t>
      </w:r>
    </w:p>
    <w:p w14:paraId="171F4E1E">
      <w:pPr>
        <w:numPr>
          <w:ilvl w:val="0"/>
          <w:numId w:val="4"/>
        </w:numPr>
        <w:spacing w:line="360" w:lineRule="auto"/>
        <w:jc w:val="left"/>
        <w:rPr>
          <w:rFonts w:ascii="宋体" w:hAnsi="宋体" w:cs="宋体"/>
          <w:color w:val="auto"/>
          <w:sz w:val="24"/>
          <w:szCs w:val="28"/>
        </w:rPr>
      </w:pPr>
      <w:r>
        <w:rPr>
          <w:rFonts w:hint="eastAsia" w:ascii="宋体" w:hAnsi="宋体" w:cs="宋体"/>
          <w:color w:val="auto"/>
          <w:sz w:val="24"/>
          <w:szCs w:val="28"/>
        </w:rPr>
        <w:t>供应商应在</w:t>
      </w:r>
      <w:r>
        <w:rPr>
          <w:rFonts w:hint="eastAsia" w:ascii="宋体" w:hAnsi="宋体" w:cs="宋体"/>
          <w:color w:val="auto"/>
          <w:sz w:val="24"/>
          <w:szCs w:val="28"/>
          <w:lang w:eastAsia="zh-CN"/>
        </w:rPr>
        <w:t>响应文件</w:t>
      </w:r>
      <w:r>
        <w:rPr>
          <w:rFonts w:hint="eastAsia" w:ascii="宋体" w:hAnsi="宋体" w:cs="宋体"/>
          <w:color w:val="auto"/>
          <w:sz w:val="24"/>
          <w:szCs w:val="28"/>
        </w:rPr>
        <w:t>正副本中指定的页面落款处填写供应商全称，并按要求加盖公章及签字</w:t>
      </w:r>
      <w:r>
        <w:rPr>
          <w:rFonts w:hint="eastAsia" w:ascii="宋体" w:hAnsi="宋体" w:cs="宋体"/>
          <w:color w:val="auto"/>
          <w:sz w:val="24"/>
          <w:szCs w:val="28"/>
          <w:lang w:eastAsia="zh-CN"/>
        </w:rPr>
        <w:t>（</w:t>
      </w:r>
      <w:r>
        <w:rPr>
          <w:rFonts w:hint="eastAsia" w:ascii="宋体" w:hAnsi="宋体" w:cs="宋体"/>
          <w:color w:val="auto"/>
          <w:sz w:val="24"/>
          <w:szCs w:val="28"/>
        </w:rPr>
        <w:t>包括</w:t>
      </w:r>
      <w:r>
        <w:rPr>
          <w:rFonts w:hint="eastAsia" w:ascii="宋体" w:hAnsi="宋体" w:cs="宋体"/>
          <w:color w:val="auto"/>
          <w:sz w:val="24"/>
          <w:szCs w:val="28"/>
          <w:lang w:eastAsia="zh-CN"/>
        </w:rPr>
        <w:t>响应文件</w:t>
      </w:r>
      <w:r>
        <w:rPr>
          <w:rFonts w:hint="eastAsia" w:ascii="宋体" w:hAnsi="宋体" w:cs="宋体"/>
          <w:color w:val="auto"/>
          <w:sz w:val="24"/>
          <w:szCs w:val="28"/>
        </w:rPr>
        <w:t>的封面）侧面还需加盖骑缝章。</w:t>
      </w:r>
    </w:p>
    <w:p w14:paraId="472BE9A4">
      <w:pPr>
        <w:numPr>
          <w:ilvl w:val="0"/>
          <w:numId w:val="4"/>
        </w:num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响应文件应字迹清楚、内容齐全、不得涂改或增删。如有修改和增删，必须有供应商公章及法定代表人或其授权代表签字。</w:t>
      </w:r>
    </w:p>
    <w:p w14:paraId="2254CDEF">
      <w:pPr>
        <w:keepNext w:val="0"/>
        <w:keepLines w:val="0"/>
        <w:pageBreakBefore w:val="0"/>
        <w:numPr>
          <w:ilvl w:val="0"/>
          <w:numId w:val="4"/>
        </w:numPr>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因响应文件字迹潦草或表达不清所引起的不利后果由供应商承担。</w:t>
      </w:r>
    </w:p>
    <w:p w14:paraId="6ED41D5F">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5.4响应文件的密封</w:t>
      </w:r>
    </w:p>
    <w:p w14:paraId="7D1A372E">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kern w:val="0"/>
          <w:sz w:val="24"/>
          <w:szCs w:val="28"/>
        </w:rPr>
      </w:pPr>
      <w:r>
        <w:rPr>
          <w:rFonts w:hint="eastAsia" w:ascii="宋体" w:hAnsi="宋体" w:cs="宋体"/>
          <w:color w:val="auto"/>
          <w:sz w:val="24"/>
          <w:szCs w:val="28"/>
          <w:lang w:val="en-US" w:eastAsia="zh-CN"/>
        </w:rPr>
        <w:t>资格证明</w:t>
      </w:r>
      <w:r>
        <w:rPr>
          <w:rFonts w:hint="eastAsia" w:ascii="宋体" w:hAnsi="宋体" w:cs="宋体"/>
          <w:color w:val="auto"/>
          <w:sz w:val="24"/>
          <w:szCs w:val="28"/>
        </w:rPr>
        <w:t>文件、响应文件正本、副本应分开封装在单独的封袋中（封袋不得有破损），且在封袋正面标明“正本”“副本”</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资格证明</w:t>
      </w:r>
      <w:r>
        <w:rPr>
          <w:rFonts w:hint="eastAsia" w:ascii="宋体" w:hAnsi="宋体" w:cs="宋体"/>
          <w:color w:val="auto"/>
          <w:sz w:val="24"/>
          <w:szCs w:val="28"/>
        </w:rPr>
        <w:t>文件</w:t>
      </w:r>
      <w:r>
        <w:rPr>
          <w:rFonts w:hint="eastAsia" w:ascii="宋体" w:hAnsi="宋体" w:cs="宋体"/>
          <w:color w:val="auto"/>
          <w:sz w:val="24"/>
          <w:szCs w:val="28"/>
          <w:lang w:eastAsia="zh-CN"/>
        </w:rPr>
        <w:t>”</w:t>
      </w:r>
      <w:r>
        <w:rPr>
          <w:rFonts w:hint="eastAsia" w:ascii="宋体" w:hAnsi="宋体" w:cs="宋体"/>
          <w:color w:val="auto"/>
          <w:sz w:val="24"/>
          <w:szCs w:val="28"/>
        </w:rPr>
        <w:t>，电子版放置正本密封袋内。封袋应加贴封条，并在封线处加盖供应商鲜章，封袋正面要粘贴供应商全称、项目名称、编号等标识</w:t>
      </w:r>
      <w:r>
        <w:rPr>
          <w:rFonts w:hint="eastAsia" w:ascii="宋体" w:hAnsi="宋体" w:cs="宋体"/>
          <w:color w:val="auto"/>
          <w:sz w:val="24"/>
          <w:szCs w:val="28"/>
          <w:lang w:eastAsia="zh-CN"/>
        </w:rPr>
        <w:t>且</w:t>
      </w:r>
      <w:r>
        <w:rPr>
          <w:rFonts w:hint="eastAsia" w:ascii="宋体" w:hAnsi="宋体" w:cs="宋体"/>
          <w:color w:val="auto"/>
          <w:kern w:val="0"/>
          <w:sz w:val="24"/>
          <w:szCs w:val="28"/>
        </w:rPr>
        <w:t>响应文件袋上应加盖供应商公章，如果未按上述规定进行密封，供应商的响应文件有权被拒绝</w:t>
      </w:r>
      <w:r>
        <w:rPr>
          <w:rFonts w:hint="eastAsia" w:ascii="宋体" w:hAnsi="宋体" w:cs="宋体"/>
          <w:color w:val="auto"/>
          <w:sz w:val="24"/>
          <w:szCs w:val="28"/>
        </w:rPr>
        <w:t>。</w:t>
      </w:r>
    </w:p>
    <w:p w14:paraId="65861A4B">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如果供应商未按上述要求密封及加写标记，误投或过早启封的响应文件，将自行承担其响应文件被视为无效响应文件的风险。</w:t>
      </w:r>
    </w:p>
    <w:p w14:paraId="46DDD2F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szCs w:val="28"/>
        </w:rPr>
      </w:pPr>
      <w:r>
        <w:rPr>
          <w:rFonts w:hint="eastAsia" w:ascii="宋体" w:hAnsi="宋体" w:cs="宋体"/>
          <w:color w:val="auto"/>
          <w:sz w:val="24"/>
          <w:szCs w:val="28"/>
        </w:rPr>
        <w:t>5.5本次磋商只接受简体中文文字的响应文件；如响应文件中出现外文资料，必须配以中文译文。否则，由此引发的一切责任由供应商自负。</w:t>
      </w:r>
    </w:p>
    <w:p w14:paraId="5F8128F6">
      <w:pPr>
        <w:widowControl/>
        <w:spacing w:line="360" w:lineRule="auto"/>
        <w:ind w:firstLine="480" w:firstLineChars="200"/>
        <w:rPr>
          <w:rFonts w:ascii="宋体" w:hAnsi="宋体" w:cs="宋体"/>
          <w:color w:val="auto"/>
          <w:kern w:val="0"/>
          <w:sz w:val="24"/>
          <w:szCs w:val="28"/>
        </w:rPr>
      </w:pPr>
      <w:r>
        <w:rPr>
          <w:rFonts w:hint="eastAsia" w:ascii="宋体" w:hAnsi="宋体" w:cs="宋体"/>
          <w:color w:val="auto"/>
          <w:kern w:val="0"/>
          <w:sz w:val="24"/>
          <w:szCs w:val="28"/>
        </w:rPr>
        <w:t>5.6拒绝接受以电话、传真、电子邮件形式的磋商。</w:t>
      </w:r>
    </w:p>
    <w:p w14:paraId="36AC25A8">
      <w:pPr>
        <w:widowControl/>
        <w:numPr>
          <w:ilvl w:val="0"/>
          <w:numId w:val="2"/>
        </w:numPr>
        <w:spacing w:line="360" w:lineRule="auto"/>
        <w:ind w:firstLine="562" w:firstLineChars="200"/>
        <w:jc w:val="center"/>
        <w:outlineLvl w:val="1"/>
        <w:rPr>
          <w:rFonts w:ascii="宋体" w:hAnsi="宋体" w:cs="宋体"/>
          <w:b/>
          <w:bCs/>
          <w:color w:val="auto"/>
          <w:kern w:val="0"/>
          <w:sz w:val="28"/>
          <w:szCs w:val="32"/>
        </w:rPr>
      </w:pPr>
      <w:bookmarkStart w:id="63" w:name="_Toc3565"/>
      <w:bookmarkStart w:id="64" w:name="_Toc536202305"/>
      <w:bookmarkStart w:id="65" w:name="_Toc536202382"/>
      <w:bookmarkStart w:id="66" w:name="_Toc536429375"/>
      <w:bookmarkStart w:id="67" w:name="_Toc19543339"/>
      <w:bookmarkStart w:id="68" w:name="_Toc536429322"/>
      <w:bookmarkStart w:id="69" w:name="_Toc4747"/>
      <w:bookmarkStart w:id="70" w:name="_Toc3736"/>
      <w:r>
        <w:rPr>
          <w:rFonts w:hint="eastAsia" w:ascii="宋体" w:hAnsi="宋体" w:cs="宋体"/>
          <w:b/>
          <w:bCs/>
          <w:color w:val="auto"/>
          <w:kern w:val="0"/>
          <w:sz w:val="28"/>
          <w:szCs w:val="32"/>
        </w:rPr>
        <w:t>响应文件的递交</w:t>
      </w:r>
      <w:bookmarkEnd w:id="63"/>
      <w:bookmarkEnd w:id="64"/>
      <w:bookmarkEnd w:id="65"/>
      <w:bookmarkEnd w:id="66"/>
      <w:bookmarkEnd w:id="67"/>
      <w:bookmarkEnd w:id="68"/>
      <w:bookmarkEnd w:id="69"/>
      <w:r>
        <w:rPr>
          <w:rFonts w:hint="eastAsia" w:ascii="宋体" w:hAnsi="宋体" w:cs="宋体"/>
          <w:b/>
          <w:bCs/>
          <w:color w:val="auto"/>
          <w:kern w:val="0"/>
          <w:sz w:val="28"/>
          <w:szCs w:val="32"/>
        </w:rPr>
        <w:t xml:space="preserve"> </w:t>
      </w:r>
    </w:p>
    <w:bookmarkEnd w:id="70"/>
    <w:p w14:paraId="66E9B297">
      <w:pPr>
        <w:pStyle w:val="4"/>
        <w:numPr>
          <w:ilvl w:val="0"/>
          <w:numId w:val="0"/>
        </w:numPr>
        <w:spacing w:line="360" w:lineRule="auto"/>
        <w:ind w:firstLine="482" w:firstLineChars="200"/>
        <w:rPr>
          <w:rFonts w:ascii="宋体" w:hAnsi="宋体" w:cs="宋体"/>
          <w:color w:val="auto"/>
          <w:sz w:val="24"/>
          <w:szCs w:val="28"/>
        </w:rPr>
      </w:pPr>
      <w:bookmarkStart w:id="71" w:name="_Toc3685"/>
      <w:bookmarkStart w:id="72" w:name="_Toc536202306"/>
      <w:r>
        <w:rPr>
          <w:rFonts w:hint="eastAsia" w:ascii="宋体" w:hAnsi="宋体" w:cs="宋体"/>
          <w:color w:val="auto"/>
          <w:sz w:val="24"/>
          <w:szCs w:val="28"/>
          <w:lang w:val="en-US" w:eastAsia="zh-CN"/>
        </w:rPr>
        <w:t>1.</w:t>
      </w:r>
      <w:r>
        <w:rPr>
          <w:rFonts w:hint="eastAsia" w:ascii="宋体" w:hAnsi="宋体" w:cs="宋体"/>
          <w:color w:val="auto"/>
          <w:sz w:val="24"/>
          <w:szCs w:val="28"/>
        </w:rPr>
        <w:t>响应文件递交</w:t>
      </w:r>
      <w:bookmarkEnd w:id="71"/>
      <w:bookmarkEnd w:id="72"/>
    </w:p>
    <w:p w14:paraId="195E8CFC">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1791087">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1.2代理机构在宣布递交响应文件时间截止之后，拒绝接收任何人送达、递交的响应文件及其他资料；</w:t>
      </w:r>
    </w:p>
    <w:p w14:paraId="3D5071BF">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1.3代理机构不接受邮寄的响应文件；</w:t>
      </w:r>
    </w:p>
    <w:p w14:paraId="3CBD9500">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1.4无论供应商成交与否，其响应文件恕不退还。</w:t>
      </w:r>
    </w:p>
    <w:p w14:paraId="017E369D">
      <w:pPr>
        <w:pStyle w:val="4"/>
        <w:numPr>
          <w:ilvl w:val="0"/>
          <w:numId w:val="0"/>
        </w:numPr>
        <w:spacing w:line="360" w:lineRule="auto"/>
        <w:ind w:firstLine="482" w:firstLineChars="200"/>
        <w:rPr>
          <w:rFonts w:ascii="宋体" w:hAnsi="宋体" w:cs="宋体"/>
          <w:color w:val="auto"/>
          <w:sz w:val="24"/>
          <w:szCs w:val="28"/>
        </w:rPr>
      </w:pPr>
      <w:bookmarkStart w:id="73" w:name="_Toc12741"/>
      <w:bookmarkStart w:id="74" w:name="_Toc536202307"/>
      <w:r>
        <w:rPr>
          <w:rFonts w:hint="eastAsia" w:ascii="宋体" w:hAnsi="宋体" w:cs="宋体"/>
          <w:color w:val="auto"/>
          <w:sz w:val="24"/>
          <w:szCs w:val="28"/>
          <w:lang w:val="en-US" w:eastAsia="zh-CN"/>
        </w:rPr>
        <w:t>2.</w:t>
      </w:r>
      <w:r>
        <w:rPr>
          <w:rFonts w:hint="eastAsia" w:ascii="宋体" w:hAnsi="宋体" w:cs="宋体"/>
          <w:color w:val="auto"/>
          <w:sz w:val="24"/>
          <w:szCs w:val="28"/>
        </w:rPr>
        <w:t>响应文件的修改和撤回</w:t>
      </w:r>
      <w:bookmarkEnd w:id="73"/>
      <w:bookmarkEnd w:id="74"/>
    </w:p>
    <w:p w14:paraId="60F993D5">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2.1供应商在递交响应文件以后，在规定的投标截止时间之前</w:t>
      </w:r>
      <w:r>
        <w:rPr>
          <w:rFonts w:hint="eastAsia" w:ascii="宋体" w:hAnsi="宋体" w:cs="宋体"/>
          <w:color w:val="auto"/>
          <w:sz w:val="24"/>
          <w:szCs w:val="28"/>
          <w:lang w:eastAsia="zh-CN"/>
        </w:rPr>
        <w:t>，</w:t>
      </w:r>
      <w:r>
        <w:rPr>
          <w:rFonts w:hint="eastAsia" w:ascii="宋体" w:hAnsi="宋体" w:cs="宋体"/>
          <w:color w:val="auto"/>
          <w:sz w:val="24"/>
          <w:szCs w:val="28"/>
        </w:rPr>
        <w:t>可以书面形式补充、修改或撤回已递交的响应文件，并以书面形式通知招标代理机构。补充、修改的内容应当按磋商文件要求密封、签署、盖章，并作为响应文件的组成部分；</w:t>
      </w:r>
    </w:p>
    <w:p w14:paraId="5189DD90">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2.2供应商提出修改和撤标要求的，须在投标截止时间前密封送到招标代理机构，并在封面上加注“修改”或“撤回”字样。招标代理机构照相留存后，将响应文件（包含纸质及电子版）退还供应商。</w:t>
      </w:r>
    </w:p>
    <w:p w14:paraId="4437123B">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4CD60CBB">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2.4投标截止时间之后，供应商不得补充、修改响应文件。</w:t>
      </w:r>
    </w:p>
    <w:p w14:paraId="5AE14BEA">
      <w:pPr>
        <w:widowControl/>
        <w:numPr>
          <w:ilvl w:val="0"/>
          <w:numId w:val="2"/>
        </w:numPr>
        <w:spacing w:line="360" w:lineRule="auto"/>
        <w:ind w:firstLine="562" w:firstLineChars="200"/>
        <w:jc w:val="center"/>
        <w:outlineLvl w:val="1"/>
        <w:rPr>
          <w:rFonts w:ascii="宋体" w:hAnsi="宋体" w:cs="宋体"/>
          <w:b/>
          <w:bCs/>
          <w:color w:val="auto"/>
          <w:kern w:val="0"/>
          <w:sz w:val="28"/>
          <w:szCs w:val="28"/>
        </w:rPr>
      </w:pPr>
      <w:bookmarkStart w:id="75" w:name="_Toc27066"/>
      <w:bookmarkStart w:id="76" w:name="_Toc14415"/>
      <w:bookmarkStart w:id="77" w:name="_Toc536202383"/>
      <w:bookmarkStart w:id="78" w:name="_Toc536202308"/>
      <w:bookmarkStart w:id="79" w:name="_Toc19543340"/>
      <w:bookmarkStart w:id="80" w:name="_Toc175"/>
      <w:bookmarkStart w:id="81" w:name="_Toc536429323"/>
      <w:bookmarkStart w:id="82" w:name="_Toc536429376"/>
      <w:r>
        <w:rPr>
          <w:rFonts w:hint="eastAsia" w:ascii="宋体" w:hAnsi="宋体" w:cs="宋体"/>
          <w:b/>
          <w:bCs/>
          <w:color w:val="auto"/>
          <w:kern w:val="0"/>
          <w:sz w:val="28"/>
          <w:szCs w:val="28"/>
        </w:rPr>
        <w:t>磋商、评审、定标</w:t>
      </w:r>
      <w:bookmarkEnd w:id="75"/>
      <w:bookmarkEnd w:id="76"/>
      <w:bookmarkEnd w:id="77"/>
      <w:bookmarkEnd w:id="78"/>
      <w:bookmarkEnd w:id="79"/>
      <w:bookmarkEnd w:id="80"/>
      <w:bookmarkEnd w:id="81"/>
      <w:bookmarkEnd w:id="82"/>
    </w:p>
    <w:p w14:paraId="0E2CBC96">
      <w:pPr>
        <w:pStyle w:val="4"/>
        <w:numPr>
          <w:ilvl w:val="0"/>
          <w:numId w:val="0"/>
        </w:numPr>
        <w:spacing w:line="360" w:lineRule="auto"/>
        <w:ind w:firstLine="482" w:firstLineChars="200"/>
        <w:rPr>
          <w:rFonts w:ascii="宋体" w:hAnsi="宋体" w:cs="宋体"/>
          <w:color w:val="auto"/>
          <w:sz w:val="24"/>
          <w:szCs w:val="28"/>
        </w:rPr>
      </w:pPr>
      <w:bookmarkStart w:id="83" w:name="_Toc536202309"/>
      <w:r>
        <w:rPr>
          <w:rFonts w:hint="eastAsia" w:ascii="宋体" w:hAnsi="宋体" w:cs="宋体"/>
          <w:color w:val="auto"/>
          <w:sz w:val="24"/>
          <w:szCs w:val="28"/>
          <w:lang w:val="en-US" w:eastAsia="zh-CN"/>
        </w:rPr>
        <w:t>1.</w:t>
      </w:r>
      <w:r>
        <w:rPr>
          <w:rFonts w:hint="eastAsia" w:ascii="宋体" w:hAnsi="宋体" w:cs="宋体"/>
          <w:color w:val="auto"/>
          <w:sz w:val="24"/>
          <w:szCs w:val="28"/>
        </w:rPr>
        <w:t>磋商</w:t>
      </w:r>
      <w:bookmarkEnd w:id="83"/>
    </w:p>
    <w:p w14:paraId="793474A9">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1.1采购代理机构按磋商公告中规定的时间和地点接收供应商递交的响应文件，主持磋商会议，邀请供应商代表及采购人代表参加。</w:t>
      </w:r>
      <w:r>
        <w:rPr>
          <w:rFonts w:hint="eastAsia" w:ascii="宋体" w:hAnsi="宋体" w:cs="宋体"/>
          <w:color w:val="auto"/>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533F2FA5">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1.2磋商时，当众查验</w:t>
      </w:r>
      <w:r>
        <w:rPr>
          <w:rFonts w:hint="eastAsia" w:ascii="宋体" w:hAnsi="宋体" w:cs="宋体"/>
          <w:color w:val="auto"/>
          <w:sz w:val="24"/>
          <w:szCs w:val="28"/>
          <w:lang w:eastAsia="zh-CN"/>
        </w:rPr>
        <w:t>响应文件</w:t>
      </w:r>
      <w:r>
        <w:rPr>
          <w:rFonts w:hint="eastAsia" w:ascii="宋体" w:hAnsi="宋体" w:cs="宋体"/>
          <w:color w:val="auto"/>
          <w:sz w:val="24"/>
          <w:szCs w:val="28"/>
        </w:rPr>
        <w:t>密封情况，由投标人或者其推选的代表检查</w:t>
      </w:r>
      <w:r>
        <w:rPr>
          <w:rFonts w:hint="eastAsia" w:ascii="宋体" w:hAnsi="宋体" w:cs="宋体"/>
          <w:color w:val="auto"/>
          <w:sz w:val="24"/>
          <w:szCs w:val="28"/>
          <w:lang w:eastAsia="zh-CN"/>
        </w:rPr>
        <w:t>响应文件</w:t>
      </w:r>
      <w:r>
        <w:rPr>
          <w:rFonts w:hint="eastAsia" w:ascii="宋体" w:hAnsi="宋体" w:cs="宋体"/>
          <w:color w:val="auto"/>
          <w:sz w:val="24"/>
          <w:szCs w:val="28"/>
        </w:rPr>
        <w:t>的密封情况，以确认各投标人的</w:t>
      </w:r>
      <w:r>
        <w:rPr>
          <w:rFonts w:hint="eastAsia" w:ascii="宋体" w:hAnsi="宋体" w:cs="宋体"/>
          <w:color w:val="auto"/>
          <w:sz w:val="24"/>
          <w:szCs w:val="28"/>
          <w:lang w:eastAsia="zh-CN"/>
        </w:rPr>
        <w:t>响应文件</w:t>
      </w:r>
      <w:r>
        <w:rPr>
          <w:rFonts w:hint="eastAsia" w:ascii="宋体" w:hAnsi="宋体" w:cs="宋体"/>
          <w:color w:val="auto"/>
          <w:sz w:val="24"/>
          <w:szCs w:val="28"/>
        </w:rPr>
        <w:t>密封情况是否与递交时一致，没有被提前启封等异常情况。</w:t>
      </w:r>
    </w:p>
    <w:p w14:paraId="26490F5D">
      <w:pPr>
        <w:overflowPunct w:val="0"/>
        <w:adjustRightInd w:val="0"/>
        <w:snapToGrid w:val="0"/>
        <w:spacing w:line="360" w:lineRule="auto"/>
        <w:ind w:firstLine="600" w:firstLineChars="250"/>
        <w:rPr>
          <w:rFonts w:ascii="宋体" w:hAnsi="宋体" w:cs="宋体"/>
          <w:color w:val="auto"/>
          <w:sz w:val="24"/>
          <w:szCs w:val="24"/>
        </w:rPr>
      </w:pPr>
      <w:r>
        <w:rPr>
          <w:rFonts w:hint="eastAsia" w:ascii="宋体" w:hAnsi="宋体" w:cs="宋体"/>
          <w:color w:val="auto"/>
          <w:sz w:val="24"/>
          <w:szCs w:val="28"/>
        </w:rPr>
        <w:t>1.3经确认无误后，</w:t>
      </w:r>
      <w:r>
        <w:rPr>
          <w:rFonts w:hint="eastAsia" w:ascii="宋体" w:hAnsi="宋体" w:cs="宋体"/>
          <w:color w:val="auto"/>
          <w:sz w:val="24"/>
          <w:szCs w:val="24"/>
        </w:rPr>
        <w:t>对密封合格的</w:t>
      </w:r>
      <w:r>
        <w:rPr>
          <w:rFonts w:hint="eastAsia" w:ascii="宋体" w:hAnsi="宋体" w:cs="宋体"/>
          <w:color w:val="auto"/>
          <w:sz w:val="24"/>
          <w:szCs w:val="24"/>
          <w:lang w:eastAsia="zh-CN"/>
        </w:rPr>
        <w:t>响应文件</w:t>
      </w:r>
      <w:r>
        <w:rPr>
          <w:rFonts w:hint="eastAsia" w:ascii="宋体" w:hAnsi="宋体" w:cs="宋体"/>
          <w:color w:val="auto"/>
          <w:sz w:val="24"/>
          <w:szCs w:val="24"/>
        </w:rPr>
        <w:t>由代理机构工作人员现场拆封开启，密封不合格的</w:t>
      </w:r>
      <w:r>
        <w:rPr>
          <w:rFonts w:hint="eastAsia" w:ascii="宋体" w:hAnsi="宋体" w:cs="宋体"/>
          <w:color w:val="auto"/>
          <w:sz w:val="24"/>
          <w:szCs w:val="24"/>
          <w:lang w:eastAsia="zh-CN"/>
        </w:rPr>
        <w:t>响应文件</w:t>
      </w:r>
      <w:r>
        <w:rPr>
          <w:rFonts w:hint="eastAsia" w:ascii="宋体" w:hAnsi="宋体" w:cs="宋体"/>
          <w:color w:val="auto"/>
          <w:sz w:val="24"/>
          <w:szCs w:val="24"/>
        </w:rPr>
        <w:t>以及按照“响应文件的修改和撤回”规定，提交了可接受的“撤回”通知书的</w:t>
      </w:r>
      <w:r>
        <w:rPr>
          <w:rFonts w:hint="eastAsia" w:ascii="宋体" w:hAnsi="宋体" w:cs="宋体"/>
          <w:color w:val="auto"/>
          <w:sz w:val="24"/>
          <w:szCs w:val="24"/>
          <w:lang w:eastAsia="zh-CN"/>
        </w:rPr>
        <w:t>响应文件</w:t>
      </w:r>
      <w:r>
        <w:rPr>
          <w:rFonts w:hint="eastAsia" w:ascii="宋体" w:hAnsi="宋体" w:cs="宋体"/>
          <w:color w:val="auto"/>
          <w:sz w:val="24"/>
          <w:szCs w:val="24"/>
        </w:rPr>
        <w:t>将不予拆封。</w:t>
      </w:r>
    </w:p>
    <w:p w14:paraId="03CC88EA">
      <w:pPr>
        <w:spacing w:line="360" w:lineRule="auto"/>
        <w:ind w:firstLine="480" w:firstLineChars="200"/>
        <w:rPr>
          <w:rFonts w:ascii="宋体" w:hAnsi="宋体" w:cs="宋体"/>
          <w:color w:val="auto"/>
          <w:sz w:val="24"/>
          <w:szCs w:val="28"/>
        </w:rPr>
      </w:pPr>
      <w:r>
        <w:rPr>
          <w:rFonts w:hint="eastAsia" w:ascii="宋体" w:hAnsi="宋体" w:cs="宋体"/>
          <w:color w:val="auto"/>
          <w:sz w:val="24"/>
          <w:szCs w:val="24"/>
        </w:rPr>
        <w:t>1.4</w:t>
      </w:r>
      <w:r>
        <w:rPr>
          <w:rFonts w:hint="eastAsia" w:ascii="宋体" w:hAnsi="宋体" w:cs="宋体"/>
          <w:color w:val="auto"/>
          <w:sz w:val="24"/>
          <w:szCs w:val="24"/>
          <w:lang w:eastAsia="zh-CN"/>
        </w:rPr>
        <w:t>响应文件</w:t>
      </w:r>
      <w:r>
        <w:rPr>
          <w:rFonts w:hint="eastAsia" w:ascii="宋体" w:hAnsi="宋体" w:cs="宋体"/>
          <w:color w:val="auto"/>
          <w:sz w:val="24"/>
          <w:szCs w:val="24"/>
        </w:rPr>
        <w:t>拆封后，宣读投标人名称</w:t>
      </w:r>
      <w:r>
        <w:rPr>
          <w:rFonts w:hint="eastAsia" w:ascii="宋体" w:hAnsi="宋体" w:cs="宋体"/>
          <w:bCs/>
          <w:color w:val="auto"/>
          <w:sz w:val="24"/>
          <w:szCs w:val="24"/>
        </w:rPr>
        <w:t>。</w:t>
      </w:r>
    </w:p>
    <w:p w14:paraId="339C09B4">
      <w:pPr>
        <w:pStyle w:val="4"/>
        <w:spacing w:line="360" w:lineRule="auto"/>
        <w:ind w:firstLine="482" w:firstLineChars="200"/>
        <w:rPr>
          <w:rFonts w:ascii="宋体" w:hAnsi="宋体" w:cs="宋体"/>
          <w:color w:val="auto"/>
          <w:sz w:val="24"/>
          <w:szCs w:val="28"/>
        </w:rPr>
      </w:pPr>
      <w:bookmarkStart w:id="84" w:name="_Toc536202310"/>
      <w:r>
        <w:rPr>
          <w:rFonts w:hint="eastAsia" w:ascii="宋体" w:hAnsi="宋体" w:cs="宋体"/>
          <w:color w:val="auto"/>
          <w:sz w:val="24"/>
          <w:szCs w:val="28"/>
          <w:lang w:eastAsia="zh-CN"/>
        </w:rPr>
        <w:t>2.</w:t>
      </w:r>
      <w:r>
        <w:rPr>
          <w:rFonts w:hint="eastAsia" w:ascii="宋体" w:hAnsi="宋体" w:cs="宋体"/>
          <w:color w:val="auto"/>
          <w:sz w:val="24"/>
          <w:szCs w:val="28"/>
        </w:rPr>
        <w:t>磋商小组</w:t>
      </w:r>
      <w:bookmarkEnd w:id="84"/>
    </w:p>
    <w:p w14:paraId="5B442D50">
      <w:pPr>
        <w:spacing w:line="360" w:lineRule="auto"/>
        <w:ind w:firstLine="480" w:firstLineChars="200"/>
        <w:rPr>
          <w:rFonts w:ascii="宋体" w:hAnsi="宋体" w:cs="宋体"/>
          <w:color w:val="auto"/>
          <w:sz w:val="24"/>
        </w:rPr>
      </w:pPr>
      <w:bookmarkStart w:id="85" w:name="_Toc28085"/>
      <w:bookmarkStart w:id="86" w:name="_Toc385958808"/>
      <w:bookmarkStart w:id="87" w:name="_Toc27940"/>
      <w:bookmarkStart w:id="88" w:name="_Toc386129876"/>
      <w:bookmarkStart w:id="89" w:name="_Toc536202311"/>
      <w:r>
        <w:rPr>
          <w:rFonts w:hint="eastAsia" w:ascii="宋体" w:hAnsi="宋体" w:cs="宋体"/>
          <w:color w:val="auto"/>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224B73E9">
      <w:pPr>
        <w:spacing w:line="360" w:lineRule="auto"/>
        <w:ind w:firstLine="458" w:firstLineChars="191"/>
        <w:rPr>
          <w:rFonts w:ascii="宋体" w:hAnsi="宋体" w:cs="宋体"/>
          <w:color w:val="auto"/>
          <w:sz w:val="24"/>
        </w:rPr>
      </w:pPr>
      <w:r>
        <w:rPr>
          <w:rFonts w:hint="eastAsia" w:ascii="宋体" w:hAnsi="宋体" w:cs="宋体"/>
          <w:color w:val="auto"/>
          <w:sz w:val="24"/>
        </w:rPr>
        <w:t>（1）要严格遵守政府采购相关法律制度，依法履行各自职责，公正、客观、审慎地组织和参与评审工作；</w:t>
      </w:r>
    </w:p>
    <w:p w14:paraId="290AFC79">
      <w:pPr>
        <w:tabs>
          <w:tab w:val="left" w:pos="1200"/>
        </w:tabs>
        <w:spacing w:line="360" w:lineRule="auto"/>
        <w:ind w:firstLine="480" w:firstLineChars="200"/>
        <w:rPr>
          <w:rFonts w:ascii="宋体" w:hAnsi="宋体" w:cs="宋体"/>
          <w:color w:val="auto"/>
          <w:sz w:val="24"/>
        </w:rPr>
      </w:pPr>
      <w:r>
        <w:rPr>
          <w:rFonts w:hint="eastAsia" w:ascii="宋体" w:hAnsi="宋体" w:cs="宋体"/>
          <w:color w:val="auto"/>
          <w:sz w:val="24"/>
        </w:rPr>
        <w:t>（2）对所有响应文件逐一进行资格性、符合性审查，并</w:t>
      </w:r>
      <w:r>
        <w:rPr>
          <w:rFonts w:hint="eastAsia" w:ascii="宋体" w:hAnsi="宋体" w:cs="宋体"/>
          <w:color w:val="auto"/>
          <w:sz w:val="24"/>
          <w:lang w:eastAsia="zh-CN"/>
        </w:rPr>
        <w:t>作出评价</w:t>
      </w:r>
      <w:r>
        <w:rPr>
          <w:rFonts w:hint="eastAsia" w:ascii="宋体" w:hAnsi="宋体" w:cs="宋体"/>
          <w:color w:val="auto"/>
          <w:sz w:val="24"/>
        </w:rPr>
        <w:t>；</w:t>
      </w:r>
    </w:p>
    <w:p w14:paraId="0CA6A452">
      <w:pPr>
        <w:tabs>
          <w:tab w:val="left" w:pos="1200"/>
        </w:tabs>
        <w:spacing w:line="360" w:lineRule="auto"/>
        <w:ind w:firstLine="458" w:firstLineChars="191"/>
        <w:rPr>
          <w:rFonts w:ascii="宋体" w:hAnsi="宋体" w:cs="宋体"/>
          <w:color w:val="auto"/>
          <w:sz w:val="24"/>
        </w:rPr>
      </w:pPr>
      <w:r>
        <w:rPr>
          <w:rFonts w:hint="eastAsia" w:ascii="宋体" w:hAnsi="宋体" w:cs="宋体"/>
          <w:color w:val="auto"/>
          <w:sz w:val="24"/>
        </w:rPr>
        <w:t>（3）按磋商文件规定的评审方法和标准，进行比较和评价；对供应商的价格分等客观评分项的评分应当一致；</w:t>
      </w:r>
    </w:p>
    <w:p w14:paraId="1F956473">
      <w:pPr>
        <w:spacing w:line="360" w:lineRule="auto"/>
        <w:ind w:firstLine="480" w:firstLineChars="200"/>
        <w:rPr>
          <w:rFonts w:ascii="宋体" w:hAnsi="宋体" w:cs="宋体"/>
          <w:color w:val="auto"/>
          <w:sz w:val="24"/>
        </w:rPr>
      </w:pPr>
      <w:r>
        <w:rPr>
          <w:rFonts w:hint="eastAsia" w:ascii="宋体" w:hAnsi="宋体" w:cs="宋体"/>
          <w:color w:val="auto"/>
          <w:sz w:val="24"/>
        </w:rPr>
        <w:t>（4）要求供应商对响应文件有关事项作出解释或澄清；</w:t>
      </w:r>
    </w:p>
    <w:p w14:paraId="293B0C60">
      <w:pPr>
        <w:spacing w:line="360" w:lineRule="auto"/>
        <w:ind w:firstLine="480" w:firstLineChars="200"/>
        <w:rPr>
          <w:rFonts w:ascii="宋体" w:hAnsi="宋体" w:cs="宋体"/>
          <w:color w:val="auto"/>
          <w:sz w:val="24"/>
        </w:rPr>
      </w:pPr>
      <w:r>
        <w:rPr>
          <w:rFonts w:hint="eastAsia" w:ascii="宋体" w:hAnsi="宋体" w:cs="宋体"/>
          <w:color w:val="auto"/>
          <w:sz w:val="24"/>
        </w:rPr>
        <w:t>（5）要依法独立评审，按照磋商文件的要求和评标标准进行评标，推荐成交候选供应商名单，对评审意见承担个人责任；</w:t>
      </w:r>
    </w:p>
    <w:p w14:paraId="37A8429F">
      <w:pPr>
        <w:spacing w:line="360" w:lineRule="auto"/>
        <w:ind w:firstLine="480" w:firstLineChars="200"/>
        <w:rPr>
          <w:rFonts w:ascii="宋体" w:hAnsi="宋体" w:cs="宋体"/>
          <w:color w:val="auto"/>
          <w:sz w:val="24"/>
        </w:rPr>
      </w:pPr>
      <w:r>
        <w:rPr>
          <w:rFonts w:hint="eastAsia" w:ascii="宋体" w:hAnsi="宋体" w:cs="宋体"/>
          <w:color w:val="auto"/>
          <w:sz w:val="24"/>
        </w:rPr>
        <w:t>（6）对需要共同认定的事项存在争议的，按照少数服从多数的原则</w:t>
      </w:r>
      <w:r>
        <w:rPr>
          <w:rFonts w:hint="eastAsia" w:ascii="宋体" w:hAnsi="宋体" w:cs="宋体"/>
          <w:color w:val="auto"/>
          <w:sz w:val="24"/>
          <w:lang w:eastAsia="zh-CN"/>
        </w:rPr>
        <w:t>作出</w:t>
      </w:r>
      <w:r>
        <w:rPr>
          <w:rFonts w:hint="eastAsia" w:ascii="宋体" w:hAnsi="宋体" w:cs="宋体"/>
          <w:color w:val="auto"/>
          <w:sz w:val="24"/>
        </w:rPr>
        <w:t xml:space="preserve">结论。持不同意见的磋商小组成员应当在评审报告上签署不同意见并说明理由，否则视为同意； </w:t>
      </w:r>
    </w:p>
    <w:p w14:paraId="590B6EFB">
      <w:pPr>
        <w:spacing w:line="360" w:lineRule="auto"/>
        <w:ind w:firstLine="480" w:firstLineChars="200"/>
        <w:rPr>
          <w:rFonts w:ascii="宋体" w:hAnsi="宋体" w:cs="宋体"/>
          <w:color w:val="auto"/>
          <w:sz w:val="24"/>
        </w:rPr>
      </w:pPr>
      <w:r>
        <w:rPr>
          <w:rFonts w:hint="eastAsia" w:ascii="宋体" w:hAnsi="宋体" w:cs="宋体"/>
          <w:color w:val="auto"/>
          <w:sz w:val="24"/>
        </w:rPr>
        <w:t>（7）对评审情况以及在评审过程中获悉的国家秘密、商业秘密负有保密责任；</w:t>
      </w:r>
    </w:p>
    <w:p w14:paraId="72A97CD1">
      <w:pPr>
        <w:spacing w:line="360" w:lineRule="auto"/>
        <w:ind w:firstLine="480" w:firstLineChars="200"/>
        <w:rPr>
          <w:rFonts w:ascii="宋体" w:hAnsi="宋体" w:cs="宋体"/>
          <w:color w:val="auto"/>
          <w:sz w:val="24"/>
        </w:rPr>
      </w:pPr>
      <w:r>
        <w:rPr>
          <w:rFonts w:hint="eastAsia" w:ascii="宋体" w:hAnsi="宋体" w:cs="宋体"/>
          <w:color w:val="auto"/>
          <w:sz w:val="24"/>
        </w:rPr>
        <w:t>（8） 配合财政部门的投诉处理工作；</w:t>
      </w:r>
    </w:p>
    <w:p w14:paraId="2C8696C8">
      <w:pPr>
        <w:spacing w:line="360" w:lineRule="auto"/>
        <w:ind w:firstLine="480" w:firstLineChars="200"/>
        <w:rPr>
          <w:rFonts w:ascii="宋体" w:hAnsi="宋体" w:cs="宋体"/>
          <w:color w:val="auto"/>
          <w:sz w:val="24"/>
        </w:rPr>
      </w:pPr>
      <w:r>
        <w:rPr>
          <w:rFonts w:hint="eastAsia" w:ascii="宋体" w:hAnsi="宋体" w:cs="宋体"/>
          <w:color w:val="auto"/>
          <w:sz w:val="24"/>
        </w:rPr>
        <w:t>（9）配合采购人、采购代理机构答复供应商提出的质疑。</w:t>
      </w:r>
    </w:p>
    <w:bookmarkEnd w:id="85"/>
    <w:bookmarkEnd w:id="86"/>
    <w:bookmarkEnd w:id="87"/>
    <w:bookmarkEnd w:id="88"/>
    <w:bookmarkEnd w:id="89"/>
    <w:p w14:paraId="51E104B6">
      <w:pPr>
        <w:spacing w:line="360" w:lineRule="auto"/>
        <w:ind w:firstLine="482" w:firstLineChars="200"/>
        <w:rPr>
          <w:rFonts w:hint="eastAsia" w:ascii="宋体" w:hAnsi="宋体" w:eastAsia="宋体" w:cs="宋体"/>
          <w:b/>
          <w:color w:val="auto"/>
          <w:sz w:val="24"/>
          <w:lang w:eastAsia="zh-CN"/>
        </w:rPr>
      </w:pPr>
      <w:bookmarkStart w:id="90" w:name="_Toc536202313"/>
      <w:r>
        <w:rPr>
          <w:rFonts w:hint="eastAsia" w:ascii="宋体" w:hAnsi="宋体" w:cs="宋体"/>
          <w:b/>
          <w:color w:val="auto"/>
          <w:sz w:val="24"/>
          <w:lang w:eastAsia="zh-CN"/>
        </w:rPr>
        <w:t>3.</w:t>
      </w:r>
      <w:r>
        <w:rPr>
          <w:rFonts w:hint="eastAsia" w:ascii="宋体" w:hAnsi="宋体" w:cs="宋体"/>
          <w:b/>
          <w:color w:val="auto"/>
          <w:sz w:val="24"/>
        </w:rPr>
        <w:t>响应文件的初审</w:t>
      </w:r>
    </w:p>
    <w:p w14:paraId="0D4659C2">
      <w:pPr>
        <w:spacing w:line="360" w:lineRule="auto"/>
        <w:ind w:firstLine="360" w:firstLineChars="150"/>
        <w:rPr>
          <w:rFonts w:hint="eastAsia" w:ascii="宋体" w:hAnsi="宋体" w:cs="宋体"/>
          <w:color w:val="auto"/>
          <w:sz w:val="24"/>
        </w:rPr>
      </w:pPr>
      <w:r>
        <w:rPr>
          <w:rFonts w:hint="eastAsia" w:ascii="宋体" w:hAnsi="宋体" w:cs="宋体"/>
          <w:color w:val="auto"/>
          <w:sz w:val="24"/>
        </w:rPr>
        <w:t>（1）初审分为资格性审查和符合性审查。</w:t>
      </w:r>
    </w:p>
    <w:p w14:paraId="74F36C75">
      <w:pPr>
        <w:spacing w:line="360" w:lineRule="auto"/>
        <w:ind w:firstLine="360" w:firstLineChars="150"/>
        <w:rPr>
          <w:rFonts w:ascii="宋体" w:hAnsi="宋体" w:cs="宋体"/>
          <w:color w:val="auto"/>
          <w:sz w:val="24"/>
        </w:rPr>
      </w:pPr>
      <w:r>
        <w:rPr>
          <w:rFonts w:hint="eastAsia" w:ascii="宋体" w:hAnsi="宋体" w:cs="宋体"/>
          <w:color w:val="auto"/>
          <w:sz w:val="24"/>
        </w:rPr>
        <w:t>（2）资格性审查：依据磋商文件</w:t>
      </w:r>
      <w:r>
        <w:rPr>
          <w:rFonts w:hint="eastAsia" w:ascii="宋体" w:hAnsi="宋体" w:cs="宋体"/>
          <w:color w:val="auto"/>
          <w:sz w:val="24"/>
          <w:lang w:val="en-US" w:eastAsia="zh-CN"/>
        </w:rPr>
        <w:t>须知前附表第10项投标人资格要求</w:t>
      </w:r>
      <w:r>
        <w:rPr>
          <w:rFonts w:hint="eastAsia" w:ascii="宋体" w:hAnsi="宋体" w:cs="宋体"/>
          <w:color w:val="auto"/>
          <w:sz w:val="24"/>
        </w:rPr>
        <w:t>的规定，对供应商的资格证明文件进行审查，以确定供应商是否具备磋商资格。</w:t>
      </w:r>
    </w:p>
    <w:p w14:paraId="127397BF">
      <w:pPr>
        <w:spacing w:line="360" w:lineRule="auto"/>
        <w:ind w:firstLine="360" w:firstLineChars="150"/>
        <w:rPr>
          <w:rFonts w:ascii="宋体" w:hAnsi="宋体" w:cs="宋体"/>
          <w:color w:val="auto"/>
          <w:sz w:val="24"/>
        </w:rPr>
      </w:pPr>
      <w:r>
        <w:rPr>
          <w:rFonts w:hint="eastAsia" w:ascii="宋体" w:hAnsi="宋体" w:cs="宋体"/>
          <w:color w:val="auto"/>
          <w:sz w:val="24"/>
        </w:rPr>
        <w:t>（3）符合性审查：依据磋商文件规定，从响应文件的有效性、完整性和对磋商文件的响应程度进行审查。</w:t>
      </w:r>
    </w:p>
    <w:tbl>
      <w:tblPr>
        <w:tblStyle w:val="3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20B9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54660164">
            <w:pPr>
              <w:keepNext w:val="0"/>
              <w:keepLines w:val="0"/>
              <w:widowControl/>
              <w:suppressLineNumbers w:val="0"/>
              <w:spacing w:before="0" w:beforeAutospacing="0" w:after="0" w:afterAutospacing="0" w:line="288" w:lineRule="auto"/>
              <w:ind w:left="0" w:right="0"/>
              <w:rPr>
                <w:rFonts w:hint="default" w:ascii="宋体" w:hAnsi="宋体" w:cs="宋体"/>
                <w:b/>
                <w:bCs/>
                <w:color w:val="auto"/>
                <w:kern w:val="0"/>
                <w:sz w:val="24"/>
                <w:szCs w:val="24"/>
              </w:rPr>
            </w:pPr>
            <w:r>
              <w:rPr>
                <w:rFonts w:hint="eastAsia" w:ascii="宋体" w:hAnsi="宋体" w:cs="宋体"/>
                <w:b/>
                <w:bCs/>
                <w:color w:val="auto"/>
                <w:kern w:val="0"/>
                <w:sz w:val="24"/>
                <w:szCs w:val="24"/>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983AC27">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4DCA595">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7F06622E">
            <w:pPr>
              <w:keepNext w:val="0"/>
              <w:keepLines w:val="0"/>
              <w:widowControl/>
              <w:suppressLineNumbers w:val="0"/>
              <w:spacing w:before="0" w:beforeAutospacing="0" w:after="0" w:afterAutospacing="0" w:line="288" w:lineRule="auto"/>
              <w:ind w:left="0" w:right="0"/>
              <w:rPr>
                <w:rFonts w:hint="default" w:ascii="宋体" w:hAnsi="宋体" w:cs="宋体"/>
                <w:b/>
                <w:bCs/>
                <w:color w:val="auto"/>
                <w:kern w:val="0"/>
                <w:sz w:val="24"/>
                <w:szCs w:val="24"/>
              </w:rPr>
            </w:pPr>
            <w:r>
              <w:rPr>
                <w:rFonts w:hint="eastAsia" w:ascii="宋体" w:hAnsi="宋体" w:cs="宋体"/>
                <w:b/>
                <w:bCs/>
                <w:color w:val="auto"/>
                <w:kern w:val="0"/>
                <w:sz w:val="24"/>
                <w:szCs w:val="24"/>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EC9C175">
            <w:pPr>
              <w:keepNext w:val="0"/>
              <w:keepLines w:val="0"/>
              <w:widowControl/>
              <w:suppressLineNumbers w:val="0"/>
              <w:spacing w:before="0" w:beforeAutospacing="0" w:after="0" w:afterAutospacing="0" w:line="288" w:lineRule="auto"/>
              <w:ind w:left="0" w:right="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未通过原因</w:t>
            </w:r>
          </w:p>
        </w:tc>
      </w:tr>
      <w:tr w14:paraId="6B75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F32D8DA">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1</w:t>
            </w:r>
          </w:p>
        </w:tc>
        <w:tc>
          <w:tcPr>
            <w:tcW w:w="2359" w:type="dxa"/>
            <w:tcBorders>
              <w:top w:val="single" w:color="auto" w:sz="4" w:space="0"/>
              <w:left w:val="single" w:color="auto" w:sz="4" w:space="0"/>
              <w:bottom w:val="single" w:color="auto" w:sz="4" w:space="0"/>
              <w:right w:val="single" w:color="auto" w:sz="4" w:space="0"/>
            </w:tcBorders>
          </w:tcPr>
          <w:p w14:paraId="73405AC5">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7496B9FB">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color w:val="auto"/>
                <w:sz w:val="24"/>
                <w:szCs w:val="24"/>
              </w:rPr>
              <w:t>均符合</w:t>
            </w:r>
            <w:r>
              <w:rPr>
                <w:rFonts w:hint="eastAsia" w:ascii="宋体" w:hAnsi="宋体" w:cs="宋体"/>
                <w:color w:val="auto"/>
                <w:sz w:val="24"/>
                <w:szCs w:val="24"/>
                <w:lang w:eastAsia="zh-CN"/>
              </w:rPr>
              <w:t>磋商文件</w:t>
            </w:r>
            <w:r>
              <w:rPr>
                <w:rFonts w:hint="eastAsia" w:ascii="宋体" w:hAnsi="宋体" w:cs="宋体"/>
                <w:color w:val="auto"/>
                <w:sz w:val="24"/>
                <w:szCs w:val="24"/>
              </w:rPr>
              <w:t>要求。</w:t>
            </w:r>
          </w:p>
        </w:tc>
        <w:tc>
          <w:tcPr>
            <w:tcW w:w="1002" w:type="dxa"/>
            <w:tcBorders>
              <w:top w:val="single" w:color="auto" w:sz="4" w:space="0"/>
              <w:left w:val="single" w:color="auto" w:sz="4" w:space="0"/>
              <w:bottom w:val="single" w:color="auto" w:sz="4" w:space="0"/>
              <w:right w:val="single" w:color="auto" w:sz="4" w:space="0"/>
            </w:tcBorders>
          </w:tcPr>
          <w:p w14:paraId="52B4BF5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0DF37AF1">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5869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B610AF9">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2</w:t>
            </w:r>
          </w:p>
        </w:tc>
        <w:tc>
          <w:tcPr>
            <w:tcW w:w="2359" w:type="dxa"/>
            <w:tcBorders>
              <w:top w:val="single" w:color="auto" w:sz="4" w:space="0"/>
              <w:left w:val="single" w:color="auto" w:sz="4" w:space="0"/>
              <w:bottom w:val="single" w:color="auto" w:sz="4" w:space="0"/>
              <w:right w:val="single" w:color="auto" w:sz="4" w:space="0"/>
            </w:tcBorders>
          </w:tcPr>
          <w:p w14:paraId="4A85BC23">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封面、投标函、法定代表人委托授权书三处的项目名称、项目编号、标段</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lang w:val="en-US" w:eastAsia="zh-CN"/>
              </w:rPr>
              <w:t>未划分标段的除外</w:t>
            </w:r>
            <w:r>
              <w:rPr>
                <w:rFonts w:hint="eastAsia" w:ascii="宋体" w:hAnsi="宋体" w:cs="宋体"/>
                <w:bCs/>
                <w:color w:val="auto"/>
                <w:kern w:val="0"/>
                <w:sz w:val="24"/>
                <w:szCs w:val="24"/>
                <w:lang w:eastAsia="zh-CN"/>
              </w:rPr>
              <w:t>）</w:t>
            </w:r>
          </w:p>
        </w:tc>
        <w:tc>
          <w:tcPr>
            <w:tcW w:w="3770" w:type="dxa"/>
            <w:tcBorders>
              <w:top w:val="single" w:color="auto" w:sz="4" w:space="0"/>
              <w:left w:val="single" w:color="auto" w:sz="4" w:space="0"/>
              <w:bottom w:val="single" w:color="auto" w:sz="4" w:space="0"/>
              <w:right w:val="single" w:color="auto" w:sz="4" w:space="0"/>
            </w:tcBorders>
            <w:vAlign w:val="center"/>
          </w:tcPr>
          <w:p w14:paraId="5CA66F77">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bCs/>
                <w:color w:val="auto"/>
                <w:kern w:val="0"/>
                <w:sz w:val="24"/>
                <w:szCs w:val="24"/>
              </w:rPr>
              <w:t>三处均无遗漏，且与所投项目名称、项目编号、标段完全一致。</w:t>
            </w:r>
          </w:p>
        </w:tc>
        <w:tc>
          <w:tcPr>
            <w:tcW w:w="1002" w:type="dxa"/>
            <w:tcBorders>
              <w:top w:val="single" w:color="auto" w:sz="4" w:space="0"/>
              <w:left w:val="single" w:color="auto" w:sz="4" w:space="0"/>
              <w:bottom w:val="single" w:color="auto" w:sz="4" w:space="0"/>
              <w:right w:val="single" w:color="auto" w:sz="4" w:space="0"/>
            </w:tcBorders>
          </w:tcPr>
          <w:p w14:paraId="76F2A6AE">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34E6AF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53B0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59295C4">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3</w:t>
            </w:r>
          </w:p>
        </w:tc>
        <w:tc>
          <w:tcPr>
            <w:tcW w:w="2359" w:type="dxa"/>
            <w:tcBorders>
              <w:top w:val="single" w:color="auto" w:sz="4" w:space="0"/>
              <w:left w:val="single" w:color="auto" w:sz="4" w:space="0"/>
              <w:bottom w:val="single" w:color="auto" w:sz="4" w:space="0"/>
              <w:right w:val="single" w:color="auto" w:sz="4" w:space="0"/>
            </w:tcBorders>
            <w:vAlign w:val="center"/>
          </w:tcPr>
          <w:p w14:paraId="2E4DB8D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签署、盖章</w:t>
            </w:r>
          </w:p>
        </w:tc>
        <w:tc>
          <w:tcPr>
            <w:tcW w:w="3770" w:type="dxa"/>
            <w:tcBorders>
              <w:top w:val="single" w:color="auto" w:sz="4" w:space="0"/>
              <w:left w:val="single" w:color="auto" w:sz="4" w:space="0"/>
              <w:bottom w:val="single" w:color="auto" w:sz="4" w:space="0"/>
              <w:right w:val="single" w:color="auto" w:sz="4" w:space="0"/>
            </w:tcBorders>
          </w:tcPr>
          <w:p w14:paraId="7F76B1FC">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color w:val="auto"/>
                <w:sz w:val="24"/>
                <w:szCs w:val="24"/>
              </w:rPr>
              <w:t>均按</w:t>
            </w:r>
            <w:r>
              <w:rPr>
                <w:rFonts w:hint="eastAsia" w:ascii="宋体" w:hAnsi="宋体" w:cs="宋体"/>
                <w:color w:val="auto"/>
                <w:sz w:val="24"/>
                <w:szCs w:val="24"/>
                <w:lang w:eastAsia="zh-CN"/>
              </w:rPr>
              <w:t>磋商文件</w:t>
            </w:r>
            <w:r>
              <w:rPr>
                <w:rFonts w:hint="eastAsia" w:ascii="宋体" w:hAnsi="宋体" w:cs="宋体"/>
                <w:color w:val="auto"/>
                <w:sz w:val="24"/>
                <w:szCs w:val="24"/>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tcPr>
          <w:p w14:paraId="03AC826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99BB19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4BCB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23DA0650">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4</w:t>
            </w:r>
          </w:p>
        </w:tc>
        <w:tc>
          <w:tcPr>
            <w:tcW w:w="2359" w:type="dxa"/>
            <w:tcBorders>
              <w:top w:val="single" w:color="auto" w:sz="4" w:space="0"/>
              <w:left w:val="single" w:color="auto" w:sz="4" w:space="0"/>
              <w:bottom w:val="single" w:color="auto" w:sz="4" w:space="0"/>
              <w:right w:val="single" w:color="auto" w:sz="4" w:space="0"/>
            </w:tcBorders>
            <w:vAlign w:val="center"/>
          </w:tcPr>
          <w:p w14:paraId="6EA15D2B">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highlight w:val="red"/>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组成</w:t>
            </w:r>
          </w:p>
        </w:tc>
        <w:tc>
          <w:tcPr>
            <w:tcW w:w="3770" w:type="dxa"/>
            <w:tcBorders>
              <w:top w:val="single" w:color="auto" w:sz="4" w:space="0"/>
              <w:left w:val="single" w:color="auto" w:sz="4" w:space="0"/>
              <w:bottom w:val="single" w:color="auto" w:sz="4" w:space="0"/>
              <w:right w:val="single" w:color="auto" w:sz="4" w:space="0"/>
            </w:tcBorders>
          </w:tcPr>
          <w:p w14:paraId="334FE750">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lang w:eastAsia="zh-CN"/>
              </w:rPr>
              <w:t>响应文件</w:t>
            </w:r>
            <w:r>
              <w:rPr>
                <w:rFonts w:hint="eastAsia" w:ascii="宋体" w:hAnsi="宋体" w:cs="宋体"/>
                <w:color w:val="auto"/>
                <w:sz w:val="24"/>
                <w:szCs w:val="24"/>
              </w:rPr>
              <w:t>应包含以下内容：</w:t>
            </w:r>
          </w:p>
          <w:p w14:paraId="1BA148E1">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rPr>
            </w:pPr>
            <w:r>
              <w:rPr>
                <w:rFonts w:hint="eastAsia" w:ascii="宋体" w:hAnsi="宋体" w:cs="宋体"/>
                <w:color w:val="auto"/>
                <w:kern w:val="0"/>
                <w:sz w:val="24"/>
                <w:szCs w:val="24"/>
              </w:rPr>
              <w:t xml:space="preserve">第一章 </w:t>
            </w:r>
            <w:r>
              <w:rPr>
                <w:rFonts w:hint="default" w:ascii="宋体" w:hAnsi="宋体" w:cs="宋体"/>
                <w:color w:val="auto"/>
                <w:kern w:val="0"/>
                <w:sz w:val="24"/>
                <w:szCs w:val="24"/>
              </w:rPr>
              <w:t xml:space="preserve">  </w:t>
            </w:r>
            <w:r>
              <w:rPr>
                <w:rFonts w:hint="eastAsia" w:ascii="宋体" w:hAnsi="宋体" w:cs="宋体"/>
                <w:color w:val="auto"/>
                <w:kern w:val="0"/>
                <w:sz w:val="24"/>
                <w:szCs w:val="24"/>
              </w:rPr>
              <w:t>响应函</w:t>
            </w:r>
          </w:p>
          <w:p w14:paraId="40100797">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rPr>
            </w:pPr>
            <w:r>
              <w:rPr>
                <w:rFonts w:hint="eastAsia" w:ascii="宋体" w:hAnsi="宋体" w:cs="宋体"/>
                <w:color w:val="auto"/>
                <w:kern w:val="0"/>
                <w:sz w:val="24"/>
                <w:szCs w:val="24"/>
              </w:rPr>
              <w:t xml:space="preserve">第二章 </w:t>
            </w:r>
            <w:r>
              <w:rPr>
                <w:rFonts w:hint="default" w:ascii="宋体" w:hAnsi="宋体" w:cs="宋体"/>
                <w:color w:val="auto"/>
                <w:kern w:val="0"/>
                <w:sz w:val="24"/>
                <w:szCs w:val="24"/>
              </w:rPr>
              <w:t xml:space="preserve">  </w:t>
            </w:r>
            <w:r>
              <w:rPr>
                <w:rFonts w:hint="eastAsia" w:ascii="宋体" w:hAnsi="宋体" w:cs="宋体"/>
                <w:color w:val="auto"/>
                <w:kern w:val="0"/>
                <w:sz w:val="24"/>
                <w:szCs w:val="24"/>
              </w:rPr>
              <w:t>响应报价表</w:t>
            </w:r>
          </w:p>
          <w:p w14:paraId="2BB4183F">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 xml:space="preserve">第三章  </w:t>
            </w:r>
            <w:r>
              <w:rPr>
                <w:rFonts w:hint="default" w:ascii="宋体" w:hAnsi="宋体" w:cs="宋体"/>
                <w:color w:val="auto"/>
                <w:kern w:val="0"/>
                <w:sz w:val="24"/>
                <w:szCs w:val="24"/>
              </w:rPr>
              <w:t xml:space="preserve"> </w:t>
            </w:r>
            <w:r>
              <w:rPr>
                <w:rFonts w:hint="eastAsia" w:ascii="宋体" w:hAnsi="宋体" w:cs="宋体"/>
                <w:color w:val="auto"/>
                <w:kern w:val="0"/>
                <w:sz w:val="24"/>
                <w:szCs w:val="24"/>
              </w:rPr>
              <w:t>供应商</w:t>
            </w:r>
            <w:r>
              <w:rPr>
                <w:rFonts w:hint="eastAsia" w:ascii="宋体" w:hAnsi="宋体" w:cs="宋体"/>
                <w:color w:val="auto"/>
                <w:kern w:val="0"/>
                <w:sz w:val="24"/>
                <w:szCs w:val="24"/>
                <w:lang w:eastAsia="zh-CN"/>
              </w:rPr>
              <w:t>资格证明文件</w:t>
            </w:r>
          </w:p>
          <w:p w14:paraId="7FCA76DC">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lang w:val="en-US" w:eastAsia="zh-CN"/>
              </w:rPr>
            </w:pPr>
            <w:r>
              <w:rPr>
                <w:rFonts w:hint="eastAsia" w:ascii="宋体" w:hAnsi="宋体" w:cs="宋体"/>
                <w:color w:val="auto"/>
                <w:kern w:val="0"/>
                <w:sz w:val="24"/>
                <w:szCs w:val="24"/>
              </w:rPr>
              <w:t xml:space="preserve">第四章   </w:t>
            </w:r>
            <w:r>
              <w:rPr>
                <w:rFonts w:hint="eastAsia" w:ascii="宋体" w:hAnsi="宋体" w:cs="宋体"/>
                <w:color w:val="auto"/>
                <w:kern w:val="0"/>
                <w:sz w:val="24"/>
                <w:szCs w:val="24"/>
                <w:lang w:val="en-US" w:eastAsia="zh-CN"/>
              </w:rPr>
              <w:t>技术及商务响应偏离表</w:t>
            </w:r>
          </w:p>
          <w:p w14:paraId="2CA5B59A">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cs="宋体"/>
                <w:color w:val="auto"/>
                <w:kern w:val="0"/>
                <w:sz w:val="24"/>
                <w:szCs w:val="24"/>
                <w:lang w:eastAsia="zh-CN"/>
              </w:rPr>
            </w:pPr>
            <w:r>
              <w:rPr>
                <w:rFonts w:hint="eastAsia" w:ascii="宋体" w:hAnsi="宋体" w:cs="宋体"/>
                <w:color w:val="auto"/>
                <w:kern w:val="0"/>
                <w:sz w:val="24"/>
                <w:szCs w:val="24"/>
              </w:rPr>
              <w:t>第五章</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响应方案</w:t>
            </w:r>
          </w:p>
          <w:p w14:paraId="0819822D">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rPr>
            </w:pPr>
            <w:r>
              <w:rPr>
                <w:rFonts w:hint="eastAsia" w:ascii="宋体" w:hAnsi="宋体" w:cs="宋体"/>
                <w:color w:val="auto"/>
                <w:kern w:val="0"/>
                <w:sz w:val="24"/>
                <w:szCs w:val="24"/>
              </w:rPr>
              <w:t>第</w:t>
            </w:r>
            <w:r>
              <w:rPr>
                <w:rFonts w:hint="eastAsia" w:ascii="宋体" w:hAnsi="宋体" w:cs="宋体"/>
                <w:color w:val="auto"/>
                <w:kern w:val="0"/>
                <w:sz w:val="24"/>
                <w:szCs w:val="24"/>
                <w:lang w:val="en-US" w:eastAsia="zh-CN"/>
              </w:rPr>
              <w:t>六</w:t>
            </w:r>
            <w:r>
              <w:rPr>
                <w:rFonts w:hint="eastAsia" w:ascii="宋体" w:hAnsi="宋体" w:cs="宋体"/>
                <w:color w:val="auto"/>
                <w:kern w:val="0"/>
                <w:sz w:val="24"/>
                <w:szCs w:val="24"/>
              </w:rPr>
              <w:t>章   供应商承诺书</w:t>
            </w:r>
          </w:p>
        </w:tc>
        <w:tc>
          <w:tcPr>
            <w:tcW w:w="1002" w:type="dxa"/>
            <w:tcBorders>
              <w:top w:val="single" w:color="auto" w:sz="4" w:space="0"/>
              <w:left w:val="single" w:color="auto" w:sz="4" w:space="0"/>
              <w:bottom w:val="single" w:color="auto" w:sz="4" w:space="0"/>
              <w:right w:val="single" w:color="auto" w:sz="4" w:space="0"/>
            </w:tcBorders>
          </w:tcPr>
          <w:p w14:paraId="0180030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4F8AB63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52C6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F1CB30C">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5</w:t>
            </w:r>
          </w:p>
        </w:tc>
        <w:tc>
          <w:tcPr>
            <w:tcW w:w="2359" w:type="dxa"/>
            <w:tcBorders>
              <w:top w:val="single" w:color="auto" w:sz="4" w:space="0"/>
              <w:left w:val="single" w:color="auto" w:sz="4" w:space="0"/>
              <w:bottom w:val="single" w:color="auto" w:sz="4" w:space="0"/>
              <w:right w:val="single" w:color="auto" w:sz="4" w:space="0"/>
            </w:tcBorders>
            <w:vAlign w:val="center"/>
          </w:tcPr>
          <w:p w14:paraId="43D4E91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0DCCE122">
            <w:pPr>
              <w:keepNext w:val="0"/>
              <w:keepLines w:val="0"/>
              <w:widowControl/>
              <w:suppressLineNumbers w:val="0"/>
              <w:spacing w:before="0" w:beforeAutospacing="0" w:after="0" w:afterAutospacing="0" w:line="288" w:lineRule="auto"/>
              <w:ind w:left="0" w:right="0"/>
              <w:jc w:val="left"/>
              <w:rPr>
                <w:rFonts w:hint="default" w:ascii="宋体" w:hAnsi="宋体" w:cs="宋体"/>
                <w:b/>
                <w:bCs/>
                <w:color w:val="auto"/>
                <w:kern w:val="0"/>
                <w:sz w:val="24"/>
                <w:szCs w:val="24"/>
              </w:rPr>
            </w:pPr>
            <w:r>
              <w:rPr>
                <w:rFonts w:hint="eastAsia" w:ascii="宋体" w:hAnsi="宋体" w:cs="宋体"/>
                <w:color w:val="auto"/>
                <w:sz w:val="24"/>
                <w:szCs w:val="24"/>
              </w:rPr>
              <w:t>计量单位、语言、报价货币、投标有效期均符合</w:t>
            </w:r>
            <w:r>
              <w:rPr>
                <w:rFonts w:hint="eastAsia" w:ascii="宋体" w:hAnsi="宋体" w:cs="宋体"/>
                <w:color w:val="auto"/>
                <w:sz w:val="24"/>
                <w:szCs w:val="24"/>
                <w:lang w:eastAsia="zh-CN"/>
              </w:rPr>
              <w:t>磋商文件</w:t>
            </w:r>
            <w:r>
              <w:rPr>
                <w:rFonts w:hint="eastAsia" w:ascii="宋体" w:hAnsi="宋体" w:cs="宋体"/>
                <w:color w:val="auto"/>
                <w:sz w:val="24"/>
                <w:szCs w:val="24"/>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11B9D38E">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58B9D3D2">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62F4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1E38773">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6</w:t>
            </w:r>
          </w:p>
        </w:tc>
        <w:tc>
          <w:tcPr>
            <w:tcW w:w="2359" w:type="dxa"/>
            <w:tcBorders>
              <w:top w:val="single" w:color="auto" w:sz="4" w:space="0"/>
              <w:left w:val="single" w:color="auto" w:sz="4" w:space="0"/>
              <w:bottom w:val="single" w:color="auto" w:sz="4" w:space="0"/>
              <w:right w:val="single" w:color="auto" w:sz="4" w:space="0"/>
            </w:tcBorders>
            <w:vAlign w:val="center"/>
          </w:tcPr>
          <w:p w14:paraId="1DE35362">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投标报价</w:t>
            </w:r>
          </w:p>
        </w:tc>
        <w:tc>
          <w:tcPr>
            <w:tcW w:w="3770" w:type="dxa"/>
            <w:tcBorders>
              <w:top w:val="single" w:color="auto" w:sz="4" w:space="0"/>
              <w:left w:val="single" w:color="auto" w:sz="4" w:space="0"/>
              <w:bottom w:val="single" w:color="auto" w:sz="4" w:space="0"/>
              <w:right w:val="single" w:color="auto" w:sz="4" w:space="0"/>
            </w:tcBorders>
          </w:tcPr>
          <w:p w14:paraId="3E27697B">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rPr>
              <w:t>（1）投标报价符合唯一性要求</w:t>
            </w:r>
            <w:r>
              <w:rPr>
                <w:rFonts w:hint="eastAsia" w:ascii="宋体" w:hAnsi="宋体" w:cs="宋体"/>
                <w:bCs/>
                <w:color w:val="auto"/>
                <w:kern w:val="0"/>
                <w:sz w:val="24"/>
                <w:szCs w:val="24"/>
                <w:lang w:eastAsia="zh-CN"/>
              </w:rPr>
              <w:t>；</w:t>
            </w:r>
          </w:p>
          <w:p w14:paraId="4AD0623D">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rPr>
              <w:t>（2）开标一览表填写符合要求</w:t>
            </w:r>
            <w:r>
              <w:rPr>
                <w:rFonts w:hint="eastAsia" w:ascii="宋体" w:hAnsi="宋体" w:cs="宋体"/>
                <w:bCs/>
                <w:color w:val="auto"/>
                <w:kern w:val="0"/>
                <w:sz w:val="24"/>
                <w:szCs w:val="24"/>
                <w:lang w:eastAsia="zh-CN"/>
              </w:rPr>
              <w:t>；</w:t>
            </w:r>
          </w:p>
          <w:p w14:paraId="61A30DE1">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color w:val="auto"/>
                <w:sz w:val="24"/>
                <w:szCs w:val="24"/>
                <w:lang w:eastAsia="zh-CN"/>
              </w:rPr>
            </w:pPr>
            <w:r>
              <w:rPr>
                <w:rFonts w:hint="eastAsia" w:ascii="宋体" w:hAnsi="宋体" w:cs="宋体"/>
                <w:bCs/>
                <w:color w:val="auto"/>
                <w:kern w:val="0"/>
                <w:sz w:val="24"/>
                <w:szCs w:val="24"/>
              </w:rPr>
              <w:t>（3）未超出采购预算或</w:t>
            </w: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规定的最高限价</w:t>
            </w:r>
            <w:r>
              <w:rPr>
                <w:rFonts w:hint="eastAsia" w:ascii="宋体" w:hAnsi="宋体" w:cs="宋体"/>
                <w:bCs/>
                <w:color w:val="auto"/>
                <w:kern w:val="0"/>
                <w:sz w:val="24"/>
                <w:szCs w:val="24"/>
                <w:lang w:eastAsia="zh-CN"/>
              </w:rPr>
              <w:t>。</w:t>
            </w:r>
          </w:p>
        </w:tc>
        <w:tc>
          <w:tcPr>
            <w:tcW w:w="1002" w:type="dxa"/>
            <w:tcBorders>
              <w:top w:val="single" w:color="auto" w:sz="4" w:space="0"/>
              <w:left w:val="single" w:color="auto" w:sz="4" w:space="0"/>
              <w:bottom w:val="single" w:color="auto" w:sz="4" w:space="0"/>
              <w:right w:val="single" w:color="auto" w:sz="4" w:space="0"/>
            </w:tcBorders>
          </w:tcPr>
          <w:p w14:paraId="1EE708C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6E382699">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D28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3146CF17">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7</w:t>
            </w:r>
          </w:p>
        </w:tc>
        <w:tc>
          <w:tcPr>
            <w:tcW w:w="2359" w:type="dxa"/>
            <w:tcBorders>
              <w:top w:val="single" w:color="auto" w:sz="4" w:space="0"/>
              <w:left w:val="single" w:color="auto" w:sz="4" w:space="0"/>
              <w:bottom w:val="single" w:color="auto" w:sz="4" w:space="0"/>
              <w:right w:val="single" w:color="auto" w:sz="4" w:space="0"/>
            </w:tcBorders>
            <w:vAlign w:val="center"/>
          </w:tcPr>
          <w:p w14:paraId="0359D44D">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16237AC7">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rPr>
              <w:t>完全响应</w:t>
            </w:r>
            <w:r>
              <w:rPr>
                <w:rFonts w:hint="eastAsia" w:ascii="宋体" w:hAnsi="宋体" w:cs="宋体"/>
                <w:color w:val="auto"/>
                <w:sz w:val="24"/>
                <w:szCs w:val="24"/>
                <w:lang w:eastAsia="zh-CN"/>
              </w:rPr>
              <w:t>磋商文件</w:t>
            </w:r>
            <w:r>
              <w:rPr>
                <w:rFonts w:hint="eastAsia" w:ascii="宋体" w:hAnsi="宋体" w:cs="宋体"/>
                <w:color w:val="auto"/>
                <w:sz w:val="24"/>
                <w:szCs w:val="24"/>
              </w:rPr>
              <w:t>要求的各项实质性条款。</w:t>
            </w:r>
          </w:p>
        </w:tc>
        <w:tc>
          <w:tcPr>
            <w:tcW w:w="1002" w:type="dxa"/>
            <w:tcBorders>
              <w:top w:val="single" w:color="auto" w:sz="4" w:space="0"/>
              <w:left w:val="single" w:color="auto" w:sz="4" w:space="0"/>
              <w:bottom w:val="single" w:color="auto" w:sz="4" w:space="0"/>
              <w:right w:val="single" w:color="auto" w:sz="4" w:space="0"/>
            </w:tcBorders>
          </w:tcPr>
          <w:p w14:paraId="3EA5032A">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73CDADB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7963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7A422BF">
            <w:pPr>
              <w:keepNext w:val="0"/>
              <w:keepLines w:val="0"/>
              <w:widowControl/>
              <w:suppressLineNumbers w:val="0"/>
              <w:spacing w:before="0" w:beforeAutospacing="0" w:after="0" w:afterAutospacing="0" w:line="288" w:lineRule="auto"/>
              <w:ind w:left="0" w:right="0" w:firstLine="200"/>
              <w:rPr>
                <w:rFonts w:hint="default" w:ascii="宋体" w:hAnsi="宋体" w:cs="宋体"/>
                <w:color w:val="auto"/>
                <w:sz w:val="24"/>
                <w:szCs w:val="24"/>
              </w:rPr>
            </w:pPr>
            <w:r>
              <w:rPr>
                <w:rFonts w:hint="eastAsia" w:ascii="宋体" w:hAnsi="宋体" w:cs="宋体"/>
                <w:color w:val="auto"/>
                <w:sz w:val="24"/>
                <w:szCs w:val="24"/>
              </w:rPr>
              <w:t>8</w:t>
            </w:r>
          </w:p>
        </w:tc>
        <w:tc>
          <w:tcPr>
            <w:tcW w:w="2359" w:type="dxa"/>
            <w:tcBorders>
              <w:top w:val="single" w:color="auto" w:sz="4" w:space="0"/>
              <w:left w:val="single" w:color="auto" w:sz="4" w:space="0"/>
              <w:bottom w:val="single" w:color="auto" w:sz="4" w:space="0"/>
              <w:right w:val="single" w:color="auto" w:sz="4" w:space="0"/>
            </w:tcBorders>
            <w:vAlign w:val="center"/>
          </w:tcPr>
          <w:p w14:paraId="3804F7E1">
            <w:pPr>
              <w:keepNext w:val="0"/>
              <w:keepLines w:val="0"/>
              <w:widowControl/>
              <w:suppressLineNumbers w:val="0"/>
              <w:spacing w:before="0" w:beforeAutospacing="0" w:after="0" w:afterAutospacing="0" w:line="288" w:lineRule="auto"/>
              <w:ind w:left="0" w:right="0"/>
              <w:jc w:val="center"/>
              <w:rPr>
                <w:rFonts w:hint="default" w:ascii="宋体" w:hAnsi="宋体" w:cs="宋体"/>
                <w:bCs/>
                <w:color w:val="auto"/>
                <w:kern w:val="0"/>
                <w:sz w:val="24"/>
                <w:szCs w:val="24"/>
              </w:rPr>
            </w:pPr>
            <w:r>
              <w:rPr>
                <w:rFonts w:hint="eastAsia" w:ascii="宋体" w:hAnsi="宋体" w:cs="宋体"/>
                <w:bCs/>
                <w:color w:val="auto"/>
                <w:sz w:val="24"/>
                <w:szCs w:val="24"/>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648BD2E0">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rPr>
              <w:t>完</w:t>
            </w:r>
            <w:r>
              <w:rPr>
                <w:rFonts w:hint="eastAsia" w:ascii="宋体" w:hAnsi="宋体" w:cs="宋体"/>
                <w:color w:val="auto"/>
                <w:sz w:val="24"/>
                <w:szCs w:val="24"/>
                <w:lang w:val="en-US" w:eastAsia="zh-CN"/>
              </w:rPr>
              <w:t>全理解并接受</w:t>
            </w:r>
            <w:r>
              <w:rPr>
                <w:rFonts w:hint="eastAsia" w:ascii="宋体" w:hAnsi="宋体" w:cs="宋体"/>
                <w:color w:val="auto"/>
                <w:sz w:val="24"/>
                <w:szCs w:val="24"/>
                <w:lang w:eastAsia="zh-CN"/>
              </w:rPr>
              <w:t>磋商文件</w:t>
            </w:r>
            <w:r>
              <w:rPr>
                <w:rFonts w:hint="eastAsia" w:ascii="宋体" w:hAnsi="宋体" w:cs="宋体"/>
                <w:color w:val="auto"/>
                <w:sz w:val="24"/>
                <w:szCs w:val="24"/>
              </w:rPr>
              <w:t>合同主要条款。</w:t>
            </w:r>
          </w:p>
        </w:tc>
        <w:tc>
          <w:tcPr>
            <w:tcW w:w="1002" w:type="dxa"/>
            <w:tcBorders>
              <w:top w:val="single" w:color="auto" w:sz="4" w:space="0"/>
              <w:left w:val="single" w:color="auto" w:sz="4" w:space="0"/>
              <w:bottom w:val="single" w:color="auto" w:sz="4" w:space="0"/>
              <w:right w:val="single" w:color="auto" w:sz="4" w:space="0"/>
            </w:tcBorders>
          </w:tcPr>
          <w:p w14:paraId="52D16C0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6801AAA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bl>
    <w:p w14:paraId="03557ECE">
      <w:pPr>
        <w:pStyle w:val="13"/>
        <w:rPr>
          <w:color w:val="auto"/>
        </w:rPr>
      </w:pPr>
    </w:p>
    <w:p w14:paraId="78C213F3">
      <w:pPr>
        <w:spacing w:line="360" w:lineRule="auto"/>
        <w:ind w:firstLine="360" w:firstLineChars="150"/>
        <w:rPr>
          <w:rFonts w:ascii="宋体" w:hAnsi="宋体" w:cs="宋体"/>
          <w:color w:val="auto"/>
          <w:sz w:val="24"/>
        </w:rPr>
      </w:pPr>
      <w:r>
        <w:rPr>
          <w:rFonts w:hint="eastAsia" w:ascii="宋体" w:hAnsi="宋体" w:cs="宋体"/>
          <w:color w:val="auto"/>
          <w:sz w:val="24"/>
        </w:rPr>
        <w:t>（4）磋商时，响应文件中出现下列情况，修正原则为：</w:t>
      </w:r>
    </w:p>
    <w:p w14:paraId="3F29A6EB">
      <w:pPr>
        <w:spacing w:line="360" w:lineRule="auto"/>
        <w:ind w:firstLine="600" w:firstLineChars="250"/>
        <w:rPr>
          <w:rFonts w:ascii="宋体" w:hAnsi="宋体" w:cs="宋体"/>
          <w:color w:val="auto"/>
          <w:sz w:val="24"/>
        </w:rPr>
      </w:pPr>
      <w:r>
        <w:rPr>
          <w:rFonts w:hint="eastAsia" w:ascii="宋体" w:hAnsi="宋体" w:cs="宋体"/>
          <w:color w:val="auto"/>
          <w:sz w:val="24"/>
        </w:rPr>
        <w:t>A</w:t>
      </w:r>
      <w:r>
        <w:rPr>
          <w:rFonts w:hint="eastAsia" w:ascii="宋体" w:hAnsi="宋体" w:cs="宋体"/>
          <w:color w:val="auto"/>
          <w:sz w:val="24"/>
          <w:lang w:eastAsia="zh-CN"/>
        </w:rPr>
        <w:t>.</w:t>
      </w:r>
      <w:r>
        <w:rPr>
          <w:rFonts w:hint="eastAsia" w:ascii="宋体" w:hAnsi="宋体" w:cs="宋体"/>
          <w:color w:val="auto"/>
          <w:sz w:val="24"/>
        </w:rPr>
        <w:t>响应文件中响应报价表内容与响应文件中明细内容不一致的，以响应报价表为准；</w:t>
      </w:r>
    </w:p>
    <w:p w14:paraId="02367303">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B</w:t>
      </w:r>
      <w:r>
        <w:rPr>
          <w:rFonts w:hint="eastAsia" w:ascii="宋体" w:hAnsi="宋体" w:cs="宋体"/>
          <w:color w:val="auto"/>
          <w:sz w:val="24"/>
          <w:lang w:eastAsia="zh-CN"/>
        </w:rPr>
        <w:t>.</w:t>
      </w:r>
      <w:r>
        <w:rPr>
          <w:rFonts w:hint="eastAsia" w:ascii="宋体" w:hAnsi="宋体" w:cs="宋体"/>
          <w:color w:val="auto"/>
          <w:sz w:val="24"/>
        </w:rPr>
        <w:t>大写金额和小写金额不一致的，以大写金额为准；</w:t>
      </w:r>
    </w:p>
    <w:p w14:paraId="29807A10">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C</w:t>
      </w:r>
      <w:r>
        <w:rPr>
          <w:rFonts w:hint="eastAsia" w:ascii="宋体" w:hAnsi="宋体" w:cs="宋体"/>
          <w:color w:val="auto"/>
          <w:sz w:val="24"/>
          <w:lang w:eastAsia="zh-CN"/>
        </w:rPr>
        <w:t>.</w:t>
      </w:r>
      <w:r>
        <w:rPr>
          <w:rFonts w:hint="eastAsia" w:ascii="宋体" w:hAnsi="宋体" w:cs="宋体"/>
          <w:color w:val="auto"/>
          <w:sz w:val="24"/>
        </w:rPr>
        <w:t>单价金额小数点或者百分比有明显错位的，以响应报价表的总价为准，并修改单价；</w:t>
      </w:r>
    </w:p>
    <w:p w14:paraId="54C875FC">
      <w:pPr>
        <w:spacing w:line="360" w:lineRule="auto"/>
        <w:ind w:firstLine="600" w:firstLineChars="250"/>
        <w:rPr>
          <w:rFonts w:ascii="宋体" w:hAnsi="宋体" w:cs="宋体"/>
          <w:color w:val="auto"/>
          <w:sz w:val="24"/>
        </w:rPr>
      </w:pPr>
      <w:r>
        <w:rPr>
          <w:rFonts w:hint="eastAsia" w:ascii="宋体" w:hAnsi="宋体" w:cs="宋体"/>
          <w:color w:val="auto"/>
          <w:sz w:val="24"/>
        </w:rPr>
        <w:t>D</w:t>
      </w:r>
      <w:r>
        <w:rPr>
          <w:rFonts w:hint="eastAsia" w:ascii="宋体" w:hAnsi="宋体" w:cs="宋体"/>
          <w:color w:val="auto"/>
          <w:sz w:val="24"/>
          <w:lang w:eastAsia="zh-CN"/>
        </w:rPr>
        <w:t>.</w:t>
      </w:r>
      <w:r>
        <w:rPr>
          <w:rFonts w:hint="eastAsia" w:ascii="宋体" w:hAnsi="宋体" w:cs="宋体"/>
          <w:color w:val="auto"/>
          <w:sz w:val="24"/>
        </w:rPr>
        <w:t xml:space="preserve">总价金额与按单价汇总金额不一致的，以单价金额计算结果为准； </w:t>
      </w:r>
    </w:p>
    <w:p w14:paraId="32E34BDE">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E</w:t>
      </w:r>
      <w:r>
        <w:rPr>
          <w:rFonts w:hint="eastAsia" w:ascii="宋体" w:hAnsi="宋体" w:cs="宋体"/>
          <w:color w:val="auto"/>
          <w:sz w:val="24"/>
          <w:lang w:eastAsia="zh-CN"/>
        </w:rPr>
        <w:t>.</w:t>
      </w:r>
      <w:r>
        <w:rPr>
          <w:rFonts w:hint="eastAsia" w:ascii="宋体" w:hAnsi="宋体" w:cs="宋体"/>
          <w:color w:val="auto"/>
          <w:sz w:val="24"/>
        </w:rPr>
        <w:t>响应文件正本与副本不一致的，以正本为准；</w:t>
      </w:r>
    </w:p>
    <w:p w14:paraId="1D38EEFA">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F</w:t>
      </w:r>
      <w:r>
        <w:rPr>
          <w:rFonts w:hint="eastAsia" w:ascii="宋体" w:hAnsi="宋体" w:cs="宋体"/>
          <w:color w:val="auto"/>
          <w:sz w:val="24"/>
          <w:lang w:eastAsia="zh-CN"/>
        </w:rPr>
        <w:t>.</w:t>
      </w:r>
      <w:r>
        <w:rPr>
          <w:rFonts w:hint="eastAsia" w:ascii="宋体" w:hAnsi="宋体" w:cs="宋体"/>
          <w:color w:val="auto"/>
          <w:sz w:val="24"/>
        </w:rPr>
        <w:t>多处内容交叉不符时，以磋商小组评审结果为准；</w:t>
      </w:r>
    </w:p>
    <w:p w14:paraId="0F8C7386">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G</w:t>
      </w:r>
      <w:r>
        <w:rPr>
          <w:rFonts w:hint="eastAsia" w:ascii="宋体" w:hAnsi="宋体" w:cs="宋体"/>
          <w:color w:val="auto"/>
          <w:sz w:val="24"/>
          <w:lang w:eastAsia="zh-CN"/>
        </w:rPr>
        <w:t>.</w:t>
      </w:r>
      <w:r>
        <w:rPr>
          <w:rFonts w:hint="eastAsia" w:ascii="宋体" w:hAnsi="宋体" w:cs="宋体"/>
          <w:color w:val="auto"/>
          <w:sz w:val="24"/>
        </w:rPr>
        <w:t>文字与图表不符的，以文字为准。</w:t>
      </w:r>
    </w:p>
    <w:p w14:paraId="1DDDBF75">
      <w:pPr>
        <w:spacing w:line="360" w:lineRule="auto"/>
        <w:ind w:firstLine="480" w:firstLineChars="200"/>
        <w:rPr>
          <w:rFonts w:ascii="宋体" w:hAnsi="宋体" w:cs="宋体"/>
          <w:color w:val="auto"/>
          <w:sz w:val="24"/>
        </w:rPr>
      </w:pPr>
      <w:r>
        <w:rPr>
          <w:rFonts w:hint="eastAsia" w:ascii="宋体" w:hAnsi="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18206DF">
      <w:pPr>
        <w:spacing w:line="360" w:lineRule="auto"/>
        <w:ind w:firstLine="480" w:firstLineChars="200"/>
        <w:rPr>
          <w:rFonts w:ascii="宋体" w:hAnsi="宋体" w:cs="宋体"/>
          <w:color w:val="auto"/>
          <w:sz w:val="24"/>
        </w:rPr>
      </w:pPr>
      <w:r>
        <w:rPr>
          <w:rFonts w:hint="eastAsia" w:ascii="宋体" w:hAnsi="宋体" w:cs="宋体"/>
          <w:color w:val="auto"/>
          <w:sz w:val="24"/>
        </w:rPr>
        <w:t>（5）磋商开始后，直到向成交供应商授予合同为止，凡审查、澄清、评价和比较磋商的有关资料，磋商小组成员均不得向供应商及与磋商无关的其他人透露。</w:t>
      </w:r>
    </w:p>
    <w:p w14:paraId="57D38FF0">
      <w:pPr>
        <w:kinsoku w:val="0"/>
        <w:spacing w:line="360" w:lineRule="auto"/>
        <w:ind w:firstLine="482" w:firstLineChars="200"/>
        <w:rPr>
          <w:rFonts w:ascii="宋体" w:hAnsi="宋体" w:cs="宋体"/>
          <w:b/>
          <w:color w:val="auto"/>
          <w:sz w:val="24"/>
        </w:rPr>
      </w:pPr>
      <w:r>
        <w:rPr>
          <w:rFonts w:hint="eastAsia" w:ascii="宋体" w:hAnsi="宋体" w:cs="宋体"/>
          <w:b/>
          <w:color w:val="auto"/>
          <w:sz w:val="24"/>
          <w:lang w:eastAsia="zh-CN"/>
        </w:rPr>
        <w:t>4.</w:t>
      </w:r>
      <w:r>
        <w:rPr>
          <w:rFonts w:hint="eastAsia" w:ascii="宋体" w:hAnsi="宋体" w:cs="宋体"/>
          <w:b/>
          <w:color w:val="auto"/>
          <w:sz w:val="24"/>
        </w:rPr>
        <w:t>有下列情形之一的，视为供应商串通投标，磋商小组应当认定其响应文件无效：</w:t>
      </w:r>
    </w:p>
    <w:p w14:paraId="3185A41B">
      <w:pPr>
        <w:spacing w:line="360" w:lineRule="auto"/>
        <w:ind w:firstLine="600" w:firstLineChars="250"/>
        <w:rPr>
          <w:rFonts w:ascii="宋体" w:hAnsi="宋体" w:cs="宋体"/>
          <w:color w:val="auto"/>
          <w:kern w:val="0"/>
          <w:sz w:val="22"/>
          <w:szCs w:val="22"/>
        </w:rPr>
      </w:pPr>
      <w:r>
        <w:rPr>
          <w:rFonts w:hint="eastAsia" w:ascii="宋体" w:hAnsi="宋体" w:cs="宋体"/>
          <w:color w:val="auto"/>
          <w:sz w:val="24"/>
        </w:rPr>
        <w:t>A</w:t>
      </w:r>
      <w:r>
        <w:rPr>
          <w:rFonts w:hint="eastAsia" w:ascii="宋体" w:hAnsi="宋体" w:cs="宋体"/>
          <w:color w:val="auto"/>
          <w:sz w:val="24"/>
          <w:lang w:eastAsia="zh-CN"/>
        </w:rPr>
        <w:t>.</w:t>
      </w:r>
      <w:r>
        <w:rPr>
          <w:rFonts w:hint="eastAsia" w:ascii="宋体" w:hAnsi="宋体" w:cs="宋体"/>
          <w:color w:val="auto"/>
          <w:sz w:val="24"/>
        </w:rPr>
        <w:t>不同供应商的响应文件由同一单位或者个人编制；</w:t>
      </w:r>
    </w:p>
    <w:p w14:paraId="0EFA1193">
      <w:pPr>
        <w:widowControl/>
        <w:spacing w:line="360" w:lineRule="auto"/>
        <w:ind w:firstLine="600" w:firstLineChars="250"/>
        <w:rPr>
          <w:rFonts w:ascii="宋体" w:hAnsi="宋体" w:cs="宋体"/>
          <w:color w:val="auto"/>
          <w:sz w:val="24"/>
        </w:rPr>
      </w:pPr>
      <w:r>
        <w:rPr>
          <w:rFonts w:hint="eastAsia" w:ascii="宋体" w:hAnsi="宋体" w:cs="宋体"/>
          <w:color w:val="auto"/>
          <w:sz w:val="24"/>
        </w:rPr>
        <w:t>B</w:t>
      </w:r>
      <w:r>
        <w:rPr>
          <w:rFonts w:hint="eastAsia" w:ascii="宋体" w:hAnsi="宋体" w:cs="宋体"/>
          <w:color w:val="auto"/>
          <w:sz w:val="24"/>
          <w:lang w:eastAsia="zh-CN"/>
        </w:rPr>
        <w:t>.</w:t>
      </w:r>
      <w:r>
        <w:rPr>
          <w:rFonts w:hint="eastAsia" w:ascii="宋体" w:hAnsi="宋体" w:cs="宋体"/>
          <w:color w:val="auto"/>
          <w:sz w:val="24"/>
        </w:rPr>
        <w:t xml:space="preserve">不同供应商委托同一单位或者个人办理磋商事宜； </w:t>
      </w:r>
    </w:p>
    <w:p w14:paraId="3E0C82B4">
      <w:pPr>
        <w:widowControl/>
        <w:spacing w:line="360" w:lineRule="auto"/>
        <w:ind w:firstLine="600" w:firstLineChars="250"/>
        <w:rPr>
          <w:rFonts w:ascii="宋体" w:hAnsi="宋体" w:cs="宋体"/>
          <w:color w:val="auto"/>
          <w:sz w:val="24"/>
        </w:rPr>
      </w:pPr>
      <w:r>
        <w:rPr>
          <w:rFonts w:hint="eastAsia" w:ascii="宋体" w:hAnsi="宋体" w:cs="宋体"/>
          <w:color w:val="auto"/>
          <w:sz w:val="24"/>
        </w:rPr>
        <w:t>C</w:t>
      </w:r>
      <w:r>
        <w:rPr>
          <w:rFonts w:hint="eastAsia" w:ascii="宋体" w:hAnsi="宋体" w:cs="宋体"/>
          <w:color w:val="auto"/>
          <w:sz w:val="24"/>
          <w:lang w:eastAsia="zh-CN"/>
        </w:rPr>
        <w:t>.</w:t>
      </w:r>
      <w:r>
        <w:rPr>
          <w:rFonts w:hint="eastAsia" w:ascii="宋体" w:hAnsi="宋体" w:cs="宋体"/>
          <w:color w:val="auto"/>
          <w:sz w:val="24"/>
        </w:rPr>
        <w:t>不同供应商的响应文件载明的项目管理成员或者联系人员为同一人；</w:t>
      </w:r>
    </w:p>
    <w:p w14:paraId="741621A1">
      <w:pPr>
        <w:widowControl/>
        <w:spacing w:line="360" w:lineRule="auto"/>
        <w:ind w:firstLine="600" w:firstLineChars="250"/>
        <w:rPr>
          <w:rFonts w:ascii="宋体" w:hAnsi="宋体" w:cs="宋体"/>
          <w:color w:val="auto"/>
          <w:sz w:val="24"/>
        </w:rPr>
      </w:pPr>
      <w:r>
        <w:rPr>
          <w:rFonts w:hint="eastAsia" w:ascii="宋体" w:hAnsi="宋体" w:cs="宋体"/>
          <w:color w:val="auto"/>
          <w:sz w:val="24"/>
        </w:rPr>
        <w:t>D</w:t>
      </w:r>
      <w:r>
        <w:rPr>
          <w:rFonts w:hint="eastAsia" w:ascii="宋体" w:hAnsi="宋体" w:cs="宋体"/>
          <w:color w:val="auto"/>
          <w:sz w:val="24"/>
          <w:lang w:eastAsia="zh-CN"/>
        </w:rPr>
        <w:t>.</w:t>
      </w:r>
      <w:r>
        <w:rPr>
          <w:rFonts w:hint="eastAsia" w:ascii="宋体" w:hAnsi="宋体" w:cs="宋体"/>
          <w:color w:val="auto"/>
          <w:sz w:val="24"/>
        </w:rPr>
        <w:t>不同供应商的响应文件异常一致或者磋商报价呈规律性差异；</w:t>
      </w:r>
    </w:p>
    <w:p w14:paraId="0A84B996">
      <w:pPr>
        <w:widowControl/>
        <w:spacing w:line="360" w:lineRule="auto"/>
        <w:ind w:firstLine="480" w:firstLineChars="200"/>
        <w:rPr>
          <w:rFonts w:ascii="宋体" w:hAnsi="宋体" w:cs="宋体"/>
          <w:color w:val="auto"/>
          <w:sz w:val="24"/>
        </w:rPr>
      </w:pPr>
      <w:r>
        <w:rPr>
          <w:rFonts w:hint="eastAsia" w:ascii="宋体" w:hAnsi="宋体" w:cs="宋体"/>
          <w:color w:val="auto"/>
          <w:sz w:val="24"/>
        </w:rPr>
        <w:t xml:space="preserve"> E</w:t>
      </w:r>
      <w:r>
        <w:rPr>
          <w:rFonts w:hint="eastAsia" w:ascii="宋体" w:hAnsi="宋体" w:cs="宋体"/>
          <w:color w:val="auto"/>
          <w:sz w:val="24"/>
          <w:lang w:eastAsia="zh-CN"/>
        </w:rPr>
        <w:t>.</w:t>
      </w:r>
      <w:r>
        <w:rPr>
          <w:rFonts w:hint="eastAsia" w:ascii="宋体" w:hAnsi="宋体" w:cs="宋体"/>
          <w:color w:val="auto"/>
          <w:sz w:val="24"/>
        </w:rPr>
        <w:t>不同供应商的响应文件相互混装；</w:t>
      </w:r>
    </w:p>
    <w:p w14:paraId="5E327D83">
      <w:pPr>
        <w:pStyle w:val="4"/>
        <w:keepNext w:val="0"/>
        <w:keepLines w:val="0"/>
        <w:spacing w:line="360" w:lineRule="auto"/>
        <w:ind w:firstLine="482" w:firstLineChars="200"/>
        <w:rPr>
          <w:rFonts w:ascii="宋体" w:hAnsi="宋体" w:cs="宋体"/>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澄清</w:t>
      </w:r>
    </w:p>
    <w:p w14:paraId="5016B789">
      <w:pPr>
        <w:widowControl/>
        <w:spacing w:line="360" w:lineRule="auto"/>
        <w:ind w:firstLine="360" w:firstLineChars="150"/>
        <w:rPr>
          <w:rFonts w:ascii="宋体" w:hAnsi="宋体" w:cs="宋体"/>
          <w:color w:val="auto"/>
          <w:sz w:val="24"/>
        </w:rPr>
      </w:pPr>
      <w:r>
        <w:rPr>
          <w:rFonts w:hint="eastAsia" w:ascii="宋体" w:hAnsi="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85A805">
      <w:pPr>
        <w:widowControl/>
        <w:spacing w:line="360" w:lineRule="auto"/>
        <w:ind w:firstLine="360" w:firstLineChars="150"/>
        <w:rPr>
          <w:rFonts w:ascii="宋体" w:hAnsi="宋体" w:cs="宋体"/>
          <w:color w:val="auto"/>
          <w:sz w:val="24"/>
        </w:rPr>
      </w:pPr>
      <w:r>
        <w:rPr>
          <w:rFonts w:hint="eastAsia" w:ascii="宋体" w:hAnsi="宋体" w:cs="宋体"/>
          <w:color w:val="auto"/>
          <w:sz w:val="24"/>
        </w:rPr>
        <w:t>（2）实质性内容包括但不限于：</w:t>
      </w:r>
      <w:r>
        <w:rPr>
          <w:rFonts w:hint="eastAsia" w:ascii="宋体" w:hAnsi="宋体" w:cs="宋体"/>
          <w:color w:val="auto"/>
          <w:sz w:val="24"/>
          <w:lang w:val="en-US" w:eastAsia="zh-CN"/>
        </w:rPr>
        <w:t>合同履行</w:t>
      </w:r>
      <w:r>
        <w:rPr>
          <w:rFonts w:hint="eastAsia" w:ascii="宋体" w:hAnsi="宋体" w:cs="宋体"/>
          <w:color w:val="auto"/>
          <w:sz w:val="24"/>
        </w:rPr>
        <w:t>期、付款方式、安全指标、质量指标、主要技术指标</w:t>
      </w:r>
      <w:r>
        <w:rPr>
          <w:rFonts w:hint="eastAsia" w:ascii="宋体" w:hAnsi="宋体" w:cs="宋体"/>
          <w:color w:val="auto"/>
          <w:sz w:val="24"/>
          <w:lang w:eastAsia="zh-CN"/>
        </w:rPr>
        <w:t>、</w:t>
      </w:r>
      <w:r>
        <w:rPr>
          <w:rFonts w:hint="eastAsia" w:ascii="宋体" w:hAnsi="宋体" w:cs="宋体"/>
          <w:color w:val="auto"/>
          <w:sz w:val="24"/>
          <w:lang w:val="en-US" w:eastAsia="zh-CN"/>
        </w:rPr>
        <w:t>服务要求</w:t>
      </w:r>
      <w:r>
        <w:rPr>
          <w:rFonts w:hint="eastAsia" w:ascii="宋体" w:hAnsi="宋体" w:cs="宋体"/>
          <w:color w:val="auto"/>
          <w:sz w:val="24"/>
        </w:rPr>
        <w:t>等。</w:t>
      </w:r>
    </w:p>
    <w:p w14:paraId="05E61F25">
      <w:pPr>
        <w:widowControl/>
        <w:spacing w:line="360" w:lineRule="auto"/>
        <w:ind w:firstLine="360" w:firstLineChars="150"/>
        <w:rPr>
          <w:rFonts w:ascii="宋体" w:hAnsi="宋体" w:cs="宋体"/>
          <w:color w:val="auto"/>
          <w:sz w:val="24"/>
        </w:rPr>
      </w:pPr>
      <w:r>
        <w:rPr>
          <w:rFonts w:hint="eastAsia" w:ascii="宋体" w:hAnsi="宋体" w:cs="宋体"/>
          <w:color w:val="auto"/>
          <w:sz w:val="24"/>
        </w:rPr>
        <w:t>（3）磋商小组要求供应商澄清、说明或者更正响应文件应当以书面形式作出，并由其法定代表人或被授权人签字。</w:t>
      </w:r>
    </w:p>
    <w:p w14:paraId="256F9E09">
      <w:pPr>
        <w:spacing w:line="360" w:lineRule="auto"/>
        <w:ind w:firstLine="360" w:firstLineChars="150"/>
        <w:rPr>
          <w:rFonts w:ascii="宋体" w:hAnsi="宋体" w:cs="宋体"/>
          <w:color w:val="auto"/>
          <w:sz w:val="24"/>
        </w:rPr>
      </w:pPr>
      <w:r>
        <w:rPr>
          <w:rFonts w:hint="eastAsia" w:ascii="宋体" w:hAnsi="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0"/>
    <w:p w14:paraId="3BC913EF">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bookmarkStart w:id="91" w:name="_Toc12947"/>
      <w:bookmarkStart w:id="92" w:name="_Toc536202314"/>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3F96F7A4">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（1）按照磋商文件规定的评审方法和标准，对资格性审查和符合性审查合格的响应文件进行商务和技术评审，综合比较和评价。</w:t>
      </w:r>
    </w:p>
    <w:p w14:paraId="304CACC2">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bidi="ar"/>
        </w:rPr>
        <w:t>（2）采用综合评分法：在满足磋商文件所有实质性要求前提下，提交最</w:t>
      </w:r>
      <w:r>
        <w:rPr>
          <w:rFonts w:hint="eastAsia" w:ascii="宋体" w:hAnsi="宋体" w:cs="宋体"/>
          <w:color w:val="auto"/>
          <w:kern w:val="2"/>
          <w:sz w:val="24"/>
          <w:szCs w:val="24"/>
          <w:lang w:val="en-US" w:eastAsia="zh-CN" w:bidi="ar"/>
        </w:rPr>
        <w:t>后</w:t>
      </w:r>
      <w:r>
        <w:rPr>
          <w:rFonts w:hint="eastAsia" w:ascii="宋体" w:hAnsi="宋体" w:eastAsia="宋体" w:cs="宋体"/>
          <w:color w:val="auto"/>
          <w:kern w:val="2"/>
          <w:sz w:val="24"/>
          <w:szCs w:val="24"/>
          <w:lang w:val="en-US" w:eastAsia="zh-CN" w:bidi="ar"/>
        </w:rPr>
        <w:t>报价。如采购需求没有实质性变化，各供应商的报价应不高于一次报价，</w:t>
      </w:r>
      <w:r>
        <w:rPr>
          <w:rFonts w:hint="eastAsia" w:ascii="宋体" w:hAnsi="宋体" w:cs="宋体"/>
          <w:color w:val="auto"/>
          <w:kern w:val="2"/>
          <w:sz w:val="24"/>
          <w:szCs w:val="24"/>
          <w:lang w:val="en-US" w:eastAsia="zh-CN" w:bidi="ar"/>
        </w:rPr>
        <w:t>最后</w:t>
      </w:r>
      <w:r>
        <w:rPr>
          <w:rFonts w:hint="eastAsia" w:ascii="宋体" w:hAnsi="宋体" w:eastAsia="宋体" w:cs="宋体"/>
          <w:color w:val="auto"/>
          <w:kern w:val="2"/>
          <w:sz w:val="24"/>
          <w:szCs w:val="24"/>
          <w:lang w:val="en-US" w:eastAsia="zh-CN" w:bidi="ar"/>
        </w:rPr>
        <w:t>报价高于一次报价的，为无效报价，按无效文件处理。最</w:t>
      </w:r>
      <w:r>
        <w:rPr>
          <w:rFonts w:hint="eastAsia" w:ascii="宋体" w:hAnsi="宋体" w:cs="宋体"/>
          <w:color w:val="auto"/>
          <w:kern w:val="2"/>
          <w:sz w:val="24"/>
          <w:szCs w:val="24"/>
          <w:lang w:val="en-US" w:eastAsia="zh-CN" w:bidi="ar"/>
        </w:rPr>
        <w:t>后</w:t>
      </w:r>
      <w:r>
        <w:rPr>
          <w:rFonts w:hint="eastAsia" w:ascii="宋体" w:hAnsi="宋体" w:eastAsia="宋体" w:cs="宋体"/>
          <w:color w:val="auto"/>
          <w:kern w:val="2"/>
          <w:sz w:val="24"/>
          <w:szCs w:val="24"/>
          <w:lang w:val="en-US" w:eastAsia="zh-CN" w:bidi="ar"/>
        </w:rPr>
        <w:t>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7704AB9">
      <w:pPr>
        <w:keepNext/>
        <w:keepLines w:val="0"/>
        <w:widowControl w:val="0"/>
        <w:suppressLineNumbers w:val="0"/>
        <w:spacing w:before="0" w:beforeAutospacing="0" w:after="0" w:afterAutospacing="0" w:line="336" w:lineRule="auto"/>
        <w:ind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sz w:val="24"/>
        </w:rPr>
        <w:t xml:space="preserve"> </w:t>
      </w:r>
      <w:r>
        <w:rPr>
          <w:rFonts w:hint="eastAsia" w:ascii="宋体" w:hAnsi="宋体" w:eastAsia="宋体" w:cs="宋体"/>
          <w:color w:val="auto"/>
          <w:kern w:val="2"/>
          <w:sz w:val="24"/>
          <w:szCs w:val="21"/>
          <w:lang w:val="en-US" w:eastAsia="zh-CN" w:bidi="ar"/>
        </w:rPr>
        <w:t>（3）</w:t>
      </w:r>
      <w:r>
        <w:rPr>
          <w:rFonts w:hint="eastAsia" w:ascii="宋体" w:hAnsi="宋体" w:eastAsia="宋体" w:cs="宋体"/>
          <w:color w:val="auto"/>
          <w:kern w:val="2"/>
          <w:sz w:val="24"/>
          <w:szCs w:val="24"/>
          <w:lang w:val="en-US" w:eastAsia="zh-CN" w:bidi="ar"/>
        </w:rPr>
        <w:t>在评审中出现下列情形之一的，磋商小组将启动异常低价响应审查程序：</w:t>
      </w:r>
    </w:p>
    <w:p w14:paraId="4378BE77">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3.1响应报价低于全部通过符合性审查供应商响应报价平均值50%的，即响应报价＜全部通过符合性审查供应商响应报价平均值×50%；</w:t>
      </w:r>
    </w:p>
    <w:p w14:paraId="022A235A">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3.2响应报价低于通过符合性审查的次低报价供应商响应报价50%的，即响应报价＜通过符合性审查的次低报价供应商响应报价×50%；</w:t>
      </w:r>
    </w:p>
    <w:p w14:paraId="00ABACD4">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3.3响应报价低于采购项目最高限价45%的，即响应报价＜采购项目最高限价×45%；</w:t>
      </w:r>
    </w:p>
    <w:p w14:paraId="36810B6F">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3.4磋商小组基于专业判断，认为供应商报价过低，有可能影响产品质量或者不能诚信履约的其他情形。</w:t>
      </w:r>
    </w:p>
    <w:p w14:paraId="3B69447E">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bCs/>
          <w:color w:val="auto"/>
          <w:sz w:val="24"/>
          <w:szCs w:val="24"/>
          <w:lang w:val="en-US"/>
        </w:rPr>
      </w:pPr>
      <w:r>
        <w:rPr>
          <w:rFonts w:hint="eastAsia" w:ascii="宋体" w:hAnsi="宋体" w:eastAsia="宋体" w:cs="宋体"/>
          <w:color w:val="auto"/>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3FAABF2D">
      <w:pPr>
        <w:keepNext w:val="0"/>
        <w:keepLines w:val="0"/>
        <w:widowControl w:val="0"/>
        <w:suppressLineNumbers w:val="0"/>
        <w:spacing w:before="0" w:beforeAutospacing="0" w:after="0" w:afterAutospacing="0" w:line="360" w:lineRule="auto"/>
        <w:ind w:right="0" w:firstLine="480" w:firstLineChars="200"/>
        <w:jc w:val="both"/>
        <w:rPr>
          <w:rFonts w:hint="eastAsia" w:ascii="宋体" w:hAnsi="宋体" w:eastAsia="宋体" w:cs="宋体"/>
          <w:color w:val="auto"/>
          <w:sz w:val="24"/>
          <w:szCs w:val="21"/>
          <w:lang w:val="en-US"/>
        </w:rPr>
      </w:pPr>
      <w:r>
        <w:rPr>
          <w:rFonts w:hint="eastAsia" w:ascii="宋体" w:hAnsi="宋体" w:eastAsia="宋体" w:cs="宋体"/>
          <w:color w:val="auto"/>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4D189066">
      <w:pPr>
        <w:spacing w:line="360" w:lineRule="auto"/>
        <w:ind w:firstLine="360" w:firstLineChars="150"/>
        <w:rPr>
          <w:rFonts w:ascii="宋体" w:hAnsi="宋体" w:cs="宋体"/>
          <w:color w:val="auto"/>
          <w:sz w:val="24"/>
          <w:lang w:val="zh-CN"/>
        </w:rPr>
      </w:pPr>
      <w:r>
        <w:rPr>
          <w:rFonts w:hint="eastAsia" w:ascii="宋体" w:hAnsi="宋体" w:eastAsia="宋体" w:cs="宋体"/>
          <w:color w:val="auto"/>
          <w:kern w:val="2"/>
          <w:sz w:val="24"/>
          <w:szCs w:val="21"/>
          <w:lang w:val="en-US" w:eastAsia="zh-CN" w:bidi="ar"/>
        </w:rPr>
        <w:t>（5）磋商小组须对畸高、畸低的重大差异评分进行复核或书面说明理由。</w:t>
      </w:r>
    </w:p>
    <w:p w14:paraId="63651A49">
      <w:pPr>
        <w:pStyle w:val="4"/>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eastAsia="zh-CN"/>
        </w:rPr>
        <w:t>7.</w:t>
      </w:r>
      <w:r>
        <w:rPr>
          <w:rFonts w:hint="eastAsia" w:ascii="宋体" w:hAnsi="宋体" w:cs="宋体"/>
          <w:color w:val="auto"/>
          <w:sz w:val="24"/>
          <w:szCs w:val="28"/>
        </w:rPr>
        <w:t>定标</w:t>
      </w:r>
      <w:bookmarkEnd w:id="91"/>
      <w:bookmarkEnd w:id="92"/>
    </w:p>
    <w:p w14:paraId="004E3CC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7.1代理机构在评审结束后2个工作日内将评审报告送达采购单位，采购单位在收到评审报告后5个工作日内，按照评审报告中推荐的成交候选人顺序确认第一成交候选人为成交单位，同时书面复函代理机构；</w:t>
      </w:r>
    </w:p>
    <w:p w14:paraId="3B4B4A99">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7.2代理机构收到采购单位“</w:t>
      </w:r>
      <w:r>
        <w:rPr>
          <w:rFonts w:hint="eastAsia" w:ascii="宋体" w:hAnsi="宋体" w:cs="宋体"/>
          <w:color w:val="auto"/>
          <w:sz w:val="24"/>
          <w:szCs w:val="28"/>
          <w:lang w:val="en-US" w:eastAsia="zh-CN"/>
        </w:rPr>
        <w:t>成交</w:t>
      </w:r>
      <w:r>
        <w:rPr>
          <w:rFonts w:hint="eastAsia" w:ascii="宋体" w:hAnsi="宋体" w:cs="宋体"/>
          <w:color w:val="auto"/>
          <w:sz w:val="24"/>
          <w:szCs w:val="28"/>
        </w:rPr>
        <w:t>复函”后2个工作日</w:t>
      </w:r>
      <w:r>
        <w:rPr>
          <w:rFonts w:hint="eastAsia" w:ascii="宋体" w:hAnsi="宋体" w:cs="宋体"/>
          <w:color w:val="auto"/>
          <w:sz w:val="24"/>
          <w:szCs w:val="28"/>
          <w:lang w:val="en-US" w:eastAsia="zh-CN"/>
        </w:rPr>
        <w:t>内</w:t>
      </w:r>
      <w:r>
        <w:rPr>
          <w:rFonts w:hint="eastAsia" w:ascii="宋体" w:hAnsi="宋体" w:cs="宋体"/>
          <w:color w:val="auto"/>
          <w:sz w:val="24"/>
          <w:szCs w:val="28"/>
        </w:rPr>
        <w:t>，在财政部门指定的政府采购信息媒体上发布公告，并向成交供应商发出“成交通知书”。</w:t>
      </w:r>
    </w:p>
    <w:p w14:paraId="33CCEB15">
      <w:pPr>
        <w:widowControl/>
        <w:numPr>
          <w:ilvl w:val="0"/>
          <w:numId w:val="2"/>
        </w:numPr>
        <w:spacing w:line="360" w:lineRule="auto"/>
        <w:ind w:firstLine="562" w:firstLineChars="200"/>
        <w:jc w:val="center"/>
        <w:outlineLvl w:val="1"/>
        <w:rPr>
          <w:rFonts w:ascii="宋体" w:hAnsi="宋体" w:cs="宋体"/>
          <w:b/>
          <w:bCs/>
          <w:color w:val="auto"/>
          <w:kern w:val="0"/>
          <w:sz w:val="28"/>
          <w:szCs w:val="28"/>
        </w:rPr>
      </w:pPr>
      <w:bookmarkStart w:id="93" w:name="_Toc536429324"/>
      <w:bookmarkStart w:id="94" w:name="_Toc19543341"/>
      <w:bookmarkStart w:id="95" w:name="_Toc11870"/>
      <w:bookmarkStart w:id="96" w:name="_Toc536202315"/>
      <w:bookmarkStart w:id="97" w:name="_Toc536202384"/>
      <w:bookmarkStart w:id="98" w:name="_Toc536429377"/>
      <w:bookmarkStart w:id="99" w:name="_Toc19972"/>
      <w:bookmarkStart w:id="100" w:name="_Toc25308"/>
      <w:r>
        <w:rPr>
          <w:rFonts w:hint="eastAsia" w:ascii="宋体" w:hAnsi="宋体" w:cs="宋体"/>
          <w:b/>
          <w:bCs/>
          <w:color w:val="auto"/>
          <w:kern w:val="0"/>
          <w:sz w:val="28"/>
          <w:szCs w:val="28"/>
        </w:rPr>
        <w:t>签订合同</w:t>
      </w:r>
      <w:bookmarkEnd w:id="93"/>
      <w:bookmarkEnd w:id="94"/>
      <w:bookmarkEnd w:id="95"/>
      <w:bookmarkEnd w:id="96"/>
      <w:bookmarkEnd w:id="97"/>
      <w:bookmarkEnd w:id="98"/>
      <w:bookmarkEnd w:id="99"/>
      <w:bookmarkEnd w:id="100"/>
    </w:p>
    <w:p w14:paraId="2E9DADA4">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成交后，成交供应商在收到成交通知书后</w:t>
      </w:r>
      <w:r>
        <w:rPr>
          <w:rFonts w:hint="eastAsia" w:ascii="宋体" w:hAnsi="宋体" w:cs="宋体"/>
          <w:color w:val="auto"/>
          <w:sz w:val="24"/>
          <w:lang w:val="en-US" w:eastAsia="zh-CN"/>
        </w:rPr>
        <w:t>二十五</w:t>
      </w:r>
      <w:r>
        <w:rPr>
          <w:rFonts w:hint="eastAsia" w:ascii="宋体" w:hAnsi="宋体" w:cs="宋体"/>
          <w:color w:val="auto"/>
          <w:sz w:val="24"/>
        </w:rPr>
        <w:t>（</w:t>
      </w:r>
      <w:r>
        <w:rPr>
          <w:rFonts w:hint="eastAsia" w:ascii="宋体" w:hAnsi="宋体" w:cs="宋体"/>
          <w:color w:val="auto"/>
          <w:sz w:val="24"/>
          <w:lang w:val="en-US" w:eastAsia="zh-CN"/>
        </w:rPr>
        <w:t>25</w:t>
      </w:r>
      <w:r>
        <w:rPr>
          <w:rFonts w:hint="eastAsia" w:ascii="宋体" w:hAnsi="宋体" w:cs="宋体"/>
          <w:color w:val="auto"/>
          <w:sz w:val="24"/>
        </w:rPr>
        <w:t>）个日历日内，应按磋商文件的要求与采购人洽谈合同条款，并签订供货合同，同时送监督机构备案，磋商文件及成交供应商的响应文件均作为合同的组成部分；</w:t>
      </w:r>
    </w:p>
    <w:p w14:paraId="420BECDD">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采购人不得向成交供应商提出超出磋商文件以外的任何要求作为签订合同的条件，不得与成交供应商订立背离磋商文件确定的合同文本以及采购服务要求实质性内容的协议。</w:t>
      </w:r>
    </w:p>
    <w:p w14:paraId="569AA032">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FABC443">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4.</w:t>
      </w:r>
      <w:r>
        <w:rPr>
          <w:rFonts w:hint="eastAsia" w:ascii="宋体" w:hAnsi="宋体" w:cs="宋体"/>
          <w:color w:val="auto"/>
          <w:sz w:val="24"/>
        </w:rPr>
        <w:t>政府采购合同在执行过程中，确需修改、变更时，应当按照相应的审核批准程序办理。</w:t>
      </w:r>
    </w:p>
    <w:p w14:paraId="5C56EDAF">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5.</w:t>
      </w:r>
      <w:r>
        <w:rPr>
          <w:rFonts w:hint="eastAsia" w:ascii="宋体" w:hAnsi="宋体" w:cs="宋体"/>
          <w:color w:val="auto"/>
          <w:sz w:val="24"/>
        </w:rPr>
        <w:t>磋商文件、响应文件、澄清等为政府采购合同的组成部分，具有同等法律效力。</w:t>
      </w:r>
    </w:p>
    <w:p w14:paraId="62AAAF6B">
      <w:pPr>
        <w:spacing w:line="360" w:lineRule="auto"/>
        <w:ind w:firstLine="480" w:firstLineChars="200"/>
        <w:rPr>
          <w:rFonts w:ascii="宋体" w:hAnsi="宋体" w:cs="宋体"/>
          <w:color w:val="auto"/>
          <w:sz w:val="24"/>
        </w:rPr>
      </w:pPr>
      <w:bookmarkStart w:id="101" w:name="_Toc536202316"/>
      <w:bookmarkStart w:id="102" w:name="_Toc26132"/>
      <w:bookmarkStart w:id="103" w:name="_Toc536429325"/>
      <w:bookmarkStart w:id="104" w:name="_Toc32237"/>
      <w:bookmarkStart w:id="105" w:name="_Toc28110"/>
      <w:bookmarkStart w:id="106" w:name="_Toc536429378"/>
      <w:bookmarkStart w:id="107" w:name="_Toc536202385"/>
      <w:r>
        <w:rPr>
          <w:rFonts w:hint="eastAsia" w:ascii="宋体" w:hAnsi="宋体" w:cs="宋体"/>
          <w:color w:val="auto"/>
          <w:sz w:val="24"/>
          <w:lang w:eastAsia="zh-CN"/>
        </w:rPr>
        <w:t>6.</w:t>
      </w:r>
      <w:r>
        <w:rPr>
          <w:rFonts w:hint="eastAsia" w:ascii="宋体" w:hAnsi="宋体" w:cs="宋体"/>
          <w:color w:val="auto"/>
          <w:sz w:val="24"/>
        </w:rPr>
        <w:t>政府采购管理部门在合同履行期间以及履行期后，可以随时检查项目的执行情况，对采购标准、采购内容进行调查核实，并对发现的问题进行处理。</w:t>
      </w:r>
    </w:p>
    <w:p w14:paraId="21214739">
      <w:pPr>
        <w:widowControl/>
        <w:numPr>
          <w:ilvl w:val="0"/>
          <w:numId w:val="2"/>
        </w:numPr>
        <w:spacing w:line="360" w:lineRule="auto"/>
        <w:ind w:firstLine="562" w:firstLineChars="200"/>
        <w:jc w:val="center"/>
        <w:outlineLvl w:val="1"/>
        <w:rPr>
          <w:rFonts w:ascii="宋体" w:hAnsi="宋体" w:cs="宋体"/>
          <w:b/>
          <w:bCs/>
          <w:color w:val="auto"/>
          <w:kern w:val="0"/>
          <w:sz w:val="28"/>
          <w:szCs w:val="28"/>
        </w:rPr>
      </w:pPr>
      <w:bookmarkStart w:id="108" w:name="_Toc19543342"/>
      <w:r>
        <w:rPr>
          <w:rFonts w:hint="eastAsia" w:ascii="宋体" w:hAnsi="宋体" w:cs="宋体"/>
          <w:b/>
          <w:bCs/>
          <w:color w:val="auto"/>
          <w:kern w:val="0"/>
          <w:sz w:val="28"/>
          <w:szCs w:val="28"/>
        </w:rPr>
        <w:t>代理服务费</w:t>
      </w:r>
      <w:bookmarkEnd w:id="101"/>
      <w:bookmarkEnd w:id="102"/>
      <w:bookmarkEnd w:id="103"/>
      <w:bookmarkEnd w:id="104"/>
      <w:bookmarkEnd w:id="105"/>
      <w:bookmarkEnd w:id="106"/>
      <w:bookmarkEnd w:id="107"/>
      <w:bookmarkEnd w:id="108"/>
    </w:p>
    <w:p w14:paraId="1DCCF89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kern w:val="2"/>
          <w:sz w:val="24"/>
          <w:szCs w:val="28"/>
          <w:lang w:val="en-US" w:eastAsia="zh-CN" w:bidi="ar-SA"/>
        </w:rPr>
        <w:t>1.</w:t>
      </w:r>
      <w:r>
        <w:rPr>
          <w:rFonts w:hint="eastAsia" w:ascii="宋体" w:hAnsi="宋体" w:eastAsia="宋体" w:cs="宋体"/>
          <w:color w:val="auto"/>
          <w:sz w:val="24"/>
          <w:szCs w:val="28"/>
        </w:rPr>
        <w:t>参照国家计委颁发的《招标代理服务收费管理暂行办法》（计价格[2002]1980号）和国家发展改革委员会办公厅颁发的《关于招标代理服务收费有关问题的通知》（发改办价格[2003]857号）的标准收取。</w:t>
      </w:r>
    </w:p>
    <w:p w14:paraId="376FDF5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采购代理机构开户名称：安康尚昊招标代理有限公司  </w:t>
      </w:r>
    </w:p>
    <w:p w14:paraId="6B4C68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开户行名称：中国建设银行股份有限公司安康分行营业部  </w:t>
      </w:r>
    </w:p>
    <w:p w14:paraId="688345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账号</w:t>
      </w:r>
      <w:r>
        <w:rPr>
          <w:rFonts w:hint="eastAsia" w:ascii="宋体" w:hAnsi="宋体" w:eastAsia="宋体" w:cs="宋体"/>
          <w:color w:val="auto"/>
          <w:sz w:val="24"/>
          <w:szCs w:val="28"/>
        </w:rPr>
        <w:t>：61050166371100000492</w:t>
      </w:r>
    </w:p>
    <w:p w14:paraId="70B6F6E0">
      <w:pPr>
        <w:numPr>
          <w:ilvl w:val="0"/>
          <w:numId w:val="0"/>
        </w:numPr>
        <w:spacing w:line="360" w:lineRule="auto"/>
        <w:ind w:firstLine="480" w:firstLineChars="200"/>
        <w:jc w:val="left"/>
        <w:rPr>
          <w:rFonts w:ascii="宋体" w:hAnsi="宋体" w:cs="宋体"/>
          <w:color w:val="auto"/>
          <w:sz w:val="24"/>
          <w:szCs w:val="28"/>
        </w:rPr>
      </w:pPr>
      <w:r>
        <w:rPr>
          <w:rFonts w:hint="eastAsia" w:ascii="宋体" w:hAnsi="宋体" w:eastAsia="宋体" w:cs="宋体"/>
          <w:color w:val="auto"/>
          <w:kern w:val="2"/>
          <w:sz w:val="24"/>
          <w:szCs w:val="28"/>
          <w:lang w:val="en-US" w:eastAsia="zh-CN" w:bidi="ar-SA"/>
        </w:rPr>
        <w:t>2.代理服务费由成交供应商支付，在领取成交通知书前，须向采购代理机构一次性支付招标代理服务费。代理服务费以转账、电汇或现金等形式交纳。</w:t>
      </w:r>
    </w:p>
    <w:p w14:paraId="1A5B91D3">
      <w:pPr>
        <w:widowControl/>
        <w:numPr>
          <w:ilvl w:val="0"/>
          <w:numId w:val="2"/>
        </w:numPr>
        <w:spacing w:line="360" w:lineRule="auto"/>
        <w:ind w:firstLine="0"/>
        <w:jc w:val="center"/>
        <w:outlineLvl w:val="1"/>
        <w:rPr>
          <w:rFonts w:ascii="宋体" w:hAnsi="宋体" w:cs="宋体"/>
          <w:b/>
          <w:bCs/>
          <w:color w:val="auto"/>
          <w:kern w:val="0"/>
          <w:sz w:val="28"/>
          <w:szCs w:val="28"/>
        </w:rPr>
      </w:pPr>
      <w:bookmarkStart w:id="109" w:name="_Toc536202386"/>
      <w:bookmarkStart w:id="110" w:name="_Toc536429326"/>
      <w:bookmarkStart w:id="111" w:name="_Toc11491"/>
      <w:bookmarkStart w:id="112" w:name="_Toc19543343"/>
      <w:bookmarkStart w:id="113" w:name="_Toc664"/>
      <w:bookmarkStart w:id="114" w:name="_Toc536202317"/>
      <w:bookmarkStart w:id="115" w:name="_Toc536429379"/>
      <w:r>
        <w:rPr>
          <w:rFonts w:hint="eastAsia" w:ascii="宋体" w:hAnsi="宋体" w:cs="宋体"/>
          <w:b/>
          <w:bCs/>
          <w:color w:val="auto"/>
          <w:kern w:val="0"/>
          <w:sz w:val="28"/>
          <w:szCs w:val="28"/>
        </w:rPr>
        <w:t>质疑和投诉</w:t>
      </w:r>
      <w:bookmarkEnd w:id="109"/>
      <w:bookmarkEnd w:id="110"/>
      <w:bookmarkEnd w:id="111"/>
      <w:bookmarkEnd w:id="112"/>
      <w:bookmarkEnd w:id="113"/>
      <w:bookmarkEnd w:id="114"/>
      <w:bookmarkEnd w:id="115"/>
    </w:p>
    <w:p w14:paraId="3F70AA63">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质疑或投诉的接收和处理应当按照《中华人民共和国政府采购法》及其实施条例、《政府采购质疑和投诉办法</w:t>
      </w:r>
      <w:r>
        <w:rPr>
          <w:rFonts w:hint="eastAsia" w:ascii="宋体" w:hAnsi="宋体" w:cs="宋体"/>
          <w:color w:val="auto"/>
          <w:sz w:val="24"/>
          <w:szCs w:val="28"/>
          <w:lang w:eastAsia="zh-CN"/>
        </w:rPr>
        <w:t>》《</w:t>
      </w:r>
      <w:r>
        <w:rPr>
          <w:rFonts w:hint="eastAsia" w:ascii="宋体" w:hAnsi="宋体" w:cs="宋体"/>
          <w:color w:val="auto"/>
          <w:sz w:val="24"/>
          <w:szCs w:val="28"/>
        </w:rPr>
        <w:t>财政部关于加强政府采购供应商投诉受理审查工作的通知》等的相关规定办理。</w:t>
      </w:r>
    </w:p>
    <w:p w14:paraId="17178DE1">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1.</w:t>
      </w:r>
      <w:r>
        <w:rPr>
          <w:rFonts w:hint="eastAsia" w:ascii="宋体" w:hAnsi="宋体" w:cs="宋体"/>
          <w:color w:val="auto"/>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6A3DA835">
      <w:pPr>
        <w:spacing w:line="360" w:lineRule="auto"/>
        <w:ind w:firstLine="240" w:firstLineChars="100"/>
        <w:jc w:val="left"/>
        <w:rPr>
          <w:rFonts w:ascii="宋体" w:hAnsi="宋体" w:cs="宋体"/>
          <w:color w:val="auto"/>
          <w:sz w:val="24"/>
          <w:szCs w:val="28"/>
        </w:rPr>
      </w:pPr>
      <w:r>
        <w:rPr>
          <w:rFonts w:hint="eastAsia" w:ascii="宋体" w:hAnsi="宋体" w:cs="宋体"/>
          <w:color w:val="auto"/>
          <w:sz w:val="24"/>
          <w:szCs w:val="28"/>
        </w:rPr>
        <w:t>（1）对采购文件提出质疑的，为收到采购文件之日或者采购文件公告期限届满之日；</w:t>
      </w:r>
    </w:p>
    <w:p w14:paraId="4EE42730">
      <w:pPr>
        <w:spacing w:line="360" w:lineRule="auto"/>
        <w:ind w:firstLine="240" w:firstLineChars="100"/>
        <w:jc w:val="left"/>
        <w:rPr>
          <w:rFonts w:ascii="宋体" w:hAnsi="宋体" w:cs="宋体"/>
          <w:color w:val="auto"/>
          <w:sz w:val="24"/>
          <w:szCs w:val="28"/>
        </w:rPr>
      </w:pPr>
      <w:r>
        <w:rPr>
          <w:rFonts w:hint="eastAsia" w:ascii="宋体" w:hAnsi="宋体" w:cs="宋体"/>
          <w:color w:val="auto"/>
          <w:sz w:val="24"/>
          <w:szCs w:val="28"/>
        </w:rPr>
        <w:t>（2）对采购过程提出质疑的，为各采购程序环节结束之日；</w:t>
      </w:r>
    </w:p>
    <w:p w14:paraId="443470DC">
      <w:pPr>
        <w:spacing w:line="360" w:lineRule="auto"/>
        <w:ind w:firstLine="240" w:firstLineChars="100"/>
        <w:jc w:val="left"/>
        <w:rPr>
          <w:rFonts w:ascii="宋体" w:hAnsi="宋体" w:cs="宋体"/>
          <w:color w:val="auto"/>
          <w:sz w:val="24"/>
          <w:szCs w:val="28"/>
        </w:rPr>
      </w:pPr>
      <w:r>
        <w:rPr>
          <w:rFonts w:hint="eastAsia" w:ascii="宋体" w:hAnsi="宋体" w:cs="宋体"/>
          <w:color w:val="auto"/>
          <w:sz w:val="24"/>
          <w:szCs w:val="28"/>
        </w:rPr>
        <w:t>（3）对中标或者成交结果提出质疑的，为中标或者成交结果公告期限届满之日。</w:t>
      </w:r>
    </w:p>
    <w:p w14:paraId="64556F91">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供应商应当在法定质疑期内一次性提出针对同一采购程序环节的质疑。</w:t>
      </w:r>
    </w:p>
    <w:p w14:paraId="2CC2CB16">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3.</w:t>
      </w:r>
      <w:r>
        <w:rPr>
          <w:rFonts w:hint="eastAsia" w:ascii="宋体" w:hAnsi="宋体" w:cs="宋体"/>
          <w:color w:val="auto"/>
          <w:sz w:val="24"/>
          <w:szCs w:val="28"/>
        </w:rPr>
        <w:t>质疑函应当包括下列主要内容：</w:t>
      </w:r>
    </w:p>
    <w:p w14:paraId="48B1FC71">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（1）供应商的姓名或者名称、地址、邮编、联系人及联系电话；</w:t>
      </w:r>
    </w:p>
    <w:p w14:paraId="4F420309">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（2）质疑项目的名称、编号；</w:t>
      </w:r>
    </w:p>
    <w:p w14:paraId="21652DE7">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（3）具体、明确的质疑事项和与质疑事项相关的请求；</w:t>
      </w:r>
    </w:p>
    <w:p w14:paraId="753CF0BC">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（4）事实依据；</w:t>
      </w:r>
    </w:p>
    <w:p w14:paraId="670FEAF9">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（5）必要的法律依据；</w:t>
      </w:r>
    </w:p>
    <w:p w14:paraId="40128EB5">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（6）提出质疑的日期。</w:t>
      </w:r>
    </w:p>
    <w:p w14:paraId="661F7D74">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4.</w:t>
      </w:r>
      <w:r>
        <w:rPr>
          <w:rFonts w:hint="eastAsia" w:ascii="宋体" w:hAnsi="宋体" w:cs="宋体"/>
          <w:color w:val="auto"/>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0E02203D">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5.</w:t>
      </w:r>
      <w:r>
        <w:rPr>
          <w:rFonts w:hint="eastAsia" w:ascii="宋体" w:hAnsi="宋体" w:cs="宋体"/>
          <w:color w:val="auto"/>
          <w:sz w:val="24"/>
          <w:szCs w:val="28"/>
        </w:rPr>
        <w:t>质疑函内容不得含有虚假、恶意</w:t>
      </w:r>
      <w:r>
        <w:rPr>
          <w:rFonts w:hint="eastAsia" w:ascii="宋体" w:hAnsi="宋体" w:cs="宋体"/>
          <w:color w:val="auto"/>
          <w:sz w:val="24"/>
          <w:szCs w:val="28"/>
          <w:lang w:eastAsia="zh-CN"/>
        </w:rPr>
        <w:t>成分</w:t>
      </w:r>
      <w:r>
        <w:rPr>
          <w:rFonts w:hint="eastAsia" w:ascii="宋体" w:hAnsi="宋体" w:cs="宋体"/>
          <w:color w:val="auto"/>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4CE52A0F">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6.</w:t>
      </w:r>
      <w:r>
        <w:rPr>
          <w:rFonts w:hint="eastAsia" w:ascii="宋体" w:hAnsi="宋体" w:cs="宋体"/>
          <w:color w:val="auto"/>
          <w:sz w:val="24"/>
          <w:szCs w:val="28"/>
        </w:rPr>
        <w:t>质疑函接收方式：</w:t>
      </w:r>
      <w:r>
        <w:rPr>
          <w:rFonts w:ascii="宋体" w:hAnsi="宋体" w:eastAsia="宋体" w:cs="宋体"/>
          <w:color w:val="auto"/>
          <w:sz w:val="24"/>
          <w:szCs w:val="24"/>
        </w:rPr>
        <w:t>接受</w:t>
      </w:r>
      <w:r>
        <w:rPr>
          <w:rStyle w:val="40"/>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w:t>
      </w:r>
      <w:r>
        <w:rPr>
          <w:rFonts w:hint="eastAsia" w:ascii="宋体" w:hAnsi="宋体" w:cs="宋体"/>
          <w:color w:val="auto"/>
          <w:sz w:val="24"/>
          <w:szCs w:val="28"/>
        </w:rPr>
        <w:t xml:space="preserve"> </w:t>
      </w:r>
    </w:p>
    <w:p w14:paraId="78CA86EA">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7.</w:t>
      </w:r>
      <w:r>
        <w:rPr>
          <w:rFonts w:hint="eastAsia" w:ascii="宋体" w:hAnsi="宋体" w:cs="宋体"/>
          <w:color w:val="auto"/>
          <w:sz w:val="24"/>
          <w:szCs w:val="28"/>
        </w:rPr>
        <w:t>质疑受理部门：安康尚昊招标代理有限公司</w:t>
      </w:r>
    </w:p>
    <w:p w14:paraId="31DD658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 xml:space="preserve">   质疑受理电话：13991519725</w:t>
      </w:r>
    </w:p>
    <w:p w14:paraId="396AF5FB">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8.</w:t>
      </w:r>
      <w:r>
        <w:rPr>
          <w:rFonts w:hint="eastAsia" w:ascii="宋体" w:hAnsi="宋体" w:cs="宋体"/>
          <w:color w:val="auto"/>
          <w:sz w:val="24"/>
          <w:szCs w:val="28"/>
        </w:rPr>
        <w:t>提交质疑函地点：安康市高新区高新观澜8幢2单元801室</w:t>
      </w:r>
    </w:p>
    <w:p w14:paraId="704B5945">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9.</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40"/>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539EABB3">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如所质疑的问题比较复杂，采购人或者采购代理机构在规定的答复时间内无法回复，应事先告知提出质疑的供应商，同时向同级政府采购监督管理部门报告。</w:t>
      </w:r>
    </w:p>
    <w:p w14:paraId="2BB17F1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eastAsia="zh-CN"/>
        </w:rPr>
        <w:t>0.</w:t>
      </w:r>
      <w:r>
        <w:rPr>
          <w:rFonts w:hint="eastAsia" w:ascii="宋体" w:hAnsi="宋体" w:cs="宋体"/>
          <w:color w:val="auto"/>
          <w:sz w:val="24"/>
          <w:szCs w:val="28"/>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14B127A3">
      <w:pPr>
        <w:spacing w:line="360" w:lineRule="auto"/>
        <w:ind w:firstLine="480" w:firstLineChars="200"/>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eastAsia="zh-CN"/>
        </w:rPr>
        <w:t>1.</w:t>
      </w:r>
      <w:r>
        <w:rPr>
          <w:rFonts w:hint="eastAsia" w:ascii="宋体" w:hAnsi="宋体" w:cs="宋体"/>
          <w:color w:val="auto"/>
          <w:sz w:val="24"/>
          <w:szCs w:val="28"/>
        </w:rPr>
        <w:t>质疑函应当使用中文。</w:t>
      </w:r>
    </w:p>
    <w:p w14:paraId="4AFF90C2">
      <w:pPr>
        <w:widowControl/>
        <w:numPr>
          <w:ilvl w:val="0"/>
          <w:numId w:val="2"/>
        </w:numPr>
        <w:spacing w:line="360" w:lineRule="auto"/>
        <w:ind w:firstLine="0"/>
        <w:jc w:val="center"/>
        <w:outlineLvl w:val="1"/>
        <w:rPr>
          <w:rFonts w:ascii="宋体" w:hAnsi="宋体" w:cs="宋体"/>
          <w:b/>
          <w:bCs/>
          <w:color w:val="auto"/>
          <w:kern w:val="0"/>
          <w:sz w:val="24"/>
          <w:szCs w:val="28"/>
        </w:rPr>
      </w:pPr>
      <w:bookmarkStart w:id="116" w:name="_Toc536429327"/>
      <w:bookmarkStart w:id="117" w:name="_Toc536202387"/>
      <w:bookmarkStart w:id="118" w:name="_Toc19543344"/>
      <w:bookmarkStart w:id="119" w:name="_Toc536202318"/>
      <w:bookmarkStart w:id="120" w:name="_Toc536429380"/>
      <w:r>
        <w:rPr>
          <w:rFonts w:hint="eastAsia" w:ascii="宋体" w:hAnsi="宋体" w:cs="宋体"/>
          <w:b/>
          <w:bCs/>
          <w:color w:val="auto"/>
          <w:kern w:val="0"/>
          <w:sz w:val="24"/>
          <w:szCs w:val="28"/>
        </w:rPr>
        <w:t>其他</w:t>
      </w:r>
      <w:bookmarkEnd w:id="116"/>
      <w:bookmarkEnd w:id="117"/>
      <w:bookmarkEnd w:id="118"/>
      <w:bookmarkEnd w:id="119"/>
      <w:bookmarkEnd w:id="120"/>
    </w:p>
    <w:p w14:paraId="7CE465C4">
      <w:pPr>
        <w:spacing w:line="360" w:lineRule="auto"/>
        <w:ind w:firstLine="480" w:firstLineChars="200"/>
        <w:jc w:val="left"/>
        <w:rPr>
          <w:rFonts w:ascii="宋体" w:hAnsi="宋体" w:cs="宋体"/>
          <w:color w:val="auto"/>
          <w:sz w:val="24"/>
          <w:szCs w:val="28"/>
        </w:rPr>
      </w:pPr>
      <w:bookmarkStart w:id="121" w:name="_Toc3298"/>
      <w:r>
        <w:rPr>
          <w:rFonts w:hint="eastAsia" w:ascii="宋体" w:hAnsi="宋体" w:cs="宋体"/>
          <w:color w:val="auto"/>
          <w:sz w:val="24"/>
          <w:szCs w:val="28"/>
          <w:lang w:eastAsia="zh-CN"/>
        </w:rPr>
        <w:t>1.</w:t>
      </w:r>
      <w:r>
        <w:rPr>
          <w:rFonts w:hint="eastAsia" w:ascii="宋体" w:hAnsi="宋体" w:cs="宋体"/>
          <w:color w:val="auto"/>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44DE8E5B">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（1）因情况变化，不再符合规定的竞争性磋商采购方式适用情形的；</w:t>
      </w:r>
    </w:p>
    <w:p w14:paraId="389E60B7">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（2）出现影响采购公正的违法、违规行为的；</w:t>
      </w:r>
    </w:p>
    <w:p w14:paraId="1D481661">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6DC9B865">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（4）因重大变故，采购任务取消的。</w:t>
      </w:r>
    </w:p>
    <w:p w14:paraId="6F4D9146">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磋商失败后，除采购任务取消外，将重新组织采购</w:t>
      </w:r>
      <w:bookmarkEnd w:id="121"/>
      <w:bookmarkStart w:id="122" w:name="_Toc536202319"/>
      <w:bookmarkStart w:id="123" w:name="_Toc536202388"/>
      <w:bookmarkStart w:id="124" w:name="_Toc536429381"/>
      <w:bookmarkStart w:id="125" w:name="_Toc25345"/>
      <w:bookmarkStart w:id="126" w:name="_Toc536429328"/>
      <w:r>
        <w:rPr>
          <w:rFonts w:hint="eastAsia" w:ascii="宋体" w:hAnsi="宋体" w:cs="宋体"/>
          <w:color w:val="auto"/>
          <w:sz w:val="24"/>
          <w:szCs w:val="28"/>
        </w:rPr>
        <w:t>。</w:t>
      </w:r>
      <w:bookmarkEnd w:id="122"/>
      <w:bookmarkEnd w:id="123"/>
      <w:bookmarkEnd w:id="124"/>
      <w:bookmarkEnd w:id="125"/>
      <w:bookmarkEnd w:id="126"/>
    </w:p>
    <w:p w14:paraId="7D3BF113">
      <w:pPr>
        <w:widowControl/>
        <w:spacing w:line="360" w:lineRule="auto"/>
        <w:jc w:val="left"/>
        <w:rPr>
          <w:rFonts w:ascii="宋体" w:hAnsi="宋体" w:cs="宋体"/>
          <w:b/>
          <w:bCs/>
          <w:caps/>
          <w:color w:val="auto"/>
          <w:sz w:val="36"/>
          <w:szCs w:val="20"/>
        </w:rPr>
      </w:pPr>
      <w:bookmarkStart w:id="127" w:name="_Toc19543345"/>
      <w:r>
        <w:rPr>
          <w:rFonts w:hint="eastAsia" w:ascii="宋体" w:hAnsi="宋体" w:cs="宋体"/>
          <w:color w:val="auto"/>
          <w:sz w:val="36"/>
        </w:rPr>
        <w:br w:type="page"/>
      </w:r>
    </w:p>
    <w:p w14:paraId="678C184E">
      <w:pPr>
        <w:pStyle w:val="25"/>
        <w:numPr>
          <w:ilvl w:val="0"/>
          <w:numId w:val="5"/>
        </w:numPr>
        <w:spacing w:before="0" w:after="0" w:line="420" w:lineRule="exact"/>
        <w:jc w:val="center"/>
        <w:outlineLvl w:val="0"/>
        <w:rPr>
          <w:color w:val="auto"/>
          <w:sz w:val="36"/>
        </w:rPr>
      </w:pPr>
      <w:r>
        <w:rPr>
          <w:rFonts w:hint="eastAsia"/>
          <w:color w:val="auto"/>
          <w:sz w:val="36"/>
        </w:rPr>
        <w:t xml:space="preserve"> </w:t>
      </w:r>
      <w:bookmarkStart w:id="128" w:name="_Toc26846"/>
      <w:r>
        <w:rPr>
          <w:rFonts w:hint="eastAsia"/>
          <w:color w:val="auto"/>
          <w:sz w:val="36"/>
        </w:rPr>
        <w:t>评分</w:t>
      </w:r>
      <w:r>
        <w:rPr>
          <w:color w:val="auto"/>
          <w:sz w:val="36"/>
        </w:rPr>
        <w:t>标准</w:t>
      </w:r>
      <w:bookmarkEnd w:id="127"/>
      <w:bookmarkEnd w:id="128"/>
      <w:bookmarkStart w:id="129" w:name="_Toc262"/>
    </w:p>
    <w:tbl>
      <w:tblPr>
        <w:tblStyle w:val="37"/>
        <w:tblW w:w="47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107"/>
        <w:gridCol w:w="6202"/>
        <w:gridCol w:w="890"/>
      </w:tblGrid>
      <w:tr w14:paraId="166F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63" w:type="pct"/>
            <w:tcBorders>
              <w:top w:val="single" w:color="auto" w:sz="4" w:space="0"/>
              <w:left w:val="single" w:color="auto" w:sz="4" w:space="0"/>
              <w:bottom w:val="single" w:color="auto" w:sz="4" w:space="0"/>
              <w:right w:val="single" w:color="auto" w:sz="4" w:space="0"/>
            </w:tcBorders>
            <w:vAlign w:val="center"/>
          </w:tcPr>
          <w:p w14:paraId="0844CDD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0" w:right="0"/>
              <w:jc w:val="center"/>
              <w:rPr>
                <w:rFonts w:hint="eastAsia" w:ascii="宋体" w:hAnsi="宋体" w:eastAsia="宋体" w:cs="宋体"/>
                <w:b/>
                <w:bCs/>
                <w:color w:val="auto"/>
                <w:sz w:val="24"/>
                <w:szCs w:val="24"/>
              </w:rPr>
            </w:pPr>
            <w:bookmarkStart w:id="130" w:name="_Hlk21765274"/>
            <w:r>
              <w:rPr>
                <w:rFonts w:hint="eastAsia" w:ascii="宋体" w:hAnsi="宋体" w:eastAsia="宋体" w:cs="宋体"/>
                <w:b/>
                <w:bCs/>
                <w:color w:val="auto"/>
                <w:sz w:val="24"/>
                <w:szCs w:val="24"/>
              </w:rPr>
              <w:t>序号</w:t>
            </w:r>
            <w:bookmarkEnd w:id="130"/>
          </w:p>
        </w:tc>
        <w:tc>
          <w:tcPr>
            <w:tcW w:w="640" w:type="pct"/>
            <w:tcBorders>
              <w:top w:val="single" w:color="auto" w:sz="4" w:space="0"/>
              <w:left w:val="nil"/>
              <w:bottom w:val="single" w:color="auto" w:sz="4" w:space="0"/>
              <w:right w:val="single" w:color="auto" w:sz="4" w:space="0"/>
            </w:tcBorders>
            <w:vAlign w:val="center"/>
          </w:tcPr>
          <w:p w14:paraId="6002920B">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投标评分点及</w:t>
            </w:r>
            <w:r>
              <w:rPr>
                <w:rFonts w:hint="eastAsia" w:ascii="宋体" w:hAnsi="宋体" w:eastAsia="宋体" w:cs="宋体"/>
                <w:b/>
                <w:bCs/>
                <w:color w:val="auto"/>
                <w:sz w:val="24"/>
                <w:szCs w:val="24"/>
              </w:rPr>
              <w:t>分值</w:t>
            </w:r>
          </w:p>
        </w:tc>
        <w:tc>
          <w:tcPr>
            <w:tcW w:w="3581" w:type="pct"/>
            <w:tcBorders>
              <w:top w:val="single" w:color="auto" w:sz="4" w:space="0"/>
              <w:left w:val="nil"/>
              <w:bottom w:val="single" w:color="auto" w:sz="4" w:space="0"/>
              <w:right w:val="single" w:color="auto" w:sz="4" w:space="0"/>
            </w:tcBorders>
            <w:vAlign w:val="center"/>
          </w:tcPr>
          <w:p w14:paraId="78E797D2">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评分标准</w:t>
            </w:r>
          </w:p>
        </w:tc>
        <w:tc>
          <w:tcPr>
            <w:tcW w:w="514" w:type="pct"/>
            <w:tcBorders>
              <w:top w:val="single" w:color="auto" w:sz="4" w:space="0"/>
              <w:left w:val="nil"/>
              <w:bottom w:val="single" w:color="auto" w:sz="4" w:space="0"/>
              <w:right w:val="single" w:color="auto" w:sz="4" w:space="0"/>
            </w:tcBorders>
            <w:vAlign w:val="center"/>
          </w:tcPr>
          <w:p w14:paraId="5EEF320A">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主观/</w:t>
            </w:r>
          </w:p>
          <w:p w14:paraId="0A02B0A6">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2FCE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 w:type="pct"/>
            <w:tcBorders>
              <w:top w:val="single" w:color="auto" w:sz="4" w:space="0"/>
              <w:left w:val="single" w:color="auto" w:sz="4" w:space="0"/>
              <w:bottom w:val="single" w:color="auto" w:sz="4" w:space="0"/>
              <w:right w:val="single" w:color="auto" w:sz="4" w:space="0"/>
            </w:tcBorders>
            <w:vAlign w:val="center"/>
          </w:tcPr>
          <w:p w14:paraId="367EBF07">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40" w:type="pct"/>
            <w:tcBorders>
              <w:top w:val="single" w:color="auto" w:sz="4" w:space="0"/>
              <w:left w:val="nil"/>
              <w:bottom w:val="single" w:color="auto" w:sz="4" w:space="0"/>
              <w:right w:val="single" w:color="auto" w:sz="4" w:space="0"/>
            </w:tcBorders>
            <w:vAlign w:val="center"/>
          </w:tcPr>
          <w:p w14:paraId="68551F74">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w:t>
            </w:r>
          </w:p>
          <w:p w14:paraId="5657F42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报价</w:t>
            </w:r>
          </w:p>
          <w:p w14:paraId="1F0B22E9">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20分</w:t>
            </w:r>
            <w:r>
              <w:rPr>
                <w:rFonts w:hint="eastAsia" w:ascii="宋体" w:hAnsi="宋体" w:cs="宋体"/>
                <w:b/>
                <w:bCs/>
                <w:color w:val="auto"/>
                <w:sz w:val="24"/>
                <w:szCs w:val="24"/>
                <w:lang w:eastAsia="zh-CN"/>
              </w:rPr>
              <w:t>）</w:t>
            </w:r>
          </w:p>
        </w:tc>
        <w:tc>
          <w:tcPr>
            <w:tcW w:w="3581" w:type="pct"/>
            <w:tcBorders>
              <w:top w:val="single" w:color="auto" w:sz="4" w:space="0"/>
              <w:left w:val="nil"/>
              <w:bottom w:val="single" w:color="auto" w:sz="4" w:space="0"/>
              <w:right w:val="single" w:color="auto" w:sz="4" w:space="0"/>
            </w:tcBorders>
            <w:vAlign w:val="center"/>
          </w:tcPr>
          <w:p w14:paraId="7059EC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文件要求且</w:t>
            </w:r>
            <w:r>
              <w:rPr>
                <w:rFonts w:hint="eastAsia" w:ascii="宋体" w:hAnsi="宋体" w:cs="宋体"/>
                <w:color w:val="auto"/>
                <w:kern w:val="0"/>
                <w:sz w:val="24"/>
                <w:szCs w:val="24"/>
              </w:rPr>
              <w:t>最终报价</w:t>
            </w:r>
            <w:r>
              <w:rPr>
                <w:rFonts w:hint="eastAsia" w:ascii="宋体" w:hAnsi="宋体" w:eastAsia="宋体" w:cs="宋体"/>
                <w:color w:val="auto"/>
                <w:sz w:val="24"/>
                <w:szCs w:val="24"/>
              </w:rPr>
              <w:t>最低的</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报价为评标基准价，其价格分为满分。其他供应商的价格分统一按照下列公式计算：</w:t>
            </w:r>
          </w:p>
          <w:p w14:paraId="4A60F4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价格分=(评标基准价／</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w:t>
            </w:r>
            <w:r>
              <w:rPr>
                <w:rFonts w:hint="eastAsia" w:ascii="宋体" w:hAnsi="宋体" w:cs="宋体"/>
                <w:color w:val="auto"/>
                <w:sz w:val="24"/>
                <w:szCs w:val="24"/>
                <w:lang w:val="en-US" w:eastAsia="zh-CN"/>
              </w:rPr>
              <w:t>20</w:t>
            </w:r>
            <w:r>
              <w:rPr>
                <w:rFonts w:hint="eastAsia" w:ascii="宋体" w:hAnsi="宋体" w:eastAsia="宋体" w:cs="宋体"/>
                <w:color w:val="auto"/>
                <w:sz w:val="24"/>
                <w:szCs w:val="24"/>
              </w:rPr>
              <w:t xml:space="preserve">   </w:t>
            </w:r>
          </w:p>
          <w:p w14:paraId="1E6FE8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cs="宋体"/>
                <w:color w:val="auto"/>
                <w:sz w:val="24"/>
                <w:szCs w:val="24"/>
                <w:lang w:eastAsia="zh-CN"/>
              </w:rPr>
              <w:t>1.</w:t>
            </w:r>
            <w:r>
              <w:rPr>
                <w:rFonts w:hint="eastAsia" w:ascii="宋体" w:hAnsi="宋体" w:eastAsia="宋体" w:cs="宋体"/>
                <w:color w:val="auto"/>
                <w:sz w:val="24"/>
                <w:szCs w:val="24"/>
              </w:rPr>
              <w:t>计算分数时四舍五入取小数点后两位</w:t>
            </w:r>
            <w:r>
              <w:rPr>
                <w:rFonts w:hint="eastAsia" w:ascii="宋体" w:hAnsi="宋体" w:cs="宋体"/>
                <w:color w:val="auto"/>
                <w:sz w:val="24"/>
                <w:szCs w:val="24"/>
                <w:lang w:eastAsia="zh-CN"/>
              </w:rPr>
              <w:t>。</w:t>
            </w:r>
          </w:p>
          <w:p w14:paraId="7F75F9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符合采购优惠政策的按政策执行</w:t>
            </w:r>
            <w:r>
              <w:rPr>
                <w:rFonts w:hint="eastAsia" w:ascii="宋体" w:hAnsi="宋体" w:eastAsia="宋体" w:cs="宋体"/>
                <w:color w:val="auto"/>
                <w:sz w:val="24"/>
                <w:szCs w:val="24"/>
              </w:rPr>
              <w:t>。</w:t>
            </w:r>
          </w:p>
          <w:p w14:paraId="09B6C0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SA"/>
              </w:rPr>
              <w:t>3</w:t>
            </w:r>
            <w:r>
              <w:rPr>
                <w:rFonts w:hint="eastAsia" w:ascii="宋体" w:hAnsi="宋体" w:eastAsia="宋体" w:cs="宋体"/>
                <w:color w:val="auto"/>
                <w:kern w:val="0"/>
                <w:sz w:val="24"/>
                <w:szCs w:val="24"/>
                <w:lang w:val="en-US" w:eastAsia="zh-CN" w:bidi="ar-SA"/>
              </w:rPr>
              <w:t>.投</w:t>
            </w:r>
            <w:r>
              <w:rPr>
                <w:rFonts w:hint="eastAsia" w:ascii="宋体" w:hAnsi="宋体" w:cs="宋体"/>
                <w:color w:val="auto"/>
                <w:sz w:val="24"/>
                <w:szCs w:val="24"/>
              </w:rPr>
              <w:t>标报价不完整的，不进入评标标准价的计算，本项得0分。</w:t>
            </w:r>
          </w:p>
        </w:tc>
        <w:tc>
          <w:tcPr>
            <w:tcW w:w="514" w:type="pct"/>
            <w:tcBorders>
              <w:top w:val="single" w:color="auto" w:sz="4" w:space="0"/>
              <w:left w:val="nil"/>
              <w:bottom w:val="single" w:color="auto" w:sz="4" w:space="0"/>
              <w:right w:val="single" w:color="auto" w:sz="4" w:space="0"/>
            </w:tcBorders>
            <w:vAlign w:val="center"/>
          </w:tcPr>
          <w:p w14:paraId="7CCD0294">
            <w:pPr>
              <w:keepNext w:val="0"/>
              <w:keepLines w:val="0"/>
              <w:pageBreakBefore w:val="0"/>
              <w:widowControl w:val="0"/>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客观</w:t>
            </w:r>
          </w:p>
        </w:tc>
      </w:tr>
      <w:tr w14:paraId="7CE99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 w:type="pct"/>
            <w:tcBorders>
              <w:top w:val="single" w:color="auto" w:sz="4" w:space="0"/>
              <w:left w:val="single" w:color="auto" w:sz="4" w:space="0"/>
              <w:bottom w:val="single" w:color="auto" w:sz="4" w:space="0"/>
              <w:right w:val="single" w:color="auto" w:sz="4" w:space="0"/>
            </w:tcBorders>
            <w:vAlign w:val="center"/>
          </w:tcPr>
          <w:p w14:paraId="4D49BDA2">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640" w:type="pct"/>
            <w:tcBorders>
              <w:top w:val="single" w:color="auto" w:sz="4" w:space="0"/>
              <w:left w:val="nil"/>
              <w:bottom w:val="single" w:color="auto" w:sz="4" w:space="0"/>
              <w:right w:val="single" w:color="auto" w:sz="4" w:space="0"/>
            </w:tcBorders>
            <w:vAlign w:val="center"/>
          </w:tcPr>
          <w:p w14:paraId="13D24A15">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日常设备管理方案</w:t>
            </w:r>
          </w:p>
          <w:p w14:paraId="47F58BDD">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（15分）</w:t>
            </w:r>
          </w:p>
        </w:tc>
        <w:tc>
          <w:tcPr>
            <w:tcW w:w="3581" w:type="pct"/>
            <w:tcBorders>
              <w:top w:val="single" w:color="auto" w:sz="4" w:space="0"/>
              <w:left w:val="nil"/>
              <w:bottom w:val="single" w:color="auto" w:sz="4" w:space="0"/>
              <w:right w:val="single" w:color="auto" w:sz="4" w:space="0"/>
            </w:tcBorders>
            <w:vAlign w:val="center"/>
          </w:tcPr>
          <w:p w14:paraId="6A1B62EE">
            <w:pPr>
              <w:keepNext w:val="0"/>
              <w:keepLines w:val="0"/>
              <w:pageBreakBefore w:val="0"/>
              <w:suppressLineNumbers w:val="0"/>
              <w:kinsoku/>
              <w:wordWrap/>
              <w:overflowPunct/>
              <w:topLinePunct w:val="0"/>
              <w:autoSpaceDE/>
              <w:autoSpaceDN/>
              <w:bidi w:val="0"/>
              <w:adjustRightInd/>
              <w:spacing w:before="0" w:beforeAutospacing="0" w:after="0" w:afterAutospacing="0" w:line="440" w:lineRule="exact"/>
              <w:ind w:left="0" w:right="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根据供应商提供的日常设备管理方案进行评审，包括：①</w:t>
            </w:r>
            <w:r>
              <w:rPr>
                <w:rFonts w:hint="default" w:ascii="宋体" w:hAnsi="宋体" w:eastAsia="宋体" w:cs="宋体"/>
                <w:sz w:val="24"/>
                <w:szCs w:val="24"/>
              </w:rPr>
              <w:t>变配电设备运维管理</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②</w:t>
            </w:r>
            <w:r>
              <w:rPr>
                <w:rFonts w:hint="default" w:ascii="宋体" w:hAnsi="宋体" w:eastAsia="宋体" w:cs="宋体"/>
                <w:sz w:val="24"/>
                <w:szCs w:val="24"/>
              </w:rPr>
              <w:t>安全作业及现场管控方案</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③</w:t>
            </w:r>
            <w:r>
              <w:rPr>
                <w:rFonts w:hint="default" w:ascii="宋体" w:hAnsi="宋体" w:eastAsia="宋体" w:cs="宋体"/>
                <w:sz w:val="24"/>
                <w:szCs w:val="24"/>
              </w:rPr>
              <w:t>电缆、变压器、高低压柜、柴油发电机专项维保方案</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④</w:t>
            </w:r>
            <w:r>
              <w:rPr>
                <w:rFonts w:hint="default" w:ascii="宋体" w:hAnsi="宋体" w:eastAsia="宋体" w:cs="宋体"/>
                <w:sz w:val="24"/>
                <w:szCs w:val="24"/>
              </w:rPr>
              <w:t>设备隐患排查及缺陷闭环处置措施</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⑤</w:t>
            </w:r>
            <w:r>
              <w:rPr>
                <w:rFonts w:hint="default" w:ascii="宋体" w:hAnsi="宋体" w:eastAsia="宋体" w:cs="宋体"/>
                <w:sz w:val="24"/>
                <w:szCs w:val="24"/>
              </w:rPr>
              <w:t>质量保证及维保台账跟踪管理措施</w:t>
            </w:r>
            <w:r>
              <w:rPr>
                <w:rFonts w:hint="eastAsia" w:ascii="宋体" w:hAnsi="宋体" w:eastAsia="宋体" w:cs="宋体"/>
                <w:color w:val="auto"/>
                <w:sz w:val="24"/>
                <w:szCs w:val="24"/>
                <w:lang w:val="en-US" w:eastAsia="zh-CN"/>
              </w:rPr>
              <w:t>。完整体现上述内容且内容与本项目相符的得1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分，每缺少一项内容的扣</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分，每</w:t>
            </w:r>
            <w:r>
              <w:rPr>
                <w:rFonts w:hint="eastAsia" w:ascii="宋体" w:hAnsi="宋体" w:cs="宋体"/>
                <w:color w:val="auto"/>
                <w:sz w:val="24"/>
                <w:szCs w:val="24"/>
                <w:lang w:val="en-US" w:eastAsia="zh-CN"/>
              </w:rPr>
              <w:t>项内容</w:t>
            </w:r>
            <w:r>
              <w:rPr>
                <w:rFonts w:hint="eastAsia" w:ascii="宋体" w:hAnsi="宋体" w:eastAsia="宋体" w:cs="宋体"/>
                <w:color w:val="auto"/>
                <w:sz w:val="24"/>
                <w:szCs w:val="24"/>
                <w:lang w:val="en-US" w:eastAsia="zh-CN"/>
              </w:rPr>
              <w:t>有一处缺陷的扣1分，扣完为止。（缺陷是指：存在项目名称错误、地点区域错误、内容不适用项目实际情况、存在与项目无关的文字内容</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仅有框架或标题、适用的标准（方法）错误、明显复制其他项目内容</w:t>
            </w:r>
            <w:r>
              <w:rPr>
                <w:rFonts w:hint="eastAsia" w:ascii="宋体" w:hAnsi="宋体" w:cs="宋体"/>
                <w:color w:val="auto"/>
                <w:sz w:val="24"/>
                <w:szCs w:val="24"/>
                <w:lang w:val="en-US" w:eastAsia="zh-CN"/>
              </w:rPr>
              <w:t>、内容存在漏洞</w:t>
            </w:r>
            <w:r>
              <w:rPr>
                <w:rFonts w:hint="eastAsia" w:ascii="宋体" w:hAnsi="宋体" w:eastAsia="宋体" w:cs="宋体"/>
                <w:color w:val="auto"/>
                <w:sz w:val="24"/>
                <w:szCs w:val="24"/>
                <w:lang w:val="en-US" w:eastAsia="zh-CN"/>
              </w:rPr>
              <w:t>等任意一种情形）</w:t>
            </w:r>
          </w:p>
        </w:tc>
        <w:tc>
          <w:tcPr>
            <w:tcW w:w="514" w:type="pct"/>
            <w:tcBorders>
              <w:top w:val="single" w:color="auto" w:sz="4" w:space="0"/>
              <w:left w:val="nil"/>
              <w:bottom w:val="single" w:color="auto" w:sz="4" w:space="0"/>
              <w:right w:val="single" w:color="auto" w:sz="4" w:space="0"/>
            </w:tcBorders>
            <w:vAlign w:val="center"/>
          </w:tcPr>
          <w:p w14:paraId="40D711E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主观</w:t>
            </w:r>
          </w:p>
        </w:tc>
      </w:tr>
      <w:tr w14:paraId="75AA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 w:type="pct"/>
            <w:tcBorders>
              <w:top w:val="single" w:color="auto" w:sz="4" w:space="0"/>
              <w:left w:val="single" w:color="auto" w:sz="4" w:space="0"/>
              <w:bottom w:val="single" w:color="auto" w:sz="4" w:space="0"/>
              <w:right w:val="single" w:color="auto" w:sz="4" w:space="0"/>
            </w:tcBorders>
            <w:vAlign w:val="center"/>
          </w:tcPr>
          <w:p w14:paraId="082B89CE">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3</w:t>
            </w:r>
          </w:p>
        </w:tc>
        <w:tc>
          <w:tcPr>
            <w:tcW w:w="640" w:type="pct"/>
            <w:tcBorders>
              <w:top w:val="single" w:color="auto" w:sz="4" w:space="0"/>
              <w:left w:val="nil"/>
              <w:bottom w:val="single" w:color="auto" w:sz="4" w:space="0"/>
              <w:right w:val="single" w:color="auto" w:sz="4" w:space="0"/>
            </w:tcBorders>
            <w:vAlign w:val="center"/>
          </w:tcPr>
          <w:p w14:paraId="182F01A1">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日常运行方案</w:t>
            </w:r>
          </w:p>
          <w:p w14:paraId="08B0B927">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（10分）</w:t>
            </w:r>
          </w:p>
        </w:tc>
        <w:tc>
          <w:tcPr>
            <w:tcW w:w="3581" w:type="pct"/>
            <w:tcBorders>
              <w:top w:val="single" w:color="auto" w:sz="4" w:space="0"/>
              <w:left w:val="nil"/>
              <w:bottom w:val="single" w:color="auto" w:sz="4" w:space="0"/>
              <w:right w:val="single" w:color="auto" w:sz="4" w:space="0"/>
            </w:tcBorders>
            <w:vAlign w:val="center"/>
          </w:tcPr>
          <w:p w14:paraId="761AE1E3">
            <w:pPr>
              <w:keepNext w:val="0"/>
              <w:keepLines w:val="0"/>
              <w:pageBreakBefore w:val="0"/>
              <w:suppressLineNumbers w:val="0"/>
              <w:kinsoku/>
              <w:wordWrap/>
              <w:overflowPunct/>
              <w:topLinePunct w:val="0"/>
              <w:autoSpaceDE/>
              <w:autoSpaceDN/>
              <w:bidi w:val="0"/>
              <w:adjustRightInd/>
              <w:spacing w:before="0" w:beforeAutospacing="0" w:after="0" w:afterAutospacing="0" w:line="440" w:lineRule="exact"/>
              <w:ind w:left="0" w:right="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根据供应商提供的日常运行方案进行评审，内容包含：①</w:t>
            </w:r>
            <w:r>
              <w:rPr>
                <w:rFonts w:hint="default" w:ascii="宋体" w:hAnsi="宋体" w:eastAsia="宋体" w:cs="宋体"/>
                <w:sz w:val="24"/>
                <w:szCs w:val="24"/>
              </w:rPr>
              <w:t>项目人员分工调配、巡检作业排班管理</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②</w:t>
            </w:r>
            <w:r>
              <w:rPr>
                <w:rFonts w:hint="default" w:ascii="宋体" w:hAnsi="宋体" w:eastAsia="宋体" w:cs="宋体"/>
                <w:sz w:val="24"/>
                <w:szCs w:val="24"/>
              </w:rPr>
              <w:t>月度巡检、发电机试机、年度变压器油质及本体检测的时间计划、工具机具配置安排</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③</w:t>
            </w:r>
            <w:r>
              <w:rPr>
                <w:rFonts w:hint="default" w:ascii="宋体" w:hAnsi="宋体" w:eastAsia="宋体" w:cs="宋体"/>
                <w:sz w:val="24"/>
                <w:szCs w:val="24"/>
              </w:rPr>
              <w:t>变配电、电缆、柴油发电机维保检测具体实施流程</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④安全保障措施方案</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⑤</w:t>
            </w:r>
            <w:r>
              <w:rPr>
                <w:rFonts w:hint="default" w:ascii="宋体" w:hAnsi="宋体" w:eastAsia="宋体" w:cs="宋体"/>
                <w:sz w:val="24"/>
                <w:szCs w:val="24"/>
              </w:rPr>
              <w:t>维保台账、检测记录、试机记录归档报送管理</w:t>
            </w:r>
            <w:r>
              <w:rPr>
                <w:rFonts w:hint="eastAsia" w:ascii="宋体" w:hAnsi="宋体" w:eastAsia="宋体" w:cs="宋体"/>
                <w:color w:val="auto"/>
                <w:sz w:val="24"/>
                <w:szCs w:val="24"/>
                <w:lang w:val="en-US" w:eastAsia="zh-CN"/>
              </w:rPr>
              <w:t>。完整体现上述内容且内容与本项目相符的得1</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分，每缺少一项内容的扣</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分，每</w:t>
            </w:r>
            <w:r>
              <w:rPr>
                <w:rFonts w:hint="eastAsia" w:ascii="宋体" w:hAnsi="宋体" w:cs="宋体"/>
                <w:color w:val="auto"/>
                <w:sz w:val="24"/>
                <w:szCs w:val="24"/>
                <w:lang w:val="en-US" w:eastAsia="zh-CN"/>
              </w:rPr>
              <w:t>项内容</w:t>
            </w:r>
            <w:r>
              <w:rPr>
                <w:rFonts w:hint="eastAsia" w:ascii="宋体" w:hAnsi="宋体" w:eastAsia="宋体" w:cs="宋体"/>
                <w:color w:val="auto"/>
                <w:sz w:val="24"/>
                <w:szCs w:val="24"/>
                <w:lang w:val="en-US" w:eastAsia="zh-CN"/>
              </w:rPr>
              <w:t>有一处缺陷的扣1分，扣完为止。（缺陷是指：存在项目名称错误、地点区域错误、内容不适用项目实际情况、存在与项目无关的文字内容</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仅有框架或标题、适用的标准（方法）错误、明显复制其他项目内容</w:t>
            </w:r>
            <w:r>
              <w:rPr>
                <w:rFonts w:hint="eastAsia" w:ascii="宋体" w:hAnsi="宋体" w:cs="宋体"/>
                <w:color w:val="auto"/>
                <w:sz w:val="24"/>
                <w:szCs w:val="24"/>
                <w:lang w:val="en-US" w:eastAsia="zh-CN"/>
              </w:rPr>
              <w:t>、内容存在漏洞</w:t>
            </w:r>
            <w:r>
              <w:rPr>
                <w:rFonts w:hint="eastAsia" w:ascii="宋体" w:hAnsi="宋体" w:eastAsia="宋体" w:cs="宋体"/>
                <w:color w:val="auto"/>
                <w:sz w:val="24"/>
                <w:szCs w:val="24"/>
                <w:lang w:val="en-US" w:eastAsia="zh-CN"/>
              </w:rPr>
              <w:t>等任意一种情形）</w:t>
            </w:r>
          </w:p>
        </w:tc>
        <w:tc>
          <w:tcPr>
            <w:tcW w:w="514" w:type="pct"/>
            <w:tcBorders>
              <w:top w:val="single" w:color="auto" w:sz="4" w:space="0"/>
              <w:left w:val="nil"/>
              <w:bottom w:val="single" w:color="auto" w:sz="4" w:space="0"/>
              <w:right w:val="single" w:color="auto" w:sz="4" w:space="0"/>
            </w:tcBorders>
            <w:vAlign w:val="center"/>
          </w:tcPr>
          <w:p w14:paraId="43F8584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主观</w:t>
            </w:r>
          </w:p>
        </w:tc>
      </w:tr>
      <w:tr w14:paraId="36DAC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263" w:type="pct"/>
            <w:tcBorders>
              <w:top w:val="single" w:color="auto" w:sz="4" w:space="0"/>
              <w:left w:val="single" w:color="auto" w:sz="4" w:space="0"/>
              <w:right w:val="single" w:color="auto" w:sz="4" w:space="0"/>
            </w:tcBorders>
            <w:vAlign w:val="center"/>
          </w:tcPr>
          <w:p w14:paraId="3F24D31E">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w:t>
            </w:r>
          </w:p>
        </w:tc>
        <w:tc>
          <w:tcPr>
            <w:tcW w:w="640" w:type="pct"/>
            <w:tcBorders>
              <w:top w:val="single" w:color="auto" w:sz="4" w:space="0"/>
              <w:left w:val="nil"/>
              <w:right w:val="single" w:color="auto" w:sz="4" w:space="0"/>
            </w:tcBorders>
            <w:vAlign w:val="center"/>
          </w:tcPr>
          <w:p w14:paraId="5F24A4C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风险管控和应急预案</w:t>
            </w:r>
          </w:p>
          <w:p w14:paraId="32A1D5D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both"/>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（10分）</w:t>
            </w:r>
          </w:p>
        </w:tc>
        <w:tc>
          <w:tcPr>
            <w:tcW w:w="3581" w:type="pct"/>
            <w:tcBorders>
              <w:top w:val="single" w:color="auto" w:sz="4" w:space="0"/>
              <w:left w:val="nil"/>
              <w:bottom w:val="single" w:color="auto" w:sz="4" w:space="0"/>
              <w:right w:val="single" w:color="auto" w:sz="4" w:space="0"/>
            </w:tcBorders>
            <w:vAlign w:val="center"/>
          </w:tcPr>
          <w:p w14:paraId="495F1AA8">
            <w:pPr>
              <w:keepNext w:val="0"/>
              <w:keepLines w:val="0"/>
              <w:pageBreakBefore w:val="0"/>
              <w:suppressLineNumbers w:val="0"/>
              <w:kinsoku/>
              <w:wordWrap/>
              <w:overflowPunct/>
              <w:topLinePunct w:val="0"/>
              <w:autoSpaceDE/>
              <w:autoSpaceDN/>
              <w:bidi w:val="0"/>
              <w:adjustRightInd/>
              <w:spacing w:before="0" w:beforeAutospacing="0" w:after="0" w:afterAutospacing="0" w:line="440" w:lineRule="exact"/>
              <w:ind w:left="0" w:right="0"/>
              <w:jc w:val="both"/>
              <w:textAlignment w:val="auto"/>
              <w:rPr>
                <w:rFonts w:hint="eastAsia"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根据供应商提供的方案进行评审，内容包含：①</w:t>
            </w:r>
            <w:r>
              <w:rPr>
                <w:rFonts w:hint="default" w:ascii="宋体" w:hAnsi="宋体" w:eastAsia="宋体" w:cs="宋体"/>
                <w:sz w:val="24"/>
                <w:szCs w:val="24"/>
              </w:rPr>
              <w:t>供配电设备故障现场处置方案</w:t>
            </w:r>
            <w:r>
              <w:rPr>
                <w:rFonts w:hint="eastAsia" w:ascii="宋体" w:hAnsi="宋体" w:cs="宋体"/>
                <w:b w:val="0"/>
                <w:bCs/>
                <w:color w:val="auto"/>
                <w:sz w:val="24"/>
                <w:szCs w:val="24"/>
                <w:lang w:val="en-US" w:eastAsia="zh-CN"/>
              </w:rPr>
              <w:t>；②</w:t>
            </w:r>
            <w:r>
              <w:rPr>
                <w:rFonts w:hint="default" w:ascii="宋体" w:hAnsi="宋体" w:eastAsia="宋体" w:cs="宋体"/>
                <w:sz w:val="24"/>
                <w:szCs w:val="24"/>
              </w:rPr>
              <w:t>故障到场响应保障机制</w:t>
            </w:r>
            <w:r>
              <w:rPr>
                <w:rFonts w:hint="eastAsia" w:ascii="宋体" w:hAnsi="宋体" w:cs="宋体"/>
                <w:b w:val="0"/>
                <w:bCs/>
                <w:color w:val="auto"/>
                <w:sz w:val="24"/>
                <w:szCs w:val="24"/>
                <w:lang w:val="en-US" w:eastAsia="zh-CN"/>
              </w:rPr>
              <w:t>；③</w:t>
            </w:r>
            <w:r>
              <w:rPr>
                <w:rFonts w:hint="default" w:ascii="宋体" w:hAnsi="宋体" w:eastAsia="宋体" w:cs="宋体"/>
                <w:sz w:val="24"/>
                <w:szCs w:val="24"/>
              </w:rPr>
              <w:t>医院突发停电专项应急预案及供电风险评估</w:t>
            </w:r>
            <w:r>
              <w:rPr>
                <w:rFonts w:hint="eastAsia" w:ascii="宋体" w:hAnsi="宋体" w:cs="宋体"/>
                <w:b w:val="0"/>
                <w:bCs/>
                <w:color w:val="auto"/>
                <w:sz w:val="24"/>
                <w:szCs w:val="24"/>
                <w:lang w:val="en-US" w:eastAsia="zh-CN"/>
              </w:rPr>
              <w:t>；④</w:t>
            </w:r>
            <w:r>
              <w:rPr>
                <w:rFonts w:hint="default" w:ascii="宋体" w:hAnsi="宋体" w:eastAsia="宋体" w:cs="宋体"/>
                <w:sz w:val="24"/>
                <w:szCs w:val="24"/>
              </w:rPr>
              <w:t>应急作业人员配置、岗位职责</w:t>
            </w:r>
            <w:r>
              <w:rPr>
                <w:rFonts w:hint="eastAsia" w:ascii="宋体" w:hAnsi="宋体" w:cs="宋体"/>
                <w:b w:val="0"/>
                <w:bCs/>
                <w:color w:val="auto"/>
                <w:sz w:val="24"/>
                <w:szCs w:val="24"/>
                <w:lang w:val="en-US" w:eastAsia="zh-CN"/>
              </w:rPr>
              <w:t>；⑤</w:t>
            </w:r>
            <w:r>
              <w:rPr>
                <w:rFonts w:hint="default" w:ascii="宋体" w:hAnsi="宋体" w:eastAsia="宋体" w:cs="宋体"/>
                <w:sz w:val="24"/>
                <w:szCs w:val="24"/>
              </w:rPr>
              <w:t>医院大面积停电、发电机故障等重大突发故障处置方案</w:t>
            </w:r>
            <w:r>
              <w:rPr>
                <w:rFonts w:hint="eastAsia" w:ascii="宋体" w:hAnsi="宋体" w:cs="宋体"/>
                <w:b w:val="0"/>
                <w:bCs/>
                <w:color w:val="auto"/>
                <w:sz w:val="24"/>
                <w:szCs w:val="24"/>
                <w:lang w:val="en-US" w:eastAsia="zh-CN"/>
              </w:rPr>
              <w:t>。完整体现上述内容且内容与本项目相符的得10分，每缺少一项内容的扣2分，</w:t>
            </w:r>
            <w:r>
              <w:rPr>
                <w:rFonts w:hint="eastAsia" w:ascii="宋体" w:hAnsi="宋体" w:eastAsia="宋体" w:cs="宋体"/>
                <w:color w:val="auto"/>
                <w:sz w:val="24"/>
                <w:szCs w:val="24"/>
                <w:lang w:val="en-US" w:eastAsia="zh-CN"/>
              </w:rPr>
              <w:t>每</w:t>
            </w:r>
            <w:r>
              <w:rPr>
                <w:rFonts w:hint="eastAsia" w:ascii="宋体" w:hAnsi="宋体" w:cs="宋体"/>
                <w:color w:val="auto"/>
                <w:sz w:val="24"/>
                <w:szCs w:val="24"/>
                <w:lang w:val="en-US" w:eastAsia="zh-CN"/>
              </w:rPr>
              <w:t>项内容</w:t>
            </w:r>
            <w:r>
              <w:rPr>
                <w:rFonts w:hint="eastAsia" w:ascii="宋体" w:hAnsi="宋体" w:cs="宋体"/>
                <w:b w:val="0"/>
                <w:bCs/>
                <w:color w:val="auto"/>
                <w:sz w:val="24"/>
                <w:szCs w:val="24"/>
                <w:lang w:val="en-US" w:eastAsia="zh-CN"/>
              </w:rPr>
              <w:t>有一处缺陷的扣1分，扣完为止。</w:t>
            </w:r>
            <w:r>
              <w:rPr>
                <w:rFonts w:hint="eastAsia" w:ascii="宋体" w:hAnsi="宋体" w:eastAsia="宋体" w:cs="宋体"/>
                <w:color w:val="auto"/>
                <w:sz w:val="24"/>
                <w:szCs w:val="24"/>
                <w:lang w:val="en-US" w:eastAsia="zh-CN"/>
              </w:rPr>
              <w:t>（缺陷是指：存在项目名称错误、地点区域错误、内容不适用项目实际情况、存在与项目无关的文字内容</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仅有框架或标题、适用的标准（方法）错误、明显复制其他项目内容</w:t>
            </w:r>
            <w:r>
              <w:rPr>
                <w:rFonts w:hint="eastAsia" w:ascii="宋体" w:hAnsi="宋体" w:cs="宋体"/>
                <w:color w:val="auto"/>
                <w:sz w:val="24"/>
                <w:szCs w:val="24"/>
                <w:lang w:val="en-US" w:eastAsia="zh-CN"/>
              </w:rPr>
              <w:t>、内容存在漏洞</w:t>
            </w:r>
            <w:r>
              <w:rPr>
                <w:rFonts w:hint="eastAsia" w:ascii="宋体" w:hAnsi="宋体" w:eastAsia="宋体" w:cs="宋体"/>
                <w:color w:val="auto"/>
                <w:sz w:val="24"/>
                <w:szCs w:val="24"/>
                <w:lang w:val="en-US" w:eastAsia="zh-CN"/>
              </w:rPr>
              <w:t>等任意一种情形）</w:t>
            </w:r>
          </w:p>
        </w:tc>
        <w:tc>
          <w:tcPr>
            <w:tcW w:w="514" w:type="pct"/>
            <w:tcBorders>
              <w:top w:val="single" w:color="auto" w:sz="4" w:space="0"/>
              <w:left w:val="nil"/>
              <w:bottom w:val="single" w:color="auto" w:sz="4" w:space="0"/>
              <w:right w:val="single" w:color="auto" w:sz="4" w:space="0"/>
            </w:tcBorders>
            <w:vAlign w:val="center"/>
          </w:tcPr>
          <w:p w14:paraId="3914014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eastAsia" w:ascii="宋体" w:hAnsi="宋体" w:eastAsia="宋体" w:cs="宋体"/>
                <w:color w:val="FF0000"/>
                <w:sz w:val="24"/>
                <w:szCs w:val="24"/>
                <w:lang w:val="en-US" w:eastAsia="zh-CN"/>
              </w:rPr>
            </w:pPr>
            <w:r>
              <w:rPr>
                <w:rFonts w:hint="eastAsia" w:ascii="宋体" w:hAnsi="宋体" w:cs="宋体"/>
                <w:b/>
                <w:bCs/>
                <w:color w:val="auto"/>
                <w:sz w:val="24"/>
                <w:szCs w:val="24"/>
                <w:lang w:val="en-US" w:eastAsia="zh-CN"/>
              </w:rPr>
              <w:t>主观</w:t>
            </w:r>
          </w:p>
        </w:tc>
      </w:tr>
      <w:tr w14:paraId="16D1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263" w:type="pct"/>
            <w:vMerge w:val="restart"/>
            <w:tcBorders>
              <w:top w:val="single" w:color="auto" w:sz="4" w:space="0"/>
              <w:left w:val="single" w:color="auto" w:sz="4" w:space="0"/>
              <w:right w:val="single" w:color="auto" w:sz="4" w:space="0"/>
            </w:tcBorders>
            <w:vAlign w:val="center"/>
          </w:tcPr>
          <w:p w14:paraId="7CCC40AE">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5</w:t>
            </w:r>
          </w:p>
        </w:tc>
        <w:tc>
          <w:tcPr>
            <w:tcW w:w="640" w:type="pct"/>
            <w:vMerge w:val="restart"/>
            <w:tcBorders>
              <w:top w:val="single" w:color="auto" w:sz="4" w:space="0"/>
              <w:left w:val="nil"/>
              <w:right w:val="single" w:color="auto" w:sz="4" w:space="0"/>
            </w:tcBorders>
            <w:vAlign w:val="center"/>
          </w:tcPr>
          <w:p w14:paraId="445B3EF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项目</w:t>
            </w:r>
          </w:p>
          <w:p w14:paraId="795C2652">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团队</w:t>
            </w:r>
          </w:p>
          <w:p w14:paraId="4032A5D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cs="宋体"/>
                <w:b/>
                <w:bCs/>
                <w:color w:val="auto"/>
                <w:sz w:val="24"/>
                <w:szCs w:val="24"/>
                <w:lang w:val="en-US" w:eastAsia="zh-CN"/>
              </w:rPr>
              <w:t>14</w:t>
            </w:r>
            <w:r>
              <w:rPr>
                <w:rFonts w:hint="eastAsia" w:ascii="宋体" w:hAnsi="宋体" w:eastAsia="宋体" w:cs="宋体"/>
                <w:b/>
                <w:bCs/>
                <w:color w:val="auto"/>
                <w:sz w:val="24"/>
                <w:szCs w:val="24"/>
                <w:lang w:val="en-US" w:eastAsia="zh-CN"/>
              </w:rPr>
              <w:t>分</w:t>
            </w:r>
            <w:r>
              <w:rPr>
                <w:rFonts w:hint="eastAsia" w:ascii="宋体" w:hAnsi="宋体" w:eastAsia="宋体" w:cs="宋体"/>
                <w:b/>
                <w:bCs/>
                <w:color w:val="auto"/>
                <w:sz w:val="24"/>
                <w:szCs w:val="24"/>
                <w:lang w:eastAsia="zh-CN"/>
              </w:rPr>
              <w:t>）</w:t>
            </w:r>
          </w:p>
        </w:tc>
        <w:tc>
          <w:tcPr>
            <w:tcW w:w="3581" w:type="pct"/>
            <w:tcBorders>
              <w:top w:val="single" w:color="auto" w:sz="4" w:space="0"/>
              <w:left w:val="nil"/>
              <w:bottom w:val="single" w:color="auto" w:sz="4" w:space="0"/>
              <w:right w:val="single" w:color="auto" w:sz="4" w:space="0"/>
            </w:tcBorders>
            <w:vAlign w:val="center"/>
          </w:tcPr>
          <w:p w14:paraId="60B0C47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0" w:leftChars="0" w:right="0" w:rightChars="0" w:firstLine="0" w:firstLineChars="0"/>
              <w:jc w:val="both"/>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r>
              <w:rPr>
                <w:rFonts w:hint="eastAsia" w:ascii="宋体" w:hAnsi="宋体" w:cs="宋体"/>
                <w:color w:val="auto"/>
                <w:sz w:val="24"/>
                <w:szCs w:val="24"/>
                <w:lang w:val="en-US" w:eastAsia="zh-CN"/>
              </w:rPr>
              <w:t>.供应商拟投入维保服务人员专业配置合理，有合理具体的人员组织安排，职责任务明确，项目架构合理，职员配备完整、人员实施过程沟通、配合措施详尽的计4-5分；项目架构基本合理，职员配备基本完整，计2-3分；项目架构有缺陷，职员配备只能满足采购人部分需求的计1分，未提供计0分。</w:t>
            </w:r>
            <w:r>
              <w:rPr>
                <w:rFonts w:hint="default" w:ascii="宋体" w:hAnsi="宋体" w:eastAsia="宋体" w:cs="宋体"/>
                <w:color w:val="auto"/>
                <w:sz w:val="24"/>
                <w:szCs w:val="24"/>
                <w:lang w:val="en-US" w:eastAsia="zh-CN"/>
              </w:rPr>
              <w:t xml:space="preserve"> </w:t>
            </w:r>
          </w:p>
        </w:tc>
        <w:tc>
          <w:tcPr>
            <w:tcW w:w="514" w:type="pct"/>
            <w:tcBorders>
              <w:top w:val="single" w:color="auto" w:sz="4" w:space="0"/>
              <w:left w:val="nil"/>
              <w:bottom w:val="single" w:color="auto" w:sz="4" w:space="0"/>
              <w:right w:val="single" w:color="auto" w:sz="4" w:space="0"/>
            </w:tcBorders>
            <w:vAlign w:val="center"/>
          </w:tcPr>
          <w:p w14:paraId="34F7E9FF">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12" w:lineRule="auto"/>
              <w:ind w:left="0" w:leftChars="0" w:right="0" w:rightChars="0" w:firstLine="0" w:firstLineChars="0"/>
              <w:jc w:val="center"/>
              <w:rPr>
                <w:rFonts w:hint="default" w:ascii="宋体" w:hAnsi="宋体" w:eastAsia="宋体" w:cs="宋体"/>
                <w:color w:val="FF0000"/>
                <w:sz w:val="24"/>
                <w:szCs w:val="24"/>
              </w:rPr>
            </w:pPr>
            <w:r>
              <w:rPr>
                <w:rFonts w:hint="eastAsia" w:ascii="宋体" w:hAnsi="宋体" w:cs="宋体"/>
                <w:b/>
                <w:bCs/>
                <w:color w:val="auto"/>
                <w:sz w:val="24"/>
                <w:szCs w:val="24"/>
                <w:lang w:val="en-US" w:eastAsia="zh-CN"/>
              </w:rPr>
              <w:t>主观</w:t>
            </w:r>
          </w:p>
        </w:tc>
      </w:tr>
      <w:tr w14:paraId="14CC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263" w:type="pct"/>
            <w:vMerge w:val="continue"/>
            <w:tcBorders>
              <w:left w:val="single" w:color="auto" w:sz="4" w:space="0"/>
              <w:right w:val="single" w:color="auto" w:sz="4" w:space="0"/>
            </w:tcBorders>
            <w:vAlign w:val="center"/>
          </w:tcPr>
          <w:p w14:paraId="796223CE">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p>
        </w:tc>
        <w:tc>
          <w:tcPr>
            <w:tcW w:w="640" w:type="pct"/>
            <w:vMerge w:val="continue"/>
            <w:tcBorders>
              <w:left w:val="nil"/>
              <w:right w:val="single" w:color="auto" w:sz="4" w:space="0"/>
            </w:tcBorders>
            <w:vAlign w:val="center"/>
          </w:tcPr>
          <w:p w14:paraId="062603C3">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both"/>
              <w:textAlignment w:val="auto"/>
              <w:rPr>
                <w:rFonts w:hint="eastAsia" w:ascii="宋体" w:hAnsi="宋体" w:eastAsia="宋体" w:cs="宋体"/>
                <w:b/>
                <w:bCs/>
                <w:color w:val="auto"/>
                <w:sz w:val="24"/>
                <w:szCs w:val="24"/>
                <w:lang w:eastAsia="zh-CN"/>
              </w:rPr>
            </w:pPr>
          </w:p>
        </w:tc>
        <w:tc>
          <w:tcPr>
            <w:tcW w:w="3581" w:type="pct"/>
            <w:tcBorders>
              <w:top w:val="single" w:color="auto" w:sz="4" w:space="0"/>
              <w:left w:val="nil"/>
              <w:bottom w:val="single" w:color="auto" w:sz="4" w:space="0"/>
              <w:right w:val="single" w:color="auto" w:sz="4" w:space="0"/>
            </w:tcBorders>
            <w:vAlign w:val="center"/>
          </w:tcPr>
          <w:p w14:paraId="43D3826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0" w:leftChars="0" w:right="0" w:rightChars="0" w:firstLine="0" w:firstLineChars="0"/>
              <w:jc w:val="both"/>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r>
              <w:rPr>
                <w:rFonts w:hint="eastAsia" w:ascii="宋体" w:hAnsi="宋体" w:cs="宋体"/>
                <w:color w:val="auto"/>
                <w:sz w:val="24"/>
                <w:szCs w:val="24"/>
                <w:lang w:val="en-US" w:eastAsia="zh-CN"/>
              </w:rPr>
              <w:t>.为保证设备得到及时专业的维护，值班工作人员需持有特种作业操作证书（电力）上岗，每提供一人，计3分，最高得9分。未提供计0分。</w:t>
            </w:r>
          </w:p>
        </w:tc>
        <w:tc>
          <w:tcPr>
            <w:tcW w:w="514" w:type="pct"/>
            <w:tcBorders>
              <w:top w:val="single" w:color="auto" w:sz="4" w:space="0"/>
              <w:left w:val="nil"/>
              <w:bottom w:val="single" w:color="auto" w:sz="4" w:space="0"/>
              <w:right w:val="single" w:color="auto" w:sz="4" w:space="0"/>
            </w:tcBorders>
            <w:vAlign w:val="center"/>
          </w:tcPr>
          <w:p w14:paraId="19BF481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12" w:lineRule="auto"/>
              <w:ind w:left="0" w:leftChars="0" w:right="0" w:rightChars="0" w:firstLine="0" w:firstLineChars="0"/>
              <w:jc w:val="center"/>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49AC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63" w:type="pct"/>
            <w:tcBorders>
              <w:top w:val="single" w:color="auto" w:sz="4" w:space="0"/>
              <w:left w:val="single" w:color="auto" w:sz="4" w:space="0"/>
              <w:bottom w:val="single" w:color="auto" w:sz="4" w:space="0"/>
              <w:right w:val="single" w:color="auto" w:sz="4" w:space="0"/>
            </w:tcBorders>
            <w:vAlign w:val="center"/>
          </w:tcPr>
          <w:p w14:paraId="03B9EA24">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p>
        </w:tc>
        <w:tc>
          <w:tcPr>
            <w:tcW w:w="640" w:type="pct"/>
            <w:tcBorders>
              <w:top w:val="single" w:color="auto" w:sz="4" w:space="0"/>
              <w:left w:val="nil"/>
              <w:bottom w:val="single" w:color="auto" w:sz="4" w:space="0"/>
              <w:right w:val="single" w:color="auto" w:sz="4" w:space="0"/>
            </w:tcBorders>
            <w:vAlign w:val="center"/>
          </w:tcPr>
          <w:p w14:paraId="2BFE700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工具</w:t>
            </w:r>
          </w:p>
          <w:p w14:paraId="0A78648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仪器</w:t>
            </w:r>
          </w:p>
          <w:p w14:paraId="672F2E9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both"/>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w:t>
            </w:r>
            <w:r>
              <w:rPr>
                <w:rFonts w:hint="eastAsia" w:ascii="宋体" w:hAnsi="宋体" w:eastAsia="宋体" w:cs="宋体"/>
                <w:b/>
                <w:bCs/>
                <w:color w:val="auto"/>
                <w:sz w:val="24"/>
                <w:szCs w:val="24"/>
                <w:lang w:val="en-US" w:eastAsia="zh-CN"/>
              </w:rPr>
              <w:t>5</w:t>
            </w:r>
            <w:r>
              <w:rPr>
                <w:rFonts w:hint="default" w:ascii="宋体" w:hAnsi="宋体" w:eastAsia="宋体" w:cs="宋体"/>
                <w:b/>
                <w:bCs/>
                <w:color w:val="auto"/>
                <w:sz w:val="24"/>
                <w:szCs w:val="24"/>
                <w:lang w:val="en-US" w:eastAsia="zh-CN"/>
              </w:rPr>
              <w:t>分）</w:t>
            </w:r>
          </w:p>
          <w:p w14:paraId="049F1D3A">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p>
        </w:tc>
        <w:tc>
          <w:tcPr>
            <w:tcW w:w="3581" w:type="pct"/>
            <w:tcBorders>
              <w:top w:val="single" w:color="auto" w:sz="4" w:space="0"/>
              <w:left w:val="nil"/>
              <w:bottom w:val="single" w:color="auto" w:sz="4" w:space="0"/>
              <w:right w:val="single" w:color="auto" w:sz="4" w:space="0"/>
            </w:tcBorders>
            <w:vAlign w:val="center"/>
          </w:tcPr>
          <w:p w14:paraId="7F6687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依据供应商提供的维保工具、仪器仪表、检测设备实物照片、设备购买发票、国家认可有效计量检测报告证明文件进行打分：</w:t>
            </w:r>
          </w:p>
          <w:p w14:paraId="03C84D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完整提供全部证明材料，配备维保工具、仪器仪表、检测设备齐全，完全满足本项目维保需要得</w:t>
            </w:r>
            <w:r>
              <w:rPr>
                <w:rFonts w:hint="eastAsia" w:ascii="宋体" w:hAnsi="宋体" w:eastAsia="宋体" w:cs="宋体"/>
                <w:color w:val="auto"/>
                <w:sz w:val="24"/>
                <w:szCs w:val="24"/>
                <w:lang w:val="en-US" w:eastAsia="zh-CN"/>
              </w:rPr>
              <w:t>5</w:t>
            </w:r>
            <w:r>
              <w:rPr>
                <w:rFonts w:hint="default" w:ascii="宋体" w:hAnsi="宋体" w:eastAsia="宋体" w:cs="宋体"/>
                <w:color w:val="auto"/>
                <w:sz w:val="24"/>
                <w:szCs w:val="24"/>
              </w:rPr>
              <w:t>分；</w:t>
            </w:r>
          </w:p>
          <w:p w14:paraId="42AB857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提供全部证明材料，配备维保工具、仪器仪表、检测设备基本齐全，基本满足本项目维保需要得</w:t>
            </w:r>
            <w:r>
              <w:rPr>
                <w:rFonts w:hint="eastAsia" w:ascii="宋体" w:hAnsi="宋体" w:eastAsia="宋体" w:cs="宋体"/>
                <w:color w:val="auto"/>
                <w:sz w:val="24"/>
                <w:szCs w:val="24"/>
                <w:lang w:val="en-US" w:eastAsia="zh-CN"/>
              </w:rPr>
              <w:t>3</w:t>
            </w:r>
            <w:r>
              <w:rPr>
                <w:rFonts w:hint="default" w:ascii="宋体" w:hAnsi="宋体" w:eastAsia="宋体" w:cs="宋体"/>
                <w:color w:val="auto"/>
                <w:sz w:val="24"/>
                <w:szCs w:val="24"/>
              </w:rPr>
              <w:t>分；</w:t>
            </w:r>
          </w:p>
          <w:p w14:paraId="66E949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部分提供证明材料，配备维保工具、仪器仪表、检测设备不全，不能完全满足本项目维保需要得</w:t>
            </w:r>
            <w:r>
              <w:rPr>
                <w:rFonts w:hint="eastAsia" w:ascii="宋体" w:hAnsi="宋体" w:eastAsia="宋体" w:cs="宋体"/>
                <w:color w:val="auto"/>
                <w:sz w:val="24"/>
                <w:szCs w:val="24"/>
                <w:lang w:val="en-US" w:eastAsia="zh-CN"/>
              </w:rPr>
              <w:t>1</w:t>
            </w:r>
            <w:r>
              <w:rPr>
                <w:rFonts w:hint="default" w:ascii="宋体" w:hAnsi="宋体" w:eastAsia="宋体" w:cs="宋体"/>
                <w:color w:val="auto"/>
                <w:sz w:val="24"/>
                <w:szCs w:val="24"/>
              </w:rPr>
              <w:t>分；未提供上述任意一项证明文件得</w:t>
            </w:r>
            <w:r>
              <w:rPr>
                <w:rFonts w:hint="eastAsia" w:ascii="宋体" w:hAnsi="宋体" w:eastAsia="宋体" w:cs="宋体"/>
                <w:color w:val="auto"/>
                <w:sz w:val="24"/>
                <w:szCs w:val="24"/>
                <w:lang w:val="en-US" w:eastAsia="zh-CN"/>
              </w:rPr>
              <w:t>0</w:t>
            </w:r>
            <w:r>
              <w:rPr>
                <w:rFonts w:hint="default" w:ascii="宋体" w:hAnsi="宋体" w:eastAsia="宋体" w:cs="宋体"/>
                <w:color w:val="auto"/>
                <w:sz w:val="24"/>
                <w:szCs w:val="24"/>
              </w:rPr>
              <w:t>分。</w:t>
            </w:r>
          </w:p>
        </w:tc>
        <w:tc>
          <w:tcPr>
            <w:tcW w:w="514" w:type="pct"/>
            <w:tcBorders>
              <w:top w:val="single" w:color="auto" w:sz="4" w:space="0"/>
              <w:left w:val="nil"/>
              <w:bottom w:val="single" w:color="auto" w:sz="4" w:space="0"/>
              <w:right w:val="single" w:color="auto" w:sz="4" w:space="0"/>
            </w:tcBorders>
            <w:vAlign w:val="center"/>
          </w:tcPr>
          <w:p w14:paraId="10BBD28B">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leftChars="0" w:right="0" w:rightChars="0"/>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0A4F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63" w:type="pct"/>
            <w:tcBorders>
              <w:top w:val="single" w:color="auto" w:sz="4" w:space="0"/>
              <w:left w:val="single" w:color="auto" w:sz="4" w:space="0"/>
              <w:bottom w:val="single" w:color="auto" w:sz="4" w:space="0"/>
              <w:right w:val="single" w:color="auto" w:sz="4" w:space="0"/>
            </w:tcBorders>
            <w:vAlign w:val="center"/>
          </w:tcPr>
          <w:p w14:paraId="5125143D">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p>
        </w:tc>
        <w:tc>
          <w:tcPr>
            <w:tcW w:w="640" w:type="pct"/>
            <w:tcBorders>
              <w:top w:val="single" w:color="auto" w:sz="4" w:space="0"/>
              <w:left w:val="nil"/>
              <w:bottom w:val="single" w:color="auto" w:sz="4" w:space="0"/>
              <w:right w:val="single" w:color="auto" w:sz="4" w:space="0"/>
            </w:tcBorders>
            <w:vAlign w:val="center"/>
          </w:tcPr>
          <w:p w14:paraId="5F50DC95">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服务</w:t>
            </w:r>
          </w:p>
          <w:p w14:paraId="525131DD">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承诺</w:t>
            </w:r>
          </w:p>
          <w:p w14:paraId="3EA2EB0E">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（10分）</w:t>
            </w:r>
          </w:p>
        </w:tc>
        <w:tc>
          <w:tcPr>
            <w:tcW w:w="3581" w:type="pct"/>
            <w:tcBorders>
              <w:top w:val="single" w:color="auto" w:sz="4" w:space="0"/>
              <w:left w:val="nil"/>
              <w:bottom w:val="single" w:color="auto" w:sz="4" w:space="0"/>
              <w:right w:val="single" w:color="auto" w:sz="4" w:space="0"/>
            </w:tcBorders>
            <w:vAlign w:val="center"/>
          </w:tcPr>
          <w:p w14:paraId="6F367A9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eastAsia="宋体" w:cs="宋体"/>
                <w:color w:val="auto"/>
                <w:kern w:val="2"/>
                <w:sz w:val="24"/>
                <w:szCs w:val="24"/>
                <w:u w:val="none"/>
                <w:lang w:val="en-US" w:eastAsia="zh-CN" w:bidi="ar-SA"/>
              </w:rPr>
            </w:pPr>
            <w:r>
              <w:rPr>
                <w:rFonts w:hint="default" w:ascii="宋体" w:hAnsi="宋体" w:eastAsia="宋体" w:cs="宋体"/>
                <w:color w:val="auto"/>
                <w:sz w:val="24"/>
                <w:szCs w:val="24"/>
              </w:rPr>
              <w:t>提供针对本项目的服务质量保证书面承诺文件，须同时包含以下条款：</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1</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服务质量</w:t>
            </w:r>
            <w:r>
              <w:rPr>
                <w:rFonts w:hint="eastAsia" w:ascii="宋体" w:hAnsi="宋体" w:cs="宋体"/>
                <w:color w:val="auto"/>
                <w:sz w:val="24"/>
                <w:szCs w:val="24"/>
                <w:lang w:val="en-US" w:eastAsia="zh-CN"/>
              </w:rPr>
              <w:t>保证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2</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响应时间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3</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default" w:ascii="宋体" w:hAnsi="宋体" w:eastAsia="宋体" w:cs="宋体"/>
                <w:color w:val="auto"/>
                <w:sz w:val="24"/>
                <w:szCs w:val="24"/>
              </w:rPr>
              <w:t>质量管控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4</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default" w:ascii="宋体" w:hAnsi="宋体" w:eastAsia="宋体" w:cs="宋体"/>
                <w:color w:val="auto"/>
                <w:sz w:val="24"/>
                <w:szCs w:val="24"/>
              </w:rPr>
              <w:t>问题整改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5</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default" w:ascii="宋体" w:hAnsi="宋体" w:eastAsia="宋体" w:cs="宋体"/>
                <w:color w:val="auto"/>
                <w:sz w:val="24"/>
                <w:szCs w:val="24"/>
              </w:rPr>
              <w:t xml:space="preserve">履约追责。全部 </w:t>
            </w:r>
            <w:r>
              <w:rPr>
                <w:rFonts w:hint="eastAsia" w:ascii="宋体" w:hAnsi="宋体" w:cs="宋体"/>
                <w:color w:val="auto"/>
                <w:sz w:val="24"/>
                <w:szCs w:val="24"/>
                <w:lang w:val="en-US" w:eastAsia="zh-CN"/>
              </w:rPr>
              <w:t>5</w:t>
            </w:r>
            <w:r>
              <w:rPr>
                <w:rFonts w:hint="default" w:ascii="宋体" w:hAnsi="宋体" w:eastAsia="宋体" w:cs="宋体"/>
                <w:color w:val="auto"/>
                <w:sz w:val="24"/>
                <w:szCs w:val="24"/>
              </w:rPr>
              <w:t xml:space="preserve"> 项条款均提供完整书面承诺，得</w:t>
            </w:r>
            <w:r>
              <w:rPr>
                <w:rFonts w:hint="eastAsia" w:ascii="宋体" w:hAnsi="宋体" w:cs="宋体"/>
                <w:color w:val="auto"/>
                <w:sz w:val="24"/>
                <w:szCs w:val="24"/>
                <w:lang w:val="en-US" w:eastAsia="zh-CN"/>
              </w:rPr>
              <w:t>10</w:t>
            </w:r>
            <w:r>
              <w:rPr>
                <w:rFonts w:hint="default" w:ascii="宋体" w:hAnsi="宋体" w:eastAsia="宋体" w:cs="宋体"/>
                <w:color w:val="auto"/>
                <w:sz w:val="24"/>
                <w:szCs w:val="24"/>
              </w:rPr>
              <w:t>分；每缺失 1 项扣</w:t>
            </w:r>
            <w:r>
              <w:rPr>
                <w:rFonts w:hint="eastAsia" w:ascii="宋体" w:hAnsi="宋体" w:cs="宋体"/>
                <w:color w:val="auto"/>
                <w:sz w:val="24"/>
                <w:szCs w:val="24"/>
                <w:lang w:val="en-US" w:eastAsia="zh-CN"/>
              </w:rPr>
              <w:t>2</w:t>
            </w:r>
            <w:r>
              <w:rPr>
                <w:rFonts w:hint="default" w:ascii="宋体" w:hAnsi="宋体" w:eastAsia="宋体" w:cs="宋体"/>
                <w:color w:val="auto"/>
                <w:sz w:val="24"/>
                <w:szCs w:val="24"/>
              </w:rPr>
              <w:t>分，扣完为止；未提供承诺文件本项得</w:t>
            </w:r>
            <w:r>
              <w:rPr>
                <w:rFonts w:hint="eastAsia" w:ascii="宋体" w:hAnsi="宋体" w:cs="宋体"/>
                <w:color w:val="auto"/>
                <w:sz w:val="24"/>
                <w:szCs w:val="24"/>
                <w:lang w:val="en-US" w:eastAsia="zh-CN"/>
              </w:rPr>
              <w:t>0</w:t>
            </w:r>
            <w:r>
              <w:rPr>
                <w:rFonts w:hint="default" w:ascii="宋体" w:hAnsi="宋体" w:eastAsia="宋体" w:cs="宋体"/>
                <w:color w:val="auto"/>
                <w:sz w:val="24"/>
                <w:szCs w:val="24"/>
              </w:rPr>
              <w:t>分。</w:t>
            </w:r>
          </w:p>
        </w:tc>
        <w:tc>
          <w:tcPr>
            <w:tcW w:w="514" w:type="pct"/>
            <w:tcBorders>
              <w:top w:val="single" w:color="auto" w:sz="4" w:space="0"/>
              <w:left w:val="nil"/>
              <w:bottom w:val="single" w:color="auto" w:sz="4" w:space="0"/>
              <w:right w:val="single" w:color="auto" w:sz="4" w:space="0"/>
            </w:tcBorders>
            <w:vAlign w:val="center"/>
          </w:tcPr>
          <w:p w14:paraId="0C69C106">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leftChars="0" w:right="0" w:rightChars="0"/>
              <w:jc w:val="center"/>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1EA9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63" w:type="pct"/>
            <w:tcBorders>
              <w:top w:val="single" w:color="auto" w:sz="4" w:space="0"/>
              <w:left w:val="single" w:color="auto" w:sz="4" w:space="0"/>
              <w:bottom w:val="single" w:color="auto" w:sz="4" w:space="0"/>
              <w:right w:val="single" w:color="auto" w:sz="4" w:space="0"/>
            </w:tcBorders>
            <w:vAlign w:val="center"/>
          </w:tcPr>
          <w:p w14:paraId="29319091">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640" w:type="pct"/>
            <w:tcBorders>
              <w:top w:val="single" w:color="auto" w:sz="4" w:space="0"/>
              <w:left w:val="nil"/>
              <w:bottom w:val="single" w:color="auto" w:sz="4" w:space="0"/>
              <w:right w:val="single" w:color="auto" w:sz="4" w:space="0"/>
            </w:tcBorders>
            <w:vAlign w:val="center"/>
          </w:tcPr>
          <w:p w14:paraId="6519981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用户评价</w:t>
            </w:r>
          </w:p>
          <w:p w14:paraId="22ABB1AE">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（6分）</w:t>
            </w:r>
          </w:p>
        </w:tc>
        <w:tc>
          <w:tcPr>
            <w:tcW w:w="3581" w:type="pct"/>
            <w:tcBorders>
              <w:top w:val="single" w:color="auto" w:sz="4" w:space="0"/>
              <w:left w:val="nil"/>
              <w:bottom w:val="single" w:color="auto" w:sz="4" w:space="0"/>
              <w:right w:val="single" w:color="auto" w:sz="4" w:space="0"/>
            </w:tcBorders>
            <w:vAlign w:val="center"/>
          </w:tcPr>
          <w:p w14:paraId="11B77B3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eastAsia="宋体" w:cs="宋体"/>
                <w:color w:val="auto"/>
                <w:kern w:val="2"/>
                <w:sz w:val="24"/>
                <w:szCs w:val="24"/>
                <w:u w:val="none"/>
                <w:lang w:val="en-US" w:eastAsia="zh-CN" w:bidi="ar-SA"/>
              </w:rPr>
            </w:pPr>
            <w:r>
              <w:rPr>
                <w:rFonts w:hint="default" w:ascii="宋体" w:hAnsi="宋体" w:eastAsia="宋体" w:cs="宋体"/>
                <w:color w:val="auto"/>
                <w:kern w:val="2"/>
                <w:sz w:val="24"/>
                <w:szCs w:val="24"/>
                <w:u w:val="none"/>
                <w:lang w:val="en-US" w:eastAsia="zh-CN" w:bidi="ar-SA"/>
              </w:rPr>
              <w:t>供应商提供自 202</w:t>
            </w:r>
            <w:r>
              <w:rPr>
                <w:rFonts w:hint="eastAsia" w:ascii="宋体" w:hAnsi="宋体" w:cs="宋体"/>
                <w:color w:val="auto"/>
                <w:kern w:val="2"/>
                <w:sz w:val="24"/>
                <w:szCs w:val="24"/>
                <w:u w:val="none"/>
                <w:lang w:val="en-US" w:eastAsia="zh-CN" w:bidi="ar-SA"/>
              </w:rPr>
              <w:t>3</w:t>
            </w:r>
            <w:r>
              <w:rPr>
                <w:rFonts w:hint="default" w:ascii="宋体" w:hAnsi="宋体" w:eastAsia="宋体" w:cs="宋体"/>
                <w:color w:val="auto"/>
                <w:kern w:val="2"/>
                <w:sz w:val="24"/>
                <w:szCs w:val="24"/>
                <w:u w:val="none"/>
                <w:lang w:val="en-US" w:eastAsia="zh-CN" w:bidi="ar-SA"/>
              </w:rPr>
              <w:t>年</w:t>
            </w:r>
            <w:r>
              <w:rPr>
                <w:rFonts w:hint="eastAsia" w:ascii="宋体" w:hAnsi="宋体" w:cs="宋体"/>
                <w:color w:val="auto"/>
                <w:kern w:val="2"/>
                <w:sz w:val="24"/>
                <w:szCs w:val="24"/>
                <w:u w:val="none"/>
                <w:lang w:val="en-US" w:eastAsia="zh-CN" w:bidi="ar-SA"/>
              </w:rPr>
              <w:t>9</w:t>
            </w:r>
            <w:r>
              <w:rPr>
                <w:rFonts w:hint="default" w:ascii="宋体" w:hAnsi="宋体" w:eastAsia="宋体" w:cs="宋体"/>
                <w:color w:val="auto"/>
                <w:kern w:val="2"/>
                <w:sz w:val="24"/>
                <w:szCs w:val="24"/>
                <w:u w:val="none"/>
                <w:lang w:val="en-US" w:eastAsia="zh-CN" w:bidi="ar-SA"/>
              </w:rPr>
              <w:t>月1日（含）以来类似项目</w:t>
            </w:r>
            <w:r>
              <w:rPr>
                <w:rFonts w:hint="default" w:ascii="宋体" w:hAnsi="宋体" w:eastAsia="宋体" w:cs="宋体"/>
                <w:color w:val="auto"/>
                <w:kern w:val="2"/>
                <w:sz w:val="24"/>
                <w:szCs w:val="24"/>
                <w:highlight w:val="none"/>
                <w:u w:val="none"/>
                <w:lang w:val="en-US" w:eastAsia="zh-CN" w:bidi="ar-SA"/>
              </w:rPr>
              <w:t>（类似项目指：</w:t>
            </w:r>
            <w:r>
              <w:rPr>
                <w:rFonts w:hint="default" w:ascii="宋体" w:hAnsi="宋体" w:eastAsia="宋体" w:cs="宋体"/>
                <w:sz w:val="24"/>
                <w:szCs w:val="24"/>
                <w:highlight w:val="none"/>
              </w:rPr>
              <w:t>高低压供配电设备维保</w:t>
            </w:r>
            <w:r>
              <w:rPr>
                <w:rFonts w:hint="default" w:ascii="宋体" w:hAnsi="宋体" w:eastAsia="宋体" w:cs="宋体"/>
                <w:color w:val="auto"/>
                <w:kern w:val="2"/>
                <w:sz w:val="24"/>
                <w:szCs w:val="24"/>
                <w:highlight w:val="none"/>
                <w:u w:val="none"/>
                <w:lang w:val="en-US" w:eastAsia="zh-CN" w:bidi="ar-SA"/>
              </w:rPr>
              <w:t>、</w:t>
            </w:r>
            <w:r>
              <w:rPr>
                <w:rFonts w:hint="default" w:ascii="宋体" w:hAnsi="宋体" w:eastAsia="宋体" w:cs="宋体"/>
                <w:sz w:val="24"/>
                <w:szCs w:val="24"/>
                <w:highlight w:val="none"/>
              </w:rPr>
              <w:t>配电房及柴油发电机组巡检维保</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rPr>
              <w:t>配电室电气设备年度运维托管</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rPr>
              <w:t>变配电系统安全管理维保</w:t>
            </w:r>
            <w:r>
              <w:rPr>
                <w:rFonts w:hint="default" w:ascii="宋体" w:hAnsi="宋体" w:eastAsia="宋体" w:cs="宋体"/>
                <w:color w:val="auto"/>
                <w:kern w:val="2"/>
                <w:sz w:val="24"/>
                <w:szCs w:val="24"/>
                <w:highlight w:val="none"/>
                <w:u w:val="none"/>
                <w:lang w:val="en-US" w:eastAsia="zh-CN" w:bidi="ar-SA"/>
              </w:rPr>
              <w:t>）</w:t>
            </w:r>
            <w:r>
              <w:rPr>
                <w:rFonts w:hint="default" w:ascii="宋体" w:hAnsi="宋体" w:eastAsia="宋体" w:cs="宋体"/>
                <w:color w:val="auto"/>
                <w:kern w:val="2"/>
                <w:sz w:val="24"/>
                <w:szCs w:val="24"/>
                <w:u w:val="none"/>
                <w:lang w:val="en-US" w:eastAsia="zh-CN" w:bidi="ar-SA"/>
              </w:rPr>
              <w:t>用户对其服务满意的认可评价（满意或合格或相关类似描述），每有1个得</w:t>
            </w:r>
            <w:r>
              <w:rPr>
                <w:rFonts w:hint="eastAsia" w:ascii="宋体" w:hAnsi="宋体" w:cs="宋体"/>
                <w:color w:val="auto"/>
                <w:kern w:val="2"/>
                <w:sz w:val="24"/>
                <w:szCs w:val="24"/>
                <w:u w:val="none"/>
                <w:lang w:val="en-US" w:eastAsia="zh-CN" w:bidi="ar-SA"/>
              </w:rPr>
              <w:t>3</w:t>
            </w:r>
            <w:r>
              <w:rPr>
                <w:rFonts w:hint="default" w:ascii="宋体" w:hAnsi="宋体" w:eastAsia="宋体" w:cs="宋体"/>
                <w:color w:val="auto"/>
                <w:kern w:val="2"/>
                <w:sz w:val="24"/>
                <w:szCs w:val="24"/>
                <w:u w:val="none"/>
                <w:lang w:val="en-US" w:eastAsia="zh-CN" w:bidi="ar-SA"/>
              </w:rPr>
              <w:t>分，此项最高得</w:t>
            </w:r>
            <w:r>
              <w:rPr>
                <w:rFonts w:hint="eastAsia" w:ascii="宋体" w:hAnsi="宋体" w:cs="宋体"/>
                <w:color w:val="auto"/>
                <w:kern w:val="2"/>
                <w:sz w:val="24"/>
                <w:szCs w:val="24"/>
                <w:u w:val="none"/>
                <w:lang w:val="en-US" w:eastAsia="zh-CN" w:bidi="ar-SA"/>
              </w:rPr>
              <w:t>6</w:t>
            </w:r>
            <w:r>
              <w:rPr>
                <w:rFonts w:hint="default" w:ascii="宋体" w:hAnsi="宋体" w:eastAsia="宋体" w:cs="宋体"/>
                <w:color w:val="auto"/>
                <w:kern w:val="2"/>
                <w:sz w:val="24"/>
                <w:szCs w:val="24"/>
                <w:u w:val="none"/>
                <w:lang w:val="en-US" w:eastAsia="zh-CN" w:bidi="ar-SA"/>
              </w:rPr>
              <w:t>分。 （注：提供加盖用户单位公章的证明材料复印件和类似项目的合同关键页复印件，至少包含：签约双方信息页、服务内容/标的明细页、签字盖章页等能清晰反映业绩核心要素的页面，并加盖供应商公章。未提供或提供无关材料的不得分。）</w:t>
            </w:r>
          </w:p>
        </w:tc>
        <w:tc>
          <w:tcPr>
            <w:tcW w:w="514" w:type="pct"/>
            <w:tcBorders>
              <w:top w:val="single" w:color="auto" w:sz="4" w:space="0"/>
              <w:left w:val="nil"/>
              <w:bottom w:val="single" w:color="auto" w:sz="4" w:space="0"/>
              <w:right w:val="single" w:color="auto" w:sz="4" w:space="0"/>
            </w:tcBorders>
            <w:vAlign w:val="center"/>
          </w:tcPr>
          <w:p w14:paraId="2FBF810F">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leftChars="0" w:right="0" w:rightChars="0"/>
              <w:jc w:val="center"/>
              <w:rPr>
                <w:rFonts w:hint="default" w:ascii="宋体" w:hAnsi="宋体" w:eastAsia="宋体" w:cs="宋体"/>
                <w:color w:val="auto"/>
                <w:kern w:val="2"/>
                <w:sz w:val="24"/>
                <w:szCs w:val="24"/>
                <w:u w:val="none"/>
                <w:lang w:val="en-US" w:eastAsia="zh-CN" w:bidi="ar-SA"/>
              </w:rPr>
            </w:pPr>
            <w:r>
              <w:rPr>
                <w:rFonts w:hint="eastAsia" w:ascii="宋体" w:hAnsi="宋体" w:cs="宋体"/>
                <w:b/>
                <w:bCs/>
                <w:color w:val="auto"/>
                <w:sz w:val="24"/>
                <w:szCs w:val="24"/>
                <w:lang w:val="en-US" w:eastAsia="zh-CN"/>
              </w:rPr>
              <w:t>客观</w:t>
            </w:r>
          </w:p>
        </w:tc>
      </w:tr>
      <w:tr w14:paraId="436B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263" w:type="pct"/>
            <w:tcBorders>
              <w:top w:val="single" w:color="auto" w:sz="4" w:space="0"/>
              <w:left w:val="single" w:color="auto" w:sz="4" w:space="0"/>
              <w:bottom w:val="single" w:color="auto" w:sz="4" w:space="0"/>
              <w:right w:val="single" w:color="auto" w:sz="4" w:space="0"/>
            </w:tcBorders>
            <w:vAlign w:val="center"/>
          </w:tcPr>
          <w:p w14:paraId="54DEAD2F">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b/>
                <w:bCs/>
                <w:color w:val="auto"/>
                <w:sz w:val="24"/>
                <w:szCs w:val="24"/>
                <w:lang w:val="en-US" w:eastAsia="zh-CN"/>
              </w:rPr>
            </w:pPr>
            <w:r>
              <w:rPr>
                <w:rFonts w:hint="eastAsia" w:ascii="宋体" w:hAnsi="宋体" w:cs="宋体"/>
                <w:b w:val="0"/>
                <w:bCs w:val="0"/>
                <w:color w:val="auto"/>
                <w:sz w:val="24"/>
                <w:szCs w:val="24"/>
                <w:lang w:val="en-US" w:eastAsia="zh-CN"/>
              </w:rPr>
              <w:t>7</w:t>
            </w:r>
          </w:p>
        </w:tc>
        <w:tc>
          <w:tcPr>
            <w:tcW w:w="640" w:type="pct"/>
            <w:tcBorders>
              <w:top w:val="single" w:color="auto" w:sz="4" w:space="0"/>
              <w:left w:val="nil"/>
              <w:bottom w:val="single" w:color="auto" w:sz="4" w:space="0"/>
              <w:right w:val="single" w:color="auto" w:sz="4" w:space="0"/>
            </w:tcBorders>
            <w:vAlign w:val="center"/>
          </w:tcPr>
          <w:p w14:paraId="2AFE4B47">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业绩</w:t>
            </w:r>
          </w:p>
          <w:p w14:paraId="5015D89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（10</w:t>
            </w:r>
            <w:r>
              <w:rPr>
                <w:rFonts w:hint="eastAsia" w:ascii="宋体" w:hAnsi="宋体" w:eastAsia="宋体" w:cs="宋体"/>
                <w:b/>
                <w:bCs/>
                <w:color w:val="auto"/>
                <w:sz w:val="24"/>
                <w:szCs w:val="24"/>
                <w:lang w:val="en-US" w:eastAsia="zh-CN"/>
              </w:rPr>
              <w:t>分</w:t>
            </w:r>
            <w:r>
              <w:rPr>
                <w:rFonts w:hint="eastAsia" w:ascii="宋体" w:hAnsi="宋体" w:cs="宋体"/>
                <w:b/>
                <w:bCs/>
                <w:color w:val="auto"/>
                <w:sz w:val="24"/>
                <w:szCs w:val="24"/>
                <w:lang w:val="en-US" w:eastAsia="zh-CN"/>
              </w:rPr>
              <w:t>）</w:t>
            </w:r>
          </w:p>
        </w:tc>
        <w:tc>
          <w:tcPr>
            <w:tcW w:w="3581" w:type="pct"/>
            <w:tcBorders>
              <w:top w:val="single" w:color="auto" w:sz="4" w:space="0"/>
              <w:left w:val="nil"/>
              <w:bottom w:val="single" w:color="auto" w:sz="4" w:space="0"/>
              <w:right w:val="single" w:color="auto" w:sz="4" w:space="0"/>
            </w:tcBorders>
            <w:vAlign w:val="center"/>
          </w:tcPr>
          <w:p w14:paraId="592B78B6">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leftChars="0" w:right="0" w:rightChars="0"/>
              <w:jc w:val="left"/>
              <w:rPr>
                <w:rFonts w:hint="eastAsia" w:ascii="宋体" w:hAnsi="宋体" w:eastAsia="宋体" w:cs="宋体"/>
                <w:color w:val="auto"/>
                <w:sz w:val="24"/>
                <w:szCs w:val="24"/>
              </w:rPr>
            </w:pPr>
            <w:r>
              <w:rPr>
                <w:rFonts w:hint="eastAsia" w:ascii="宋体" w:hAnsi="宋体" w:eastAsia="宋体" w:cs="宋体"/>
                <w:color w:val="auto"/>
                <w:kern w:val="2"/>
                <w:sz w:val="24"/>
                <w:szCs w:val="24"/>
                <w:u w:val="none"/>
                <w:lang w:val="zh-CN" w:eastAsia="zh-CN" w:bidi="ar-SA"/>
              </w:rPr>
              <w:t>供应商</w:t>
            </w:r>
            <w:r>
              <w:rPr>
                <w:rFonts w:hint="eastAsia" w:ascii="宋体" w:hAnsi="宋体" w:eastAsia="宋体" w:cs="宋体"/>
                <w:color w:val="auto"/>
                <w:kern w:val="2"/>
                <w:sz w:val="24"/>
                <w:szCs w:val="24"/>
                <w:u w:val="none"/>
                <w:lang w:val="en-US" w:eastAsia="zh-CN" w:bidi="ar-SA"/>
              </w:rPr>
              <w:t>须提供</w:t>
            </w:r>
            <w:r>
              <w:rPr>
                <w:rFonts w:hint="eastAsia" w:ascii="宋体" w:hAnsi="宋体" w:cs="宋体"/>
                <w:color w:val="auto"/>
                <w:kern w:val="2"/>
                <w:sz w:val="24"/>
                <w:szCs w:val="24"/>
                <w:u w:val="none"/>
                <w:lang w:val="en-US" w:eastAsia="zh-CN" w:bidi="ar-SA"/>
              </w:rPr>
              <w:t>2023年9月1日至今类似</w:t>
            </w:r>
            <w:r>
              <w:rPr>
                <w:rFonts w:hint="eastAsia" w:ascii="宋体" w:hAnsi="宋体" w:eastAsia="宋体" w:cs="宋体"/>
                <w:color w:val="auto"/>
                <w:kern w:val="2"/>
                <w:sz w:val="24"/>
                <w:szCs w:val="24"/>
                <w:u w:val="none"/>
                <w:lang w:val="en-US" w:eastAsia="zh-CN" w:bidi="ar-SA"/>
              </w:rPr>
              <w:t>项目，每提供一份得</w:t>
            </w:r>
            <w:r>
              <w:rPr>
                <w:rFonts w:hint="eastAsia" w:ascii="宋体" w:hAnsi="宋体" w:cs="宋体"/>
                <w:color w:val="auto"/>
                <w:kern w:val="2"/>
                <w:sz w:val="24"/>
                <w:szCs w:val="24"/>
                <w:u w:val="none"/>
                <w:lang w:val="en-US" w:eastAsia="zh-CN" w:bidi="ar-SA"/>
              </w:rPr>
              <w:t>2.5</w:t>
            </w:r>
            <w:r>
              <w:rPr>
                <w:rFonts w:hint="eastAsia" w:ascii="宋体" w:hAnsi="宋体" w:eastAsia="宋体" w:cs="宋体"/>
                <w:color w:val="auto"/>
                <w:kern w:val="2"/>
                <w:sz w:val="24"/>
                <w:szCs w:val="24"/>
                <w:u w:val="none"/>
                <w:lang w:val="en-US" w:eastAsia="zh-CN" w:bidi="ar-SA"/>
              </w:rPr>
              <w:t>分，最高得</w:t>
            </w:r>
            <w:r>
              <w:rPr>
                <w:rFonts w:hint="eastAsia" w:ascii="宋体" w:hAnsi="宋体" w:cs="宋体"/>
                <w:color w:val="auto"/>
                <w:kern w:val="2"/>
                <w:sz w:val="24"/>
                <w:szCs w:val="24"/>
                <w:u w:val="none"/>
                <w:lang w:val="en-US" w:eastAsia="zh-CN" w:bidi="ar-SA"/>
              </w:rPr>
              <w:t>10</w:t>
            </w:r>
            <w:r>
              <w:rPr>
                <w:rFonts w:hint="eastAsia" w:ascii="宋体" w:hAnsi="宋体" w:eastAsia="宋体" w:cs="宋体"/>
                <w:color w:val="auto"/>
                <w:kern w:val="2"/>
                <w:sz w:val="24"/>
                <w:szCs w:val="24"/>
                <w:u w:val="none"/>
                <w:lang w:val="en-US" w:eastAsia="zh-CN" w:bidi="ar-SA"/>
              </w:rPr>
              <w:t>分</w:t>
            </w:r>
            <w:r>
              <w:rPr>
                <w:rFonts w:hint="eastAsia" w:ascii="宋体" w:hAnsi="宋体" w:eastAsia="宋体" w:cs="宋体"/>
                <w:color w:val="auto"/>
                <w:sz w:val="24"/>
                <w:szCs w:val="24"/>
              </w:rPr>
              <w:t>（以合同为准，</w:t>
            </w:r>
            <w:r>
              <w:rPr>
                <w:rFonts w:hint="eastAsia" w:ascii="宋体" w:hAnsi="宋体" w:eastAsia="宋体" w:cs="宋体"/>
                <w:color w:val="auto"/>
                <w:sz w:val="24"/>
                <w:szCs w:val="24"/>
                <w:u w:val="none"/>
                <w:lang w:val="en-US" w:eastAsia="zh-CN"/>
              </w:rPr>
              <w:t>合同所有内容应清晰可辨，否则不予认可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。未提供不得分。</w:t>
            </w:r>
          </w:p>
        </w:tc>
        <w:tc>
          <w:tcPr>
            <w:tcW w:w="514" w:type="pct"/>
            <w:tcBorders>
              <w:top w:val="single" w:color="auto" w:sz="4" w:space="0"/>
              <w:left w:val="nil"/>
              <w:bottom w:val="single" w:color="auto" w:sz="4" w:space="0"/>
              <w:right w:val="single" w:color="auto" w:sz="4" w:space="0"/>
            </w:tcBorders>
            <w:vAlign w:val="center"/>
          </w:tcPr>
          <w:p w14:paraId="39BD74F2">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leftChars="0" w:right="0" w:rightChars="0"/>
              <w:jc w:val="center"/>
              <w:rPr>
                <w:rFonts w:hint="eastAsia" w:ascii="宋体" w:hAnsi="宋体" w:eastAsia="宋体" w:cs="宋体"/>
                <w:color w:val="auto"/>
                <w:kern w:val="2"/>
                <w:sz w:val="24"/>
                <w:szCs w:val="24"/>
                <w:u w:val="none"/>
                <w:lang w:val="zh-CN" w:eastAsia="zh-CN" w:bidi="ar-SA"/>
              </w:rPr>
            </w:pPr>
            <w:r>
              <w:rPr>
                <w:rFonts w:hint="eastAsia" w:ascii="宋体" w:hAnsi="宋体" w:cs="宋体"/>
                <w:b/>
                <w:bCs/>
                <w:color w:val="auto"/>
                <w:sz w:val="24"/>
                <w:szCs w:val="24"/>
                <w:lang w:val="en-US" w:eastAsia="zh-CN"/>
              </w:rPr>
              <w:t>客观</w:t>
            </w:r>
          </w:p>
        </w:tc>
      </w:tr>
    </w:tbl>
    <w:p w14:paraId="3F2986E4">
      <w:pPr>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2B53712A">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以上各项打分均由评标委员会独立评分，评分相邻两档之间的得分，归属于较低一档</w:t>
      </w:r>
      <w:r>
        <w:rPr>
          <w:rFonts w:hint="eastAsia" w:ascii="宋体" w:hAnsi="宋体" w:cs="宋体"/>
          <w:bCs/>
          <w:color w:val="auto"/>
          <w:sz w:val="24"/>
          <w:szCs w:val="24"/>
          <w:lang w:eastAsia="zh-CN"/>
        </w:rPr>
        <w:t>，</w:t>
      </w:r>
      <w:r>
        <w:rPr>
          <w:rFonts w:hint="eastAsia" w:ascii="宋体" w:hAnsi="宋体" w:cs="宋体"/>
          <w:bCs/>
          <w:color w:val="auto"/>
          <w:sz w:val="24"/>
          <w:szCs w:val="24"/>
        </w:rPr>
        <w:t>两档之间可取小数点进行打分，按评审后综合得分由高到低推荐一至三名中标候选人。</w:t>
      </w:r>
    </w:p>
    <w:p w14:paraId="574F507B">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2.</w:t>
      </w:r>
      <w:r>
        <w:rPr>
          <w:rFonts w:hint="eastAsia" w:ascii="宋体" w:hAnsi="宋体" w:eastAsia="宋体" w:cs="宋体"/>
          <w:color w:val="auto"/>
          <w:kern w:val="2"/>
          <w:sz w:val="24"/>
          <w:szCs w:val="24"/>
          <w:lang w:val="en-US" w:eastAsia="zh-CN" w:bidi="ar"/>
        </w:rPr>
        <w:t>对</w:t>
      </w:r>
      <w:r>
        <w:rPr>
          <w:rFonts w:hint="eastAsia" w:ascii="宋体" w:hAnsi="宋体" w:cs="宋体"/>
          <w:bCs/>
          <w:color w:val="auto"/>
          <w:sz w:val="24"/>
          <w:szCs w:val="24"/>
        </w:rPr>
        <w:t>于</w:t>
      </w:r>
      <w:r>
        <w:rPr>
          <w:rFonts w:hint="eastAsia" w:ascii="宋体" w:hAnsi="宋体" w:eastAsia="宋体" w:cs="宋体"/>
          <w:color w:val="auto"/>
          <w:kern w:val="2"/>
          <w:sz w:val="24"/>
          <w:szCs w:val="24"/>
          <w:lang w:val="en-US" w:eastAsia="zh-CN" w:bidi="ar"/>
        </w:rPr>
        <w:t>专门面向中小企业采购项目，不</w:t>
      </w:r>
      <w:r>
        <w:rPr>
          <w:rFonts w:hint="eastAsia" w:ascii="宋体" w:hAnsi="宋体" w:cs="宋体"/>
          <w:color w:val="auto"/>
          <w:kern w:val="2"/>
          <w:sz w:val="24"/>
          <w:szCs w:val="24"/>
          <w:lang w:val="en-US" w:eastAsia="zh-CN" w:bidi="ar"/>
        </w:rPr>
        <w:t>再</w:t>
      </w:r>
      <w:r>
        <w:rPr>
          <w:rFonts w:hint="eastAsia" w:ascii="宋体" w:hAnsi="宋体" w:eastAsia="宋体" w:cs="宋体"/>
          <w:color w:val="auto"/>
          <w:kern w:val="2"/>
          <w:sz w:val="24"/>
          <w:szCs w:val="24"/>
          <w:lang w:val="en-US" w:eastAsia="zh-CN" w:bidi="ar"/>
        </w:rPr>
        <w:t>执行价格扣除政策。</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eastAsia="宋体" w:cs="宋体"/>
          <w:bCs/>
          <w:color w:val="auto"/>
          <w:sz w:val="24"/>
          <w:szCs w:val="24"/>
          <w:lang w:eastAsia="zh-CN"/>
        </w:rPr>
        <w:t>。</w:t>
      </w:r>
    </w:p>
    <w:p w14:paraId="6E028229">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3.</w:t>
      </w:r>
      <w:r>
        <w:rPr>
          <w:rFonts w:hint="eastAsia" w:ascii="宋体" w:hAnsi="宋体" w:cs="宋体"/>
          <w:bCs/>
          <w:color w:val="auto"/>
          <w:sz w:val="24"/>
          <w:szCs w:val="24"/>
        </w:rPr>
        <w:t>对于非专门面向中小企业的项目、残疾人福利性单位的项目，对小型和微型企业，残疾人福利性单位产品的价格给予10%的扣除，用扣除后的价格参与评审，残疾人福利性单位属于小型、微型企业的，不重复享受政策；</w:t>
      </w:r>
    </w:p>
    <w:p w14:paraId="104A36B1">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4.</w:t>
      </w:r>
      <w:r>
        <w:rPr>
          <w:rFonts w:hint="eastAsia" w:ascii="宋体" w:hAnsi="宋体" w:cs="宋体"/>
          <w:bCs/>
          <w:color w:val="auto"/>
          <w:sz w:val="24"/>
          <w:szCs w:val="24"/>
        </w:rPr>
        <w:t>《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61F7386A">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5.</w:t>
      </w:r>
      <w:r>
        <w:rPr>
          <w:rFonts w:hint="eastAsia" w:ascii="宋体" w:hAnsi="宋体" w:eastAsia="宋体" w:cs="宋体"/>
          <w:b w:val="0"/>
          <w:bCs w:val="0"/>
          <w:color w:val="auto"/>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项目</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622C0573">
      <w:pPr>
        <w:spacing w:line="336" w:lineRule="auto"/>
        <w:ind w:firstLine="480" w:firstLineChars="200"/>
        <w:rPr>
          <w:rFonts w:ascii="宋体" w:hAnsi="宋体" w:cs="宋体"/>
          <w:bCs/>
          <w:color w:val="auto"/>
          <w:sz w:val="24"/>
          <w:szCs w:val="24"/>
        </w:rPr>
      </w:pPr>
      <w:r>
        <w:rPr>
          <w:rFonts w:hint="eastAsia" w:ascii="宋体" w:hAnsi="宋体" w:cs="宋体"/>
          <w:bCs/>
          <w:color w:val="auto"/>
          <w:sz w:val="24"/>
          <w:szCs w:val="24"/>
          <w:lang w:eastAsia="zh-CN"/>
        </w:rPr>
        <w:t>6.</w:t>
      </w:r>
      <w:r>
        <w:rPr>
          <w:rFonts w:hint="eastAsia" w:ascii="宋体" w:hAnsi="宋体" w:cs="宋体"/>
          <w:bCs/>
          <w:color w:val="auto"/>
          <w:sz w:val="24"/>
          <w:szCs w:val="24"/>
        </w:rPr>
        <w:t>若出现综合得分并列时，按投标报价由低到高顺序排列。得分且投标报价相同的并列。</w:t>
      </w:r>
      <w:r>
        <w:rPr>
          <w:rFonts w:hint="eastAsia" w:ascii="宋体" w:hAnsi="宋体" w:cs="宋体"/>
          <w:bCs/>
          <w:color w:val="auto"/>
          <w:sz w:val="24"/>
          <w:szCs w:val="24"/>
          <w:lang w:eastAsia="zh-CN"/>
        </w:rPr>
        <w:t>响应文件</w:t>
      </w:r>
      <w:r>
        <w:rPr>
          <w:rFonts w:hint="eastAsia" w:ascii="宋体" w:hAnsi="宋体" w:cs="宋体"/>
          <w:bCs/>
          <w:color w:val="auto"/>
          <w:sz w:val="24"/>
          <w:szCs w:val="24"/>
        </w:rPr>
        <w:t>满足</w:t>
      </w:r>
      <w:r>
        <w:rPr>
          <w:rFonts w:hint="eastAsia" w:ascii="宋体" w:hAnsi="宋体" w:cs="宋体"/>
          <w:bCs/>
          <w:color w:val="auto"/>
          <w:sz w:val="24"/>
          <w:szCs w:val="24"/>
          <w:lang w:eastAsia="zh-CN"/>
        </w:rPr>
        <w:t>磋商文件</w:t>
      </w:r>
      <w:r>
        <w:rPr>
          <w:rFonts w:hint="eastAsia" w:ascii="宋体" w:hAnsi="宋体" w:cs="宋体"/>
          <w:bCs/>
          <w:color w:val="auto"/>
          <w:sz w:val="24"/>
          <w:szCs w:val="24"/>
        </w:rPr>
        <w:t>全部实质性要求，且按照评审因素的量化指标评审得分最高的投标人为排名第一的中标候选人。</w:t>
      </w:r>
    </w:p>
    <w:bookmarkEnd w:id="129"/>
    <w:p w14:paraId="2D80DABA">
      <w:pPr>
        <w:pStyle w:val="2"/>
        <w:pageBreakBefore/>
        <w:numPr>
          <w:ilvl w:val="0"/>
          <w:numId w:val="5"/>
        </w:numPr>
        <w:rPr>
          <w:rFonts w:ascii="宋体" w:hAnsi="宋体" w:cs="宋体"/>
          <w:color w:val="auto"/>
        </w:rPr>
      </w:pPr>
      <w:bookmarkStart w:id="131" w:name="_Toc21819"/>
      <w:bookmarkStart w:id="132" w:name="_Toc6835"/>
      <w:bookmarkStart w:id="133" w:name="_Toc15647"/>
      <w:r>
        <w:rPr>
          <w:rFonts w:hint="eastAsia" w:ascii="宋体" w:hAnsi="宋体" w:cs="宋体"/>
          <w:color w:val="auto"/>
        </w:rPr>
        <w:t>采购内容及要求</w:t>
      </w:r>
      <w:bookmarkEnd w:id="131"/>
    </w:p>
    <w:p w14:paraId="08E09049">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bookmarkStart w:id="134" w:name="_Toc21652"/>
      <w:bookmarkStart w:id="135" w:name="_Toc536202391"/>
      <w:bookmarkStart w:id="136" w:name="_Toc536429331"/>
      <w:bookmarkStart w:id="137" w:name="_Toc536202322"/>
      <w:bookmarkStart w:id="138" w:name="_Toc536429384"/>
      <w:bookmarkStart w:id="139" w:name="_Toc10286"/>
      <w:bookmarkStart w:id="140" w:name="_Toc19543347"/>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一、项目</w:t>
      </w:r>
      <w:r>
        <w:rPr>
          <w:rFonts w:hint="eastAsia" w:ascii="宋体" w:hAnsi="宋体" w:cs="宋体"/>
          <w:b/>
          <w:bCs/>
          <w:color w:val="000000" w:themeColor="text1"/>
          <w:kern w:val="0"/>
          <w:sz w:val="24"/>
          <w:szCs w:val="24"/>
          <w:lang w:val="en-US" w:eastAsia="zh-CN" w:bidi="ar-SA"/>
          <w14:textFill>
            <w14:solidFill>
              <w14:schemeClr w14:val="tx1"/>
            </w14:solidFill>
          </w14:textFill>
        </w:rPr>
        <w:t>概况</w:t>
      </w:r>
    </w:p>
    <w:p w14:paraId="64666DA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FF0000"/>
          <w:kern w:val="0"/>
          <w:sz w:val="24"/>
          <w:szCs w:val="24"/>
        </w:rPr>
      </w:pPr>
      <w:r>
        <w:rPr>
          <w:rFonts w:ascii="宋体" w:hAnsi="宋体" w:eastAsia="宋体" w:cs="宋体"/>
          <w:color w:val="000000" w:themeColor="text1"/>
          <w:sz w:val="24"/>
          <w:szCs w:val="24"/>
          <w14:textFill>
            <w14:solidFill>
              <w14:schemeClr w14:val="tx1"/>
            </w14:solidFill>
          </w14:textFill>
        </w:rPr>
        <w:t>本项目为安康市中医医院</w:t>
      </w:r>
      <w:r>
        <w:rPr>
          <w:rFonts w:hint="eastAsia" w:ascii="宋体" w:hAnsi="宋体" w:eastAsia="宋体" w:cs="宋体"/>
          <w:color w:val="000000" w:themeColor="text1"/>
          <w:sz w:val="24"/>
          <w:szCs w:val="24"/>
          <w:lang w:eastAsia="zh-CN"/>
          <w14:textFill>
            <w14:solidFill>
              <w14:schemeClr w14:val="tx1"/>
            </w14:solidFill>
          </w14:textFill>
        </w:rPr>
        <w:t>电力系统安全管理维保服务项目</w:t>
      </w:r>
      <w:r>
        <w:rPr>
          <w:rFonts w:ascii="宋体" w:hAnsi="宋体" w:eastAsia="宋体" w:cs="宋体"/>
          <w:sz w:val="24"/>
          <w:szCs w:val="24"/>
        </w:rPr>
        <w:t>，对院内各配电室变压器、高低压柜、发电机等设备开展定期巡检维护，做好应急供电保障，确保医院电力系统安全稳定运行。</w:t>
      </w:r>
    </w:p>
    <w:p w14:paraId="24C0E9B7">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default" w:ascii="宋体" w:hAnsi="宋体" w:eastAsia="宋体" w:cs="宋体"/>
          <w:b/>
          <w:bCs/>
          <w:color w:val="FF0000"/>
          <w:kern w:val="0"/>
          <w:sz w:val="24"/>
          <w:szCs w:val="24"/>
          <w:lang w:val="en-US" w:eastAsia="zh-CN" w:bidi="ar-SA"/>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二、</w:t>
      </w:r>
      <w:r>
        <w:rPr>
          <w:rFonts w:hint="eastAsia" w:ascii="宋体" w:hAnsi="宋体" w:cs="宋体"/>
          <w:b/>
          <w:bCs/>
          <w:color w:val="000000" w:themeColor="text1"/>
          <w:kern w:val="0"/>
          <w:sz w:val="24"/>
          <w:szCs w:val="24"/>
          <w:lang w:val="en-US" w:eastAsia="zh-CN" w:bidi="ar-SA"/>
          <w14:textFill>
            <w14:solidFill>
              <w14:schemeClr w14:val="tx1"/>
            </w14:solidFill>
          </w14:textFill>
        </w:rPr>
        <w:t>服务清单</w:t>
      </w:r>
    </w:p>
    <w:tbl>
      <w:tblPr>
        <w:tblStyle w:val="37"/>
        <w:tblW w:w="4980" w:type="pct"/>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38"/>
        <w:gridCol w:w="2828"/>
        <w:gridCol w:w="3050"/>
        <w:gridCol w:w="923"/>
        <w:gridCol w:w="1287"/>
      </w:tblGrid>
      <w:tr w14:paraId="76603DE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tcBorders>
              <w:top w:val="single" w:color="000000" w:sz="4" w:space="0"/>
              <w:left w:val="single" w:color="000000" w:sz="4" w:space="0"/>
              <w:bottom w:val="single" w:color="000000" w:sz="4" w:space="0"/>
              <w:right w:val="single" w:color="000000" w:sz="4" w:space="0"/>
            </w:tcBorders>
            <w:vAlign w:val="top"/>
          </w:tcPr>
          <w:p w14:paraId="20D3CBB2">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1566" w:type="pct"/>
            <w:tcBorders>
              <w:top w:val="single" w:color="000000" w:sz="4" w:space="0"/>
              <w:left w:val="single" w:color="000000" w:sz="4" w:space="0"/>
              <w:bottom w:val="single" w:color="000000" w:sz="4" w:space="0"/>
              <w:right w:val="single" w:color="000000" w:sz="4" w:space="0"/>
            </w:tcBorders>
            <w:vAlign w:val="top"/>
          </w:tcPr>
          <w:p w14:paraId="6F147FB6">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设备地点</w:t>
            </w:r>
          </w:p>
        </w:tc>
        <w:tc>
          <w:tcPr>
            <w:tcW w:w="1689" w:type="pct"/>
            <w:tcBorders>
              <w:top w:val="single" w:color="000000" w:sz="4" w:space="0"/>
              <w:left w:val="single" w:color="000000" w:sz="4" w:space="0"/>
              <w:bottom w:val="single" w:color="000000" w:sz="4" w:space="0"/>
              <w:right w:val="single" w:color="000000" w:sz="4" w:space="0"/>
            </w:tcBorders>
            <w:vAlign w:val="top"/>
          </w:tcPr>
          <w:p w14:paraId="60BEFCE1">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设备名称</w:t>
            </w:r>
          </w:p>
        </w:tc>
        <w:tc>
          <w:tcPr>
            <w:tcW w:w="511" w:type="pct"/>
            <w:tcBorders>
              <w:top w:val="single" w:color="000000" w:sz="4" w:space="0"/>
              <w:left w:val="single" w:color="000000" w:sz="4" w:space="0"/>
              <w:bottom w:val="single" w:color="000000" w:sz="4" w:space="0"/>
              <w:right w:val="single" w:color="000000" w:sz="4" w:space="0"/>
            </w:tcBorders>
            <w:vAlign w:val="top"/>
          </w:tcPr>
          <w:p w14:paraId="35C5CC1B">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单位</w:t>
            </w:r>
          </w:p>
        </w:tc>
        <w:tc>
          <w:tcPr>
            <w:tcW w:w="713" w:type="pct"/>
            <w:tcBorders>
              <w:top w:val="single" w:color="000000" w:sz="4" w:space="0"/>
              <w:left w:val="single" w:color="000000" w:sz="4" w:space="0"/>
              <w:bottom w:val="single" w:color="000000" w:sz="4" w:space="0"/>
              <w:right w:val="single" w:color="000000" w:sz="4" w:space="0"/>
            </w:tcBorders>
            <w:vAlign w:val="top"/>
          </w:tcPr>
          <w:p w14:paraId="0E53BCAE">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数量</w:t>
            </w:r>
          </w:p>
        </w:tc>
      </w:tr>
      <w:tr w14:paraId="5F85A8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restart"/>
            <w:tcBorders>
              <w:top w:val="single" w:color="000000" w:sz="4" w:space="0"/>
              <w:left w:val="single" w:color="000000" w:sz="4" w:space="0"/>
              <w:bottom w:val="single" w:color="000000" w:sz="4" w:space="0"/>
              <w:right w:val="single" w:color="000000" w:sz="4" w:space="0"/>
            </w:tcBorders>
            <w:vAlign w:val="top"/>
          </w:tcPr>
          <w:p w14:paraId="7B7EBCF0">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0E60C351">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186437EE">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3C00B61D">
            <w:pPr>
              <w:keepNext w:val="0"/>
              <w:keepLines w:val="0"/>
              <w:suppressLineNumbers w:val="0"/>
              <w:wordWrap w:val="0"/>
              <w:autoSpaceDE w:val="0"/>
              <w:autoSpaceDN w:val="0"/>
              <w:spacing w:before="34"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1566" w:type="pct"/>
            <w:vMerge w:val="restart"/>
            <w:tcBorders>
              <w:top w:val="single" w:color="000000" w:sz="4" w:space="0"/>
              <w:left w:val="single" w:color="000000" w:sz="4" w:space="0"/>
              <w:bottom w:val="single" w:color="000000" w:sz="4" w:space="0"/>
              <w:right w:val="single" w:color="000000" w:sz="4" w:space="0"/>
            </w:tcBorders>
            <w:vAlign w:val="top"/>
          </w:tcPr>
          <w:p w14:paraId="02D1880B">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609D236E">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5938832A">
            <w:pPr>
              <w:keepNext w:val="0"/>
              <w:keepLines w:val="0"/>
              <w:suppressLineNumbers w:val="0"/>
              <w:wordWrap w:val="0"/>
              <w:autoSpaceDE w:val="0"/>
              <w:autoSpaceDN w:val="0"/>
              <w:spacing w:before="410"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内科大楼配电室</w:t>
            </w:r>
          </w:p>
        </w:tc>
        <w:tc>
          <w:tcPr>
            <w:tcW w:w="1689" w:type="pct"/>
            <w:tcBorders>
              <w:top w:val="single" w:color="000000" w:sz="4" w:space="0"/>
              <w:left w:val="single" w:color="000000" w:sz="4" w:space="0"/>
              <w:bottom w:val="single" w:color="000000" w:sz="4" w:space="0"/>
              <w:right w:val="single" w:color="000000" w:sz="4" w:space="0"/>
            </w:tcBorders>
            <w:vAlign w:val="top"/>
          </w:tcPr>
          <w:p w14:paraId="7AFB8AA7">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1600KVA 配变</w:t>
            </w:r>
          </w:p>
        </w:tc>
        <w:tc>
          <w:tcPr>
            <w:tcW w:w="511" w:type="pct"/>
            <w:tcBorders>
              <w:top w:val="single" w:color="000000" w:sz="4" w:space="0"/>
              <w:left w:val="single" w:color="000000" w:sz="4" w:space="0"/>
              <w:bottom w:val="single" w:color="000000" w:sz="4" w:space="0"/>
              <w:right w:val="single" w:color="000000" w:sz="4" w:space="0"/>
            </w:tcBorders>
            <w:vAlign w:val="top"/>
          </w:tcPr>
          <w:p w14:paraId="7299FF30">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30BEEE0B">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52EF27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6CF7DA65">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2B93CF6D">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53CDEC66">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1000KVA 配变</w:t>
            </w:r>
          </w:p>
        </w:tc>
        <w:tc>
          <w:tcPr>
            <w:tcW w:w="511" w:type="pct"/>
            <w:tcBorders>
              <w:top w:val="single" w:color="000000" w:sz="4" w:space="0"/>
              <w:left w:val="single" w:color="000000" w:sz="4" w:space="0"/>
              <w:bottom w:val="single" w:color="000000" w:sz="4" w:space="0"/>
              <w:right w:val="single" w:color="000000" w:sz="4" w:space="0"/>
            </w:tcBorders>
            <w:vAlign w:val="top"/>
          </w:tcPr>
          <w:p w14:paraId="186BEE60">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4A876520">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2CBCFC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74FDE054">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6DE68D30">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6FC2566D">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KYN28高压柜</w:t>
            </w:r>
          </w:p>
        </w:tc>
        <w:tc>
          <w:tcPr>
            <w:tcW w:w="511" w:type="pct"/>
            <w:tcBorders>
              <w:top w:val="single" w:color="000000" w:sz="4" w:space="0"/>
              <w:left w:val="single" w:color="000000" w:sz="4" w:space="0"/>
              <w:bottom w:val="single" w:color="000000" w:sz="4" w:space="0"/>
              <w:right w:val="single" w:color="000000" w:sz="4" w:space="0"/>
            </w:tcBorders>
            <w:vAlign w:val="top"/>
          </w:tcPr>
          <w:p w14:paraId="05356B3D">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395733AD">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4</w:t>
            </w:r>
          </w:p>
        </w:tc>
      </w:tr>
      <w:tr w14:paraId="71AF554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5CD87AB1">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5864AD38">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35E03725">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直流屏</w:t>
            </w:r>
          </w:p>
        </w:tc>
        <w:tc>
          <w:tcPr>
            <w:tcW w:w="511" w:type="pct"/>
            <w:tcBorders>
              <w:top w:val="single" w:color="000000" w:sz="4" w:space="0"/>
              <w:left w:val="single" w:color="000000" w:sz="4" w:space="0"/>
              <w:bottom w:val="single" w:color="000000" w:sz="4" w:space="0"/>
              <w:right w:val="single" w:color="000000" w:sz="4" w:space="0"/>
            </w:tcBorders>
            <w:vAlign w:val="top"/>
          </w:tcPr>
          <w:p w14:paraId="2BE0F18D">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套</w:t>
            </w:r>
          </w:p>
        </w:tc>
        <w:tc>
          <w:tcPr>
            <w:tcW w:w="713" w:type="pct"/>
            <w:tcBorders>
              <w:top w:val="single" w:color="000000" w:sz="4" w:space="0"/>
              <w:left w:val="single" w:color="000000" w:sz="4" w:space="0"/>
              <w:bottom w:val="single" w:color="000000" w:sz="4" w:space="0"/>
              <w:right w:val="single" w:color="000000" w:sz="4" w:space="0"/>
            </w:tcBorders>
            <w:vAlign w:val="top"/>
          </w:tcPr>
          <w:p w14:paraId="3E3CD70D">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003B68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3646D019">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20D90939">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4AAA5779">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低压配电柜</w:t>
            </w:r>
          </w:p>
        </w:tc>
        <w:tc>
          <w:tcPr>
            <w:tcW w:w="511" w:type="pct"/>
            <w:tcBorders>
              <w:top w:val="single" w:color="000000" w:sz="4" w:space="0"/>
              <w:left w:val="single" w:color="000000" w:sz="4" w:space="0"/>
              <w:bottom w:val="single" w:color="000000" w:sz="4" w:space="0"/>
              <w:right w:val="single" w:color="000000" w:sz="4" w:space="0"/>
            </w:tcBorders>
            <w:vAlign w:val="top"/>
          </w:tcPr>
          <w:p w14:paraId="15109D71">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62A27F5D">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19</w:t>
            </w:r>
          </w:p>
        </w:tc>
      </w:tr>
      <w:tr w14:paraId="4CFC47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restart"/>
            <w:tcBorders>
              <w:top w:val="single" w:color="000000" w:sz="4" w:space="0"/>
              <w:left w:val="single" w:color="000000" w:sz="4" w:space="0"/>
              <w:bottom w:val="single" w:color="000000" w:sz="4" w:space="0"/>
              <w:right w:val="single" w:color="000000" w:sz="4" w:space="0"/>
            </w:tcBorders>
            <w:vAlign w:val="top"/>
          </w:tcPr>
          <w:p w14:paraId="1EE8B55A">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2249177F">
            <w:pPr>
              <w:keepNext w:val="0"/>
              <w:keepLines w:val="0"/>
              <w:suppressLineNumbers w:val="0"/>
              <w:wordWrap w:val="0"/>
              <w:autoSpaceDE w:val="0"/>
              <w:autoSpaceDN w:val="0"/>
              <w:spacing w:before="38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1566" w:type="pct"/>
            <w:vMerge w:val="restart"/>
            <w:tcBorders>
              <w:top w:val="single" w:color="000000" w:sz="4" w:space="0"/>
              <w:left w:val="single" w:color="000000" w:sz="4" w:space="0"/>
              <w:bottom w:val="single" w:color="000000" w:sz="4" w:space="0"/>
              <w:right w:val="single" w:color="000000" w:sz="4" w:space="0"/>
            </w:tcBorders>
            <w:vAlign w:val="top"/>
          </w:tcPr>
          <w:p w14:paraId="78B2A5FB">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5D48B94C">
            <w:pPr>
              <w:keepNext w:val="0"/>
              <w:keepLines w:val="0"/>
              <w:suppressLineNumbers w:val="0"/>
              <w:wordWrap w:val="0"/>
              <w:autoSpaceDE w:val="0"/>
              <w:autoSpaceDN w:val="0"/>
              <w:spacing w:before="36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外科大楼配电室</w:t>
            </w:r>
          </w:p>
        </w:tc>
        <w:tc>
          <w:tcPr>
            <w:tcW w:w="1689" w:type="pct"/>
            <w:tcBorders>
              <w:top w:val="single" w:color="000000" w:sz="4" w:space="0"/>
              <w:left w:val="single" w:color="000000" w:sz="4" w:space="0"/>
              <w:bottom w:val="single" w:color="000000" w:sz="4" w:space="0"/>
              <w:right w:val="single" w:color="000000" w:sz="4" w:space="0"/>
            </w:tcBorders>
            <w:vAlign w:val="top"/>
          </w:tcPr>
          <w:p w14:paraId="314CF43B">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1600KVA 配变</w:t>
            </w:r>
          </w:p>
        </w:tc>
        <w:tc>
          <w:tcPr>
            <w:tcW w:w="511" w:type="pct"/>
            <w:tcBorders>
              <w:top w:val="single" w:color="000000" w:sz="4" w:space="0"/>
              <w:left w:val="single" w:color="000000" w:sz="4" w:space="0"/>
              <w:bottom w:val="single" w:color="000000" w:sz="4" w:space="0"/>
              <w:right w:val="single" w:color="000000" w:sz="4" w:space="0"/>
            </w:tcBorders>
            <w:vAlign w:val="top"/>
          </w:tcPr>
          <w:p w14:paraId="1332E6D1">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5F946E0F">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4064023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4AA24ABD">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2AB057C9">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0B3970DE">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KYN28高压柜</w:t>
            </w:r>
          </w:p>
        </w:tc>
        <w:tc>
          <w:tcPr>
            <w:tcW w:w="511" w:type="pct"/>
            <w:tcBorders>
              <w:top w:val="single" w:color="000000" w:sz="4" w:space="0"/>
              <w:left w:val="single" w:color="000000" w:sz="4" w:space="0"/>
              <w:bottom w:val="single" w:color="000000" w:sz="4" w:space="0"/>
              <w:right w:val="single" w:color="000000" w:sz="4" w:space="0"/>
            </w:tcBorders>
            <w:vAlign w:val="top"/>
          </w:tcPr>
          <w:p w14:paraId="6F4C1425">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3776D237">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4</w:t>
            </w:r>
          </w:p>
        </w:tc>
      </w:tr>
      <w:tr w14:paraId="715343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59CAC18C">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64007D76">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33CAF907">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直流屏</w:t>
            </w:r>
          </w:p>
        </w:tc>
        <w:tc>
          <w:tcPr>
            <w:tcW w:w="511" w:type="pct"/>
            <w:tcBorders>
              <w:top w:val="single" w:color="000000" w:sz="4" w:space="0"/>
              <w:left w:val="single" w:color="000000" w:sz="4" w:space="0"/>
              <w:bottom w:val="single" w:color="000000" w:sz="4" w:space="0"/>
              <w:right w:val="single" w:color="000000" w:sz="4" w:space="0"/>
            </w:tcBorders>
            <w:vAlign w:val="top"/>
          </w:tcPr>
          <w:p w14:paraId="3C8476B0">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套</w:t>
            </w:r>
          </w:p>
        </w:tc>
        <w:tc>
          <w:tcPr>
            <w:tcW w:w="713" w:type="pct"/>
            <w:tcBorders>
              <w:top w:val="single" w:color="000000" w:sz="4" w:space="0"/>
              <w:left w:val="single" w:color="000000" w:sz="4" w:space="0"/>
              <w:bottom w:val="single" w:color="000000" w:sz="4" w:space="0"/>
              <w:right w:val="single" w:color="000000" w:sz="4" w:space="0"/>
            </w:tcBorders>
            <w:vAlign w:val="top"/>
          </w:tcPr>
          <w:p w14:paraId="4199EBF8">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1D9370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5C04CD7E">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18188E95">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511F74A1">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低压配电柜</w:t>
            </w:r>
          </w:p>
        </w:tc>
        <w:tc>
          <w:tcPr>
            <w:tcW w:w="511" w:type="pct"/>
            <w:tcBorders>
              <w:top w:val="single" w:color="000000" w:sz="4" w:space="0"/>
              <w:left w:val="single" w:color="000000" w:sz="4" w:space="0"/>
              <w:bottom w:val="single" w:color="000000" w:sz="4" w:space="0"/>
              <w:right w:val="single" w:color="000000" w:sz="4" w:space="0"/>
            </w:tcBorders>
            <w:vAlign w:val="top"/>
          </w:tcPr>
          <w:p w14:paraId="4220D22B">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49F0BB9E">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8</w:t>
            </w:r>
          </w:p>
        </w:tc>
      </w:tr>
      <w:tr w14:paraId="162398B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restart"/>
            <w:tcBorders>
              <w:top w:val="single" w:color="000000" w:sz="4" w:space="0"/>
              <w:left w:val="single" w:color="000000" w:sz="4" w:space="0"/>
              <w:right w:val="single" w:color="000000" w:sz="4" w:space="0"/>
            </w:tcBorders>
            <w:vAlign w:val="top"/>
          </w:tcPr>
          <w:p w14:paraId="00320D9E">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5A5290E5">
            <w:pPr>
              <w:keepNext w:val="0"/>
              <w:keepLines w:val="0"/>
              <w:suppressLineNumbers w:val="0"/>
              <w:wordWrap w:val="0"/>
              <w:autoSpaceDE w:val="0"/>
              <w:autoSpaceDN w:val="0"/>
              <w:spacing w:before="14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1566" w:type="pct"/>
            <w:vMerge w:val="restart"/>
            <w:tcBorders>
              <w:top w:val="single" w:color="000000" w:sz="4" w:space="0"/>
              <w:left w:val="single" w:color="000000" w:sz="4" w:space="0"/>
              <w:right w:val="single" w:color="000000" w:sz="4" w:space="0"/>
            </w:tcBorders>
            <w:vAlign w:val="top"/>
          </w:tcPr>
          <w:p w14:paraId="016BE1BB">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51C81CBE">
            <w:pPr>
              <w:keepNext w:val="0"/>
              <w:keepLines w:val="0"/>
              <w:suppressLineNumbers w:val="0"/>
              <w:wordWrap w:val="0"/>
              <w:autoSpaceDE w:val="0"/>
              <w:autoSpaceDN w:val="0"/>
              <w:spacing w:before="14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教学楼配电室</w:t>
            </w:r>
          </w:p>
        </w:tc>
        <w:tc>
          <w:tcPr>
            <w:tcW w:w="1689" w:type="pct"/>
            <w:tcBorders>
              <w:top w:val="single" w:color="000000" w:sz="4" w:space="0"/>
              <w:left w:val="single" w:color="000000" w:sz="4" w:space="0"/>
              <w:bottom w:val="single" w:color="000000" w:sz="4" w:space="0"/>
              <w:right w:val="single" w:color="000000" w:sz="4" w:space="0"/>
            </w:tcBorders>
            <w:vAlign w:val="top"/>
          </w:tcPr>
          <w:p w14:paraId="7CA31A2A">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1000KVA 配变</w:t>
            </w:r>
          </w:p>
        </w:tc>
        <w:tc>
          <w:tcPr>
            <w:tcW w:w="511" w:type="pct"/>
            <w:tcBorders>
              <w:top w:val="single" w:color="000000" w:sz="4" w:space="0"/>
              <w:left w:val="single" w:color="000000" w:sz="4" w:space="0"/>
              <w:bottom w:val="single" w:color="000000" w:sz="4" w:space="0"/>
              <w:right w:val="single" w:color="000000" w:sz="4" w:space="0"/>
            </w:tcBorders>
            <w:vAlign w:val="top"/>
          </w:tcPr>
          <w:p w14:paraId="625116B2">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469AE3B8">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7EDF45B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left w:val="single" w:color="000000" w:sz="4" w:space="0"/>
              <w:right w:val="single" w:color="000000" w:sz="4" w:space="0"/>
            </w:tcBorders>
          </w:tcPr>
          <w:p w14:paraId="7871F2FD">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left w:val="single" w:color="000000" w:sz="4" w:space="0"/>
              <w:right w:val="single" w:color="000000" w:sz="4" w:space="0"/>
            </w:tcBorders>
          </w:tcPr>
          <w:p w14:paraId="6E5D3663">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1D0BC439">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KYN28高压柜</w:t>
            </w:r>
          </w:p>
        </w:tc>
        <w:tc>
          <w:tcPr>
            <w:tcW w:w="511" w:type="pct"/>
            <w:tcBorders>
              <w:top w:val="single" w:color="000000" w:sz="4" w:space="0"/>
              <w:left w:val="single" w:color="000000" w:sz="4" w:space="0"/>
              <w:bottom w:val="single" w:color="000000" w:sz="4" w:space="0"/>
              <w:right w:val="single" w:color="000000" w:sz="4" w:space="0"/>
            </w:tcBorders>
            <w:vAlign w:val="top"/>
          </w:tcPr>
          <w:p w14:paraId="6159BD79">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55117652">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2</w:t>
            </w:r>
          </w:p>
        </w:tc>
      </w:tr>
      <w:tr w14:paraId="322485B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20" w:type="pct"/>
            <w:vMerge w:val="continue"/>
            <w:tcBorders>
              <w:left w:val="single" w:color="000000" w:sz="4" w:space="0"/>
              <w:right w:val="single" w:color="000000" w:sz="4" w:space="0"/>
            </w:tcBorders>
          </w:tcPr>
          <w:p w14:paraId="2CEC5764">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left w:val="single" w:color="000000" w:sz="4" w:space="0"/>
              <w:right w:val="single" w:color="000000" w:sz="4" w:space="0"/>
            </w:tcBorders>
          </w:tcPr>
          <w:p w14:paraId="2316F752">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5E7E2DA6">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低压配电柜</w:t>
            </w:r>
          </w:p>
        </w:tc>
        <w:tc>
          <w:tcPr>
            <w:tcW w:w="511" w:type="pct"/>
            <w:tcBorders>
              <w:top w:val="single" w:color="000000" w:sz="4" w:space="0"/>
              <w:left w:val="single" w:color="000000" w:sz="4" w:space="0"/>
              <w:bottom w:val="single" w:color="000000" w:sz="4" w:space="0"/>
              <w:right w:val="single" w:color="000000" w:sz="4" w:space="0"/>
            </w:tcBorders>
            <w:vAlign w:val="top"/>
          </w:tcPr>
          <w:p w14:paraId="2603D230">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14E9F4B0">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5</w:t>
            </w:r>
          </w:p>
        </w:tc>
      </w:tr>
      <w:tr w14:paraId="15BC64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20" w:type="pct"/>
            <w:vMerge w:val="continue"/>
            <w:tcBorders>
              <w:left w:val="single" w:color="000000" w:sz="4" w:space="0"/>
              <w:bottom w:val="single" w:color="000000" w:sz="4" w:space="0"/>
              <w:right w:val="single" w:color="000000" w:sz="4" w:space="0"/>
            </w:tcBorders>
          </w:tcPr>
          <w:p w14:paraId="4B70A0A0">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left w:val="single" w:color="000000" w:sz="4" w:space="0"/>
              <w:bottom w:val="single" w:color="000000" w:sz="4" w:space="0"/>
              <w:right w:val="single" w:color="000000" w:sz="4" w:space="0"/>
            </w:tcBorders>
          </w:tcPr>
          <w:p w14:paraId="080A1DBB">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1AAFDB6B">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375KVA发电机</w:t>
            </w:r>
          </w:p>
        </w:tc>
        <w:tc>
          <w:tcPr>
            <w:tcW w:w="511" w:type="pct"/>
            <w:tcBorders>
              <w:top w:val="single" w:color="000000" w:sz="4" w:space="0"/>
              <w:left w:val="single" w:color="000000" w:sz="4" w:space="0"/>
              <w:bottom w:val="single" w:color="000000" w:sz="4" w:space="0"/>
              <w:right w:val="single" w:color="000000" w:sz="4" w:space="0"/>
            </w:tcBorders>
            <w:vAlign w:val="top"/>
          </w:tcPr>
          <w:p w14:paraId="2531BB20">
            <w:pPr>
              <w:keepNext w:val="0"/>
              <w:keepLines w:val="0"/>
              <w:suppressLineNumbers w:val="0"/>
              <w:wordWrap w:val="0"/>
              <w:autoSpaceDE w:val="0"/>
              <w:autoSpaceDN w:val="0"/>
              <w:spacing w:before="0" w:beforeAutospacing="0" w:after="0" w:afterAutospacing="0" w:line="231" w:lineRule="auto"/>
              <w:ind w:left="0" w:leftChars="0" w:right="0" w:right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40CDE22C">
            <w:pPr>
              <w:keepNext w:val="0"/>
              <w:keepLines w:val="0"/>
              <w:suppressLineNumbers w:val="0"/>
              <w:wordWrap w:val="0"/>
              <w:autoSpaceDE w:val="0"/>
              <w:autoSpaceDN w:val="0"/>
              <w:spacing w:before="0" w:beforeAutospacing="0" w:after="0" w:afterAutospacing="0" w:line="231" w:lineRule="auto"/>
              <w:ind w:left="0" w:leftChars="0" w:right="0" w:right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14:paraId="5DB1C00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restart"/>
            <w:tcBorders>
              <w:top w:val="single" w:color="000000" w:sz="4" w:space="0"/>
              <w:left w:val="single" w:color="000000" w:sz="4" w:space="0"/>
              <w:bottom w:val="single" w:color="000000" w:sz="4" w:space="0"/>
              <w:right w:val="single" w:color="000000" w:sz="4" w:space="0"/>
            </w:tcBorders>
            <w:vAlign w:val="top"/>
          </w:tcPr>
          <w:p w14:paraId="45A5C8B3">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4AE27ACB">
            <w:pPr>
              <w:keepNext w:val="0"/>
              <w:keepLines w:val="0"/>
              <w:suppressLineNumbers w:val="0"/>
              <w:wordWrap w:val="0"/>
              <w:autoSpaceDE w:val="0"/>
              <w:autoSpaceDN w:val="0"/>
              <w:spacing w:before="16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1566" w:type="pct"/>
            <w:vMerge w:val="restart"/>
            <w:tcBorders>
              <w:top w:val="single" w:color="000000" w:sz="4" w:space="0"/>
              <w:left w:val="single" w:color="000000" w:sz="4" w:space="0"/>
              <w:bottom w:val="single" w:color="000000" w:sz="4" w:space="0"/>
              <w:right w:val="single" w:color="000000" w:sz="4" w:space="0"/>
            </w:tcBorders>
            <w:vAlign w:val="top"/>
          </w:tcPr>
          <w:p w14:paraId="2C591B0C">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61A6D9FC">
            <w:pPr>
              <w:keepNext w:val="0"/>
              <w:keepLines w:val="0"/>
              <w:suppressLineNumbers w:val="0"/>
              <w:wordWrap w:val="0"/>
              <w:autoSpaceDE w:val="0"/>
              <w:autoSpaceDN w:val="0"/>
              <w:spacing w:before="1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规培中心</w:t>
            </w:r>
          </w:p>
        </w:tc>
        <w:tc>
          <w:tcPr>
            <w:tcW w:w="1689" w:type="pct"/>
            <w:tcBorders>
              <w:top w:val="single" w:color="000000" w:sz="4" w:space="0"/>
              <w:left w:val="single" w:color="000000" w:sz="4" w:space="0"/>
              <w:bottom w:val="single" w:color="000000" w:sz="4" w:space="0"/>
              <w:right w:val="single" w:color="000000" w:sz="4" w:space="0"/>
            </w:tcBorders>
            <w:vAlign w:val="top"/>
          </w:tcPr>
          <w:p w14:paraId="143E67F9">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250KVA 配变</w:t>
            </w:r>
          </w:p>
        </w:tc>
        <w:tc>
          <w:tcPr>
            <w:tcW w:w="511" w:type="pct"/>
            <w:tcBorders>
              <w:top w:val="single" w:color="000000" w:sz="4" w:space="0"/>
              <w:left w:val="single" w:color="000000" w:sz="4" w:space="0"/>
              <w:bottom w:val="single" w:color="000000" w:sz="4" w:space="0"/>
              <w:right w:val="single" w:color="000000" w:sz="4" w:space="0"/>
            </w:tcBorders>
            <w:vAlign w:val="top"/>
          </w:tcPr>
          <w:p w14:paraId="7FE87765">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4DF8BEE4">
            <w:pPr>
              <w:keepNext w:val="0"/>
              <w:keepLines w:val="0"/>
              <w:suppressLineNumbers w:val="0"/>
              <w:wordWrap w:val="0"/>
              <w:autoSpaceDE w:val="0"/>
              <w:autoSpaceDN w:val="0"/>
              <w:spacing w:before="2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6168A08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74FB6F75">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64E6C0FD">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0022CC1B">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低压配电柜</w:t>
            </w:r>
          </w:p>
        </w:tc>
        <w:tc>
          <w:tcPr>
            <w:tcW w:w="511" w:type="pct"/>
            <w:tcBorders>
              <w:top w:val="single" w:color="000000" w:sz="4" w:space="0"/>
              <w:left w:val="single" w:color="000000" w:sz="4" w:space="0"/>
              <w:bottom w:val="single" w:color="000000" w:sz="4" w:space="0"/>
              <w:right w:val="single" w:color="000000" w:sz="4" w:space="0"/>
            </w:tcBorders>
            <w:vAlign w:val="top"/>
          </w:tcPr>
          <w:p w14:paraId="7F0E1E01">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6182189A">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5</w:t>
            </w:r>
          </w:p>
        </w:tc>
      </w:tr>
      <w:tr w14:paraId="4CC6570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6E2CBAC6">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49F215CB">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451B8F56">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150KW 发电机</w:t>
            </w:r>
          </w:p>
        </w:tc>
        <w:tc>
          <w:tcPr>
            <w:tcW w:w="511" w:type="pct"/>
            <w:tcBorders>
              <w:top w:val="single" w:color="000000" w:sz="4" w:space="0"/>
              <w:left w:val="single" w:color="000000" w:sz="4" w:space="0"/>
              <w:bottom w:val="single" w:color="000000" w:sz="4" w:space="0"/>
              <w:right w:val="single" w:color="000000" w:sz="4" w:space="0"/>
            </w:tcBorders>
            <w:vAlign w:val="top"/>
          </w:tcPr>
          <w:p w14:paraId="411A32D2">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2990F3DA">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1DD779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20" w:type="pct"/>
            <w:vMerge w:val="restart"/>
            <w:tcBorders>
              <w:top w:val="single" w:color="000000" w:sz="4" w:space="0"/>
              <w:left w:val="single" w:color="000000" w:sz="4" w:space="0"/>
              <w:bottom w:val="single" w:color="000000" w:sz="4" w:space="0"/>
              <w:right w:val="single" w:color="000000" w:sz="4" w:space="0"/>
            </w:tcBorders>
            <w:vAlign w:val="top"/>
          </w:tcPr>
          <w:p w14:paraId="7A6CF254">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20C6133C">
            <w:pPr>
              <w:keepNext w:val="0"/>
              <w:keepLines w:val="0"/>
              <w:suppressLineNumbers w:val="0"/>
              <w:wordWrap w:val="0"/>
              <w:autoSpaceDE w:val="0"/>
              <w:autoSpaceDN w:val="0"/>
              <w:spacing w:before="14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1566" w:type="pct"/>
            <w:vMerge w:val="restart"/>
            <w:tcBorders>
              <w:top w:val="single" w:color="000000" w:sz="4" w:space="0"/>
              <w:left w:val="single" w:color="000000" w:sz="4" w:space="0"/>
              <w:bottom w:val="single" w:color="000000" w:sz="4" w:space="0"/>
              <w:right w:val="single" w:color="000000" w:sz="4" w:space="0"/>
            </w:tcBorders>
            <w:vAlign w:val="top"/>
          </w:tcPr>
          <w:p w14:paraId="542DEB60">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6C2E7A2E">
            <w:pPr>
              <w:keepNext w:val="0"/>
              <w:keepLines w:val="0"/>
              <w:suppressLineNumbers w:val="0"/>
              <w:wordWrap w:val="0"/>
              <w:autoSpaceDE w:val="0"/>
              <w:autoSpaceDN w:val="0"/>
              <w:spacing w:before="10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文昌综合楼</w:t>
            </w:r>
          </w:p>
        </w:tc>
        <w:tc>
          <w:tcPr>
            <w:tcW w:w="1689" w:type="pct"/>
            <w:tcBorders>
              <w:top w:val="single" w:color="000000" w:sz="4" w:space="0"/>
              <w:left w:val="single" w:color="000000" w:sz="4" w:space="0"/>
              <w:bottom w:val="single" w:color="000000" w:sz="4" w:space="0"/>
              <w:right w:val="single" w:color="000000" w:sz="4" w:space="0"/>
            </w:tcBorders>
            <w:vAlign w:val="top"/>
          </w:tcPr>
          <w:p w14:paraId="77531C82">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630KVA配变</w:t>
            </w:r>
          </w:p>
        </w:tc>
        <w:tc>
          <w:tcPr>
            <w:tcW w:w="511" w:type="pct"/>
            <w:tcBorders>
              <w:top w:val="single" w:color="000000" w:sz="4" w:space="0"/>
              <w:left w:val="single" w:color="000000" w:sz="4" w:space="0"/>
              <w:bottom w:val="single" w:color="000000" w:sz="4" w:space="0"/>
              <w:right w:val="single" w:color="000000" w:sz="4" w:space="0"/>
            </w:tcBorders>
            <w:vAlign w:val="top"/>
          </w:tcPr>
          <w:p w14:paraId="7226945C">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6A97A439">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10FE5E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2AE90AF2">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082DD1C3">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47C21C9D">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KYN28高压柜</w:t>
            </w:r>
          </w:p>
        </w:tc>
        <w:tc>
          <w:tcPr>
            <w:tcW w:w="511" w:type="pct"/>
            <w:tcBorders>
              <w:top w:val="single" w:color="000000" w:sz="4" w:space="0"/>
              <w:left w:val="single" w:color="000000" w:sz="4" w:space="0"/>
              <w:bottom w:val="single" w:color="000000" w:sz="4" w:space="0"/>
              <w:right w:val="single" w:color="000000" w:sz="4" w:space="0"/>
            </w:tcBorders>
            <w:vAlign w:val="top"/>
          </w:tcPr>
          <w:p w14:paraId="576EF751">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5088D25B">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2</w:t>
            </w:r>
          </w:p>
        </w:tc>
      </w:tr>
      <w:tr w14:paraId="68AE881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0AF100B4">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2A3875E2">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63620629">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低压配电柜</w:t>
            </w:r>
          </w:p>
        </w:tc>
        <w:tc>
          <w:tcPr>
            <w:tcW w:w="511" w:type="pct"/>
            <w:tcBorders>
              <w:top w:val="single" w:color="000000" w:sz="4" w:space="0"/>
              <w:left w:val="single" w:color="000000" w:sz="4" w:space="0"/>
              <w:bottom w:val="single" w:color="000000" w:sz="4" w:space="0"/>
              <w:right w:val="single" w:color="000000" w:sz="4" w:space="0"/>
            </w:tcBorders>
            <w:vAlign w:val="top"/>
          </w:tcPr>
          <w:p w14:paraId="4F88BFA9">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1080D943">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7</w:t>
            </w:r>
          </w:p>
        </w:tc>
      </w:tr>
      <w:tr w14:paraId="54DA23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20" w:type="pct"/>
            <w:tcBorders>
              <w:top w:val="single" w:color="000000" w:sz="4" w:space="0"/>
              <w:left w:val="single" w:color="000000" w:sz="4" w:space="0"/>
              <w:bottom w:val="single" w:color="000000" w:sz="4" w:space="0"/>
              <w:right w:val="single" w:color="000000" w:sz="4" w:space="0"/>
            </w:tcBorders>
            <w:vAlign w:val="top"/>
          </w:tcPr>
          <w:p w14:paraId="2594BB67">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6</w:t>
            </w:r>
          </w:p>
        </w:tc>
        <w:tc>
          <w:tcPr>
            <w:tcW w:w="1566" w:type="pct"/>
            <w:tcBorders>
              <w:top w:val="single" w:color="000000" w:sz="4" w:space="0"/>
              <w:left w:val="single" w:color="000000" w:sz="4" w:space="0"/>
              <w:bottom w:val="single" w:color="000000" w:sz="4" w:space="0"/>
              <w:right w:val="single" w:color="000000" w:sz="4" w:space="0"/>
            </w:tcBorders>
            <w:vAlign w:val="top"/>
          </w:tcPr>
          <w:p w14:paraId="7B13A53A">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污水处理站</w:t>
            </w:r>
          </w:p>
        </w:tc>
        <w:tc>
          <w:tcPr>
            <w:tcW w:w="1689" w:type="pct"/>
            <w:tcBorders>
              <w:top w:val="single" w:color="000000" w:sz="4" w:space="0"/>
              <w:left w:val="single" w:color="000000" w:sz="4" w:space="0"/>
              <w:bottom w:val="single" w:color="000000" w:sz="4" w:space="0"/>
              <w:right w:val="single" w:color="000000" w:sz="4" w:space="0"/>
            </w:tcBorders>
            <w:vAlign w:val="top"/>
          </w:tcPr>
          <w:p w14:paraId="318B1DF3">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100KVA配变</w:t>
            </w:r>
          </w:p>
        </w:tc>
        <w:tc>
          <w:tcPr>
            <w:tcW w:w="511" w:type="pct"/>
            <w:tcBorders>
              <w:top w:val="single" w:color="000000" w:sz="4" w:space="0"/>
              <w:left w:val="single" w:color="000000" w:sz="4" w:space="0"/>
              <w:bottom w:val="single" w:color="000000" w:sz="4" w:space="0"/>
              <w:right w:val="single" w:color="000000" w:sz="4" w:space="0"/>
            </w:tcBorders>
            <w:vAlign w:val="top"/>
          </w:tcPr>
          <w:p w14:paraId="2DFA45CB">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4F4C59BB">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463E65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restart"/>
            <w:tcBorders>
              <w:top w:val="single" w:color="000000" w:sz="4" w:space="0"/>
              <w:left w:val="single" w:color="000000" w:sz="4" w:space="0"/>
              <w:bottom w:val="single" w:color="000000" w:sz="4" w:space="0"/>
              <w:right w:val="single" w:color="000000" w:sz="4" w:space="0"/>
            </w:tcBorders>
            <w:vAlign w:val="top"/>
          </w:tcPr>
          <w:p w14:paraId="395BE439">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3F387A18">
            <w:pPr>
              <w:keepNext w:val="0"/>
              <w:keepLines w:val="0"/>
              <w:suppressLineNumbers w:val="0"/>
              <w:wordWrap w:val="0"/>
              <w:autoSpaceDE w:val="0"/>
              <w:autoSpaceDN w:val="0"/>
              <w:spacing w:before="0" w:beforeAutospacing="0" w:after="0" w:afterAutospacing="0" w:line="239" w:lineRule="auto"/>
              <w:ind w:left="0" w:right="0" w:firstLine="0"/>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7</w:t>
            </w:r>
          </w:p>
          <w:p w14:paraId="4932D735">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15E72541">
            <w:pPr>
              <w:keepNext w:val="0"/>
              <w:keepLines w:val="0"/>
              <w:suppressLineNumbers w:val="0"/>
              <w:wordWrap w:val="0"/>
              <w:autoSpaceDE w:val="0"/>
              <w:autoSpaceDN w:val="0"/>
              <w:spacing w:before="14" w:beforeAutospacing="0" w:after="0" w:afterAutospacing="0" w:line="239" w:lineRule="auto"/>
              <w:ind w:left="0" w:right="0"/>
              <w:jc w:val="center"/>
              <w:rPr>
                <w:rFonts w:hint="eastAsia" w:ascii="宋体" w:hAnsi="宋体" w:eastAsia="宋体" w:cs="宋体"/>
                <w:sz w:val="24"/>
                <w:szCs w:val="24"/>
              </w:rPr>
            </w:pPr>
          </w:p>
        </w:tc>
        <w:tc>
          <w:tcPr>
            <w:tcW w:w="1566" w:type="pct"/>
            <w:vMerge w:val="restart"/>
            <w:tcBorders>
              <w:top w:val="single" w:color="000000" w:sz="4" w:space="0"/>
              <w:left w:val="single" w:color="000000" w:sz="4" w:space="0"/>
              <w:bottom w:val="single" w:color="000000" w:sz="4" w:space="0"/>
              <w:right w:val="single" w:color="000000" w:sz="4" w:space="0"/>
            </w:tcBorders>
            <w:vAlign w:val="top"/>
          </w:tcPr>
          <w:p w14:paraId="36FAD49D">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72BECFE8">
            <w:pPr>
              <w:keepNext w:val="0"/>
              <w:keepLines w:val="0"/>
              <w:suppressLineNumbers w:val="0"/>
              <w:wordWrap w:val="0"/>
              <w:autoSpaceDE w:val="0"/>
              <w:autoSpaceDN w:val="0"/>
              <w:spacing w:before="0" w:beforeAutospacing="0" w:after="0" w:afterAutospacing="0" w:line="239" w:lineRule="auto"/>
              <w:ind w:left="0" w:right="0" w:firstLine="0"/>
              <w:jc w:val="both"/>
              <w:rPr>
                <w:rFonts w:hint="eastAsia" w:ascii="宋体" w:hAnsi="宋体" w:eastAsia="宋体" w:cs="宋体"/>
                <w:color w:val="000000"/>
                <w:sz w:val="24"/>
                <w:szCs w:val="24"/>
              </w:rPr>
            </w:pPr>
          </w:p>
          <w:p w14:paraId="37E3124B">
            <w:pPr>
              <w:keepNext w:val="0"/>
              <w:keepLines w:val="0"/>
              <w:suppressLineNumbers w:val="0"/>
              <w:wordWrap w:val="0"/>
              <w:autoSpaceDE w:val="0"/>
              <w:autoSpaceDN w:val="0"/>
              <w:spacing w:before="410"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传承大楼负一配电室</w:t>
            </w:r>
          </w:p>
        </w:tc>
        <w:tc>
          <w:tcPr>
            <w:tcW w:w="1689" w:type="pct"/>
            <w:tcBorders>
              <w:top w:val="single" w:color="000000" w:sz="4" w:space="0"/>
              <w:left w:val="single" w:color="000000" w:sz="4" w:space="0"/>
              <w:bottom w:val="single" w:color="000000" w:sz="4" w:space="0"/>
              <w:right w:val="single" w:color="000000" w:sz="4" w:space="0"/>
            </w:tcBorders>
            <w:vAlign w:val="top"/>
          </w:tcPr>
          <w:p w14:paraId="0A79137D">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1250KVA配变</w:t>
            </w:r>
          </w:p>
        </w:tc>
        <w:tc>
          <w:tcPr>
            <w:tcW w:w="511" w:type="pct"/>
            <w:tcBorders>
              <w:top w:val="single" w:color="000000" w:sz="4" w:space="0"/>
              <w:left w:val="single" w:color="000000" w:sz="4" w:space="0"/>
              <w:bottom w:val="single" w:color="000000" w:sz="4" w:space="0"/>
              <w:right w:val="single" w:color="000000" w:sz="4" w:space="0"/>
            </w:tcBorders>
            <w:vAlign w:val="top"/>
          </w:tcPr>
          <w:p w14:paraId="1933F2B7">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7020F977">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2</w:t>
            </w:r>
          </w:p>
        </w:tc>
      </w:tr>
      <w:tr w14:paraId="7DF1550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7911C59D">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2A680864">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792D0EB7">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800KVA 配变</w:t>
            </w:r>
          </w:p>
        </w:tc>
        <w:tc>
          <w:tcPr>
            <w:tcW w:w="511" w:type="pct"/>
            <w:tcBorders>
              <w:top w:val="single" w:color="000000" w:sz="4" w:space="0"/>
              <w:left w:val="single" w:color="000000" w:sz="4" w:space="0"/>
              <w:bottom w:val="single" w:color="000000" w:sz="4" w:space="0"/>
              <w:right w:val="single" w:color="000000" w:sz="4" w:space="0"/>
            </w:tcBorders>
            <w:vAlign w:val="top"/>
          </w:tcPr>
          <w:p w14:paraId="135A3999">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58870990">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2</w:t>
            </w:r>
          </w:p>
        </w:tc>
      </w:tr>
      <w:tr w14:paraId="4B7E58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181A0B05">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2E4FD08E">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6A82E3D8">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KYN28高压柜</w:t>
            </w:r>
          </w:p>
        </w:tc>
        <w:tc>
          <w:tcPr>
            <w:tcW w:w="511" w:type="pct"/>
            <w:tcBorders>
              <w:top w:val="single" w:color="000000" w:sz="4" w:space="0"/>
              <w:left w:val="single" w:color="000000" w:sz="4" w:space="0"/>
              <w:bottom w:val="single" w:color="000000" w:sz="4" w:space="0"/>
              <w:right w:val="single" w:color="000000" w:sz="4" w:space="0"/>
            </w:tcBorders>
            <w:vAlign w:val="top"/>
          </w:tcPr>
          <w:p w14:paraId="5769ED32">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4181E8D8">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16</w:t>
            </w:r>
          </w:p>
        </w:tc>
      </w:tr>
      <w:tr w14:paraId="601DBBD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493573F0">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25EEA74F">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top"/>
          </w:tcPr>
          <w:p w14:paraId="2942E0E1">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直流屏</w:t>
            </w:r>
          </w:p>
        </w:tc>
        <w:tc>
          <w:tcPr>
            <w:tcW w:w="511" w:type="pct"/>
            <w:tcBorders>
              <w:top w:val="single" w:color="000000" w:sz="4" w:space="0"/>
              <w:left w:val="single" w:color="000000" w:sz="4" w:space="0"/>
              <w:bottom w:val="single" w:color="000000" w:sz="4" w:space="0"/>
              <w:right w:val="single" w:color="000000" w:sz="4" w:space="0"/>
            </w:tcBorders>
            <w:vAlign w:val="top"/>
          </w:tcPr>
          <w:p w14:paraId="0DE90B49">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套</w:t>
            </w:r>
          </w:p>
        </w:tc>
        <w:tc>
          <w:tcPr>
            <w:tcW w:w="713" w:type="pct"/>
            <w:tcBorders>
              <w:top w:val="single" w:color="000000" w:sz="4" w:space="0"/>
              <w:left w:val="single" w:color="000000" w:sz="4" w:space="0"/>
              <w:bottom w:val="single" w:color="000000" w:sz="4" w:space="0"/>
              <w:right w:val="single" w:color="000000" w:sz="4" w:space="0"/>
            </w:tcBorders>
            <w:vAlign w:val="top"/>
          </w:tcPr>
          <w:p w14:paraId="4CB816F4">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1</w:t>
            </w:r>
          </w:p>
        </w:tc>
      </w:tr>
      <w:tr w14:paraId="12CD77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8" w:hRule="atLeast"/>
        </w:trPr>
        <w:tc>
          <w:tcPr>
            <w:tcW w:w="520" w:type="pct"/>
            <w:vMerge w:val="continue"/>
            <w:tcBorders>
              <w:top w:val="single" w:color="000000" w:sz="4" w:space="0"/>
              <w:left w:val="single" w:color="000000" w:sz="4" w:space="0"/>
              <w:bottom w:val="single" w:color="000000" w:sz="4" w:space="0"/>
              <w:right w:val="single" w:color="000000" w:sz="4" w:space="0"/>
            </w:tcBorders>
          </w:tcPr>
          <w:p w14:paraId="576360EC">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566" w:type="pct"/>
            <w:vMerge w:val="continue"/>
            <w:tcBorders>
              <w:top w:val="single" w:color="000000" w:sz="4" w:space="0"/>
              <w:left w:val="single" w:color="000000" w:sz="4" w:space="0"/>
              <w:bottom w:val="single" w:color="000000" w:sz="4" w:space="0"/>
              <w:right w:val="single" w:color="000000" w:sz="4" w:space="0"/>
            </w:tcBorders>
          </w:tcPr>
          <w:p w14:paraId="648BEADA">
            <w:pPr>
              <w:keepNext w:val="0"/>
              <w:keepLines w:val="0"/>
              <w:suppressLineNumbers w:val="0"/>
              <w:spacing w:before="0" w:beforeAutospacing="0" w:after="0" w:afterAutospacing="0"/>
              <w:ind w:left="0" w:right="0"/>
              <w:rPr>
                <w:rFonts w:hint="eastAsia" w:ascii="宋体" w:hAnsi="宋体" w:eastAsia="宋体" w:cs="宋体"/>
                <w:sz w:val="24"/>
                <w:szCs w:val="24"/>
              </w:rPr>
            </w:pPr>
          </w:p>
        </w:tc>
        <w:tc>
          <w:tcPr>
            <w:tcW w:w="1689" w:type="pct"/>
            <w:tcBorders>
              <w:top w:val="single" w:color="000000" w:sz="4" w:space="0"/>
              <w:left w:val="single" w:color="000000" w:sz="4" w:space="0"/>
              <w:right w:val="single" w:color="000000" w:sz="4" w:space="0"/>
            </w:tcBorders>
            <w:vAlign w:val="top"/>
          </w:tcPr>
          <w:p w14:paraId="6D767DDB">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低压配电柜</w:t>
            </w:r>
          </w:p>
        </w:tc>
        <w:tc>
          <w:tcPr>
            <w:tcW w:w="511" w:type="pct"/>
            <w:tcBorders>
              <w:top w:val="single" w:color="000000" w:sz="4" w:space="0"/>
              <w:left w:val="single" w:color="000000" w:sz="4" w:space="0"/>
              <w:right w:val="single" w:color="000000" w:sz="4" w:space="0"/>
            </w:tcBorders>
            <w:vAlign w:val="top"/>
          </w:tcPr>
          <w:p w14:paraId="447203DE">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3E14785C">
            <w:pPr>
              <w:keepNext w:val="0"/>
              <w:keepLines w:val="0"/>
              <w:suppressLineNumbers w:val="0"/>
              <w:wordWrap w:val="0"/>
              <w:autoSpaceDE w:val="0"/>
              <w:autoSpaceDN w:val="0"/>
              <w:spacing w:before="0" w:beforeAutospacing="0" w:after="0" w:afterAutospacing="0" w:line="231"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39</w:t>
            </w:r>
          </w:p>
        </w:tc>
      </w:tr>
      <w:tr w14:paraId="4A1414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restart"/>
            <w:tcBorders>
              <w:top w:val="single" w:color="000000" w:sz="4" w:space="0"/>
              <w:left w:val="single" w:color="000000" w:sz="4" w:space="0"/>
              <w:right w:val="single" w:color="000000" w:sz="4" w:space="0"/>
            </w:tcBorders>
            <w:vAlign w:val="center"/>
          </w:tcPr>
          <w:p w14:paraId="67015C14">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8</w:t>
            </w:r>
          </w:p>
        </w:tc>
        <w:tc>
          <w:tcPr>
            <w:tcW w:w="1566" w:type="pct"/>
            <w:vMerge w:val="restart"/>
            <w:tcBorders>
              <w:top w:val="single" w:color="000000" w:sz="4" w:space="0"/>
              <w:left w:val="single" w:color="000000" w:sz="4" w:space="0"/>
              <w:right w:val="single" w:color="000000" w:sz="4" w:space="0"/>
            </w:tcBorders>
            <w:vAlign w:val="center"/>
          </w:tcPr>
          <w:p w14:paraId="74450879">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传承大楼屋面配电室</w:t>
            </w:r>
          </w:p>
        </w:tc>
        <w:tc>
          <w:tcPr>
            <w:tcW w:w="1689" w:type="pct"/>
            <w:tcBorders>
              <w:top w:val="single" w:color="000000" w:sz="4" w:space="0"/>
              <w:left w:val="single" w:color="000000" w:sz="4" w:space="0"/>
              <w:bottom w:val="single" w:color="000000" w:sz="4" w:space="0"/>
              <w:right w:val="single" w:color="000000" w:sz="4" w:space="0"/>
            </w:tcBorders>
            <w:vAlign w:val="top"/>
          </w:tcPr>
          <w:p w14:paraId="0299C68E">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800KVA配变</w:t>
            </w:r>
          </w:p>
        </w:tc>
        <w:tc>
          <w:tcPr>
            <w:tcW w:w="511" w:type="pct"/>
            <w:tcBorders>
              <w:top w:val="single" w:color="000000" w:sz="4" w:space="0"/>
              <w:left w:val="single" w:color="000000" w:sz="4" w:space="0"/>
              <w:bottom w:val="single" w:color="000000" w:sz="4" w:space="0"/>
              <w:right w:val="single" w:color="000000" w:sz="4" w:space="0"/>
            </w:tcBorders>
            <w:vAlign w:val="top"/>
          </w:tcPr>
          <w:p w14:paraId="7A522357">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top"/>
          </w:tcPr>
          <w:p w14:paraId="24390D86">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rPr>
              <w:t>2</w:t>
            </w:r>
          </w:p>
        </w:tc>
      </w:tr>
      <w:tr w14:paraId="3B986E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88" w:hRule="atLeast"/>
        </w:trPr>
        <w:tc>
          <w:tcPr>
            <w:tcW w:w="520" w:type="pct"/>
            <w:vMerge w:val="continue"/>
            <w:tcBorders>
              <w:left w:val="single" w:color="000000" w:sz="4" w:space="0"/>
              <w:right w:val="single" w:color="000000" w:sz="4" w:space="0"/>
            </w:tcBorders>
            <w:vAlign w:val="top"/>
          </w:tcPr>
          <w:p w14:paraId="450582DF">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p>
        </w:tc>
        <w:tc>
          <w:tcPr>
            <w:tcW w:w="1566" w:type="pct"/>
            <w:vMerge w:val="continue"/>
            <w:tcBorders>
              <w:left w:val="single" w:color="000000" w:sz="4" w:space="0"/>
              <w:right w:val="single" w:color="000000" w:sz="4" w:space="0"/>
            </w:tcBorders>
            <w:vAlign w:val="top"/>
          </w:tcPr>
          <w:p w14:paraId="0C46D5A1">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center"/>
          </w:tcPr>
          <w:p w14:paraId="2D8A3474">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KYN28高压柜</w:t>
            </w:r>
          </w:p>
        </w:tc>
        <w:tc>
          <w:tcPr>
            <w:tcW w:w="511" w:type="pct"/>
            <w:tcBorders>
              <w:top w:val="single" w:color="000000" w:sz="4" w:space="0"/>
              <w:left w:val="single" w:color="000000" w:sz="4" w:space="0"/>
              <w:bottom w:val="single" w:color="000000" w:sz="4" w:space="0"/>
              <w:right w:val="single" w:color="000000" w:sz="4" w:space="0"/>
            </w:tcBorders>
            <w:vAlign w:val="center"/>
          </w:tcPr>
          <w:p w14:paraId="55C4616F">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center"/>
          </w:tcPr>
          <w:p w14:paraId="1CC6CA46">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14:paraId="14BE0C9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20" w:type="pct"/>
            <w:vMerge w:val="continue"/>
            <w:tcBorders>
              <w:left w:val="single" w:color="000000" w:sz="4" w:space="0"/>
              <w:bottom w:val="single" w:color="000000" w:sz="4" w:space="0"/>
              <w:right w:val="single" w:color="000000" w:sz="4" w:space="0"/>
            </w:tcBorders>
            <w:vAlign w:val="top"/>
          </w:tcPr>
          <w:p w14:paraId="4F58E8DC">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p>
        </w:tc>
        <w:tc>
          <w:tcPr>
            <w:tcW w:w="1566" w:type="pct"/>
            <w:vMerge w:val="continue"/>
            <w:tcBorders>
              <w:left w:val="single" w:color="000000" w:sz="4" w:space="0"/>
              <w:bottom w:val="single" w:color="000000" w:sz="4" w:space="0"/>
              <w:right w:val="single" w:color="000000" w:sz="4" w:space="0"/>
            </w:tcBorders>
            <w:vAlign w:val="top"/>
          </w:tcPr>
          <w:p w14:paraId="280960D7">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p>
        </w:tc>
        <w:tc>
          <w:tcPr>
            <w:tcW w:w="1689" w:type="pct"/>
            <w:tcBorders>
              <w:top w:val="single" w:color="000000" w:sz="4" w:space="0"/>
              <w:left w:val="single" w:color="000000" w:sz="4" w:space="0"/>
              <w:bottom w:val="single" w:color="000000" w:sz="4" w:space="0"/>
              <w:right w:val="single" w:color="000000" w:sz="4" w:space="0"/>
            </w:tcBorders>
            <w:vAlign w:val="center"/>
          </w:tcPr>
          <w:p w14:paraId="40CAC611">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低压配电柜</w:t>
            </w:r>
          </w:p>
        </w:tc>
        <w:tc>
          <w:tcPr>
            <w:tcW w:w="511" w:type="pct"/>
            <w:tcBorders>
              <w:top w:val="single" w:color="000000" w:sz="4" w:space="0"/>
              <w:left w:val="single" w:color="000000" w:sz="4" w:space="0"/>
              <w:bottom w:val="single" w:color="000000" w:sz="4" w:space="0"/>
              <w:right w:val="single" w:color="000000" w:sz="4" w:space="0"/>
            </w:tcBorders>
            <w:vAlign w:val="center"/>
          </w:tcPr>
          <w:p w14:paraId="6B7808A0">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713" w:type="pct"/>
            <w:tcBorders>
              <w:top w:val="single" w:color="000000" w:sz="4" w:space="0"/>
              <w:left w:val="single" w:color="000000" w:sz="4" w:space="0"/>
              <w:bottom w:val="single" w:color="000000" w:sz="4" w:space="0"/>
              <w:right w:val="single" w:color="000000" w:sz="4" w:space="0"/>
            </w:tcBorders>
            <w:vAlign w:val="center"/>
          </w:tcPr>
          <w:p w14:paraId="6F18B77E">
            <w:pPr>
              <w:keepNext w:val="0"/>
              <w:keepLines w:val="0"/>
              <w:suppressLineNumbers w:val="0"/>
              <w:wordWrap w:val="0"/>
              <w:autoSpaceDE w:val="0"/>
              <w:autoSpaceDN w:val="0"/>
              <w:spacing w:before="5" w:beforeAutospacing="0" w:after="0" w:afterAutospacing="0" w:line="239"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r>
    </w:tbl>
    <w:p w14:paraId="4862AB33">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lang w:val="en-US" w:eastAsia="zh-CN" w:bidi="ar-SA"/>
          <w14:textFill>
            <w14:solidFill>
              <w14:schemeClr w14:val="tx1"/>
            </w14:solidFill>
          </w14:textFill>
        </w:rPr>
        <w:t>三、维保服务内容</w:t>
      </w:r>
    </w:p>
    <w:p w14:paraId="543B4AE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（一）变配电设备监测维保</w:t>
      </w:r>
    </w:p>
    <w:p w14:paraId="364B6E0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1．负责监测清单内医院配变主要内容：包括配变油位监测，绝缘强度监测，继电保护装置监测，负荷监测，设备连接紧固监测，本体开关监测，动作跳闸试验监测，吸湿器监测等内容，保持电力系统及设备正常运行。并负责现场设备灰尘、配电室积水等隐患因素的排查处理工作。以上工作内容每月进行一次。</w:t>
      </w:r>
    </w:p>
    <w:p w14:paraId="2A772E5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2．变压器油质及本体检测，要求每年进行一次。</w:t>
      </w:r>
    </w:p>
    <w:p w14:paraId="4873CBC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（二）关于电缆方面</w:t>
      </w:r>
    </w:p>
    <w:p w14:paraId="18B3CE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1．负责监测电缆的数量、型号与规格并完善标识及技术数据，检查供受电设备是否与实际情况相符合，是否过载及发热现象，检查电缆沟排水情况，检查因人力或机械损伤保护层等隐患因素，并组织安排解决，以上工作每月进行一次。</w:t>
      </w:r>
    </w:p>
    <w:p w14:paraId="1D7FA7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（三）关于低压配电柜方面</w:t>
      </w:r>
    </w:p>
    <w:p w14:paraId="7292FE7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1．负责维保清单内全院低压配电柜的维保。</w:t>
      </w:r>
    </w:p>
    <w:p w14:paraId="55CE172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2．维保内容包括：负责设备的定期巡查检测，高低压开关监测，继电保护检测，低压配电柜的日常维护检测，无功补偿管理，设备技术改造，以上工作每月进行一次。</w:t>
      </w:r>
    </w:p>
    <w:p w14:paraId="1044A6E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（四）关于发电机方面</w:t>
      </w:r>
    </w:p>
    <w:p w14:paraId="2BB31A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1．负责清单内发电机的管理及定期启动工作。设备地点：教学楼负一楼、传承楼及培训中心各一台。每月开机两次，启动前检查发电机油位、油管、机油、水、电瓶各项设备是否良好并做好相关记录，检测完毕后启动发电机并运行15分钟，检测并记录运行期间设备各项指标是否正常，如有异常当即处理，涉及油料更换由甲方自行承担。</w:t>
      </w:r>
    </w:p>
    <w:p w14:paraId="3381833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2．在医院如遇长时间停电情况时，乙方必须到场配合甲方启动设备保障临床科室供电。</w:t>
      </w:r>
    </w:p>
    <w:p w14:paraId="497A4EF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（五）应急方面</w:t>
      </w:r>
    </w:p>
    <w:p w14:paraId="421510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1．甲方电力系统及设备存在故障时，需乙方在60分钟以内</w:t>
      </w:r>
      <w:r>
        <w:rPr>
          <w:rFonts w:hint="eastAsia" w:ascii="宋体" w:hAnsi="宋体" w:eastAsia="宋体" w:cs="宋体"/>
          <w:sz w:val="24"/>
          <w:szCs w:val="24"/>
          <w:lang w:val="en-US" w:eastAsia="zh-CN"/>
        </w:rPr>
        <w:t>到达</w:t>
      </w:r>
      <w:r>
        <w:rPr>
          <w:rFonts w:hint="eastAsia" w:ascii="宋体" w:hAnsi="宋体" w:eastAsia="宋体" w:cs="宋体"/>
          <w:sz w:val="24"/>
          <w:szCs w:val="24"/>
        </w:rPr>
        <w:t>现场，予</w:t>
      </w:r>
      <w:r>
        <w:rPr>
          <w:rFonts w:hint="eastAsia" w:ascii="宋体" w:hAnsi="宋体" w:eastAsia="宋体" w:cs="宋体"/>
          <w:sz w:val="24"/>
          <w:szCs w:val="24"/>
          <w:lang w:val="en-US" w:eastAsia="zh-CN"/>
        </w:rPr>
        <w:t>以协助处理。</w:t>
      </w:r>
    </w:p>
    <w:p w14:paraId="748C41C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2．甲方在进行排放电缆等大型作业方面，乙方需派专业人员到达现场配合完成。</w:t>
      </w:r>
    </w:p>
    <w:p w14:paraId="4B61F0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3．具备足够的应急措施和人员应对突发医疗紧急状况，服从院方安排，当紧急突发事件发生时，以最快速度调集大量人力赶赴现场进行支援。</w:t>
      </w:r>
    </w:p>
    <w:p w14:paraId="45A4CE4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2" w:firstLineChars="200"/>
        <w:textAlignment w:val="auto"/>
        <w:rPr>
          <w:rFonts w:hint="default"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lang w:val="en-US" w:eastAsia="zh-CN" w:bidi="ar-SA"/>
          <w14:textFill>
            <w14:solidFill>
              <w14:schemeClr w14:val="tx1"/>
            </w14:solidFill>
          </w14:textFill>
        </w:rPr>
        <w:t>四</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w:t>
      </w:r>
      <w:r>
        <w:rPr>
          <w:rFonts w:hint="eastAsia" w:ascii="宋体" w:hAnsi="宋体" w:cs="宋体"/>
          <w:b/>
          <w:bCs/>
          <w:color w:val="000000" w:themeColor="text1"/>
          <w:kern w:val="0"/>
          <w:sz w:val="24"/>
          <w:szCs w:val="24"/>
          <w:lang w:val="en-US" w:eastAsia="zh-CN" w:bidi="ar-SA"/>
          <w14:textFill>
            <w14:solidFill>
              <w14:schemeClr w14:val="tx1"/>
            </w14:solidFill>
          </w14:textFill>
        </w:rPr>
        <w:t>商务要求</w:t>
      </w:r>
    </w:p>
    <w:p w14:paraId="2482A4F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1.服务期：自合同签订生效之日起一年。</w:t>
      </w:r>
    </w:p>
    <w:p w14:paraId="2EC0753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2.服务地点：采购人指定地点。</w:t>
      </w:r>
    </w:p>
    <w:p w14:paraId="51D5DFC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3.报价要求</w:t>
      </w:r>
    </w:p>
    <w:p w14:paraId="2557B48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 xml:space="preserve">3.1 本项目报价为固定总价包干，包含人工、检测、巡检、工具、交通、管理、税费、应急配合、资料归档等完成本项目全部服务内容的一切费用。 </w:t>
      </w:r>
    </w:p>
    <w:p w14:paraId="0DDCFCB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 xml:space="preserve">3.2 </w:t>
      </w:r>
      <w:r>
        <w:rPr>
          <w:rFonts w:hint="eastAsia" w:ascii="宋体" w:hAnsi="宋体" w:eastAsia="宋体" w:cs="宋体"/>
          <w:color w:val="000000" w:themeColor="text1"/>
          <w:sz w:val="24"/>
          <w:szCs w:val="24"/>
          <w14:textFill>
            <w14:solidFill>
              <w14:schemeClr w14:val="tx1"/>
            </w14:solidFill>
          </w14:textFill>
        </w:rPr>
        <w:t>设备检修更换材料费用在2000.00元以内由乙方负责，维修材料在2000.00元以上材料费由甲方提供。</w:t>
      </w:r>
    </w:p>
    <w:p w14:paraId="1CFE276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付款方式：</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电力系统安全管理服务费按月考核结果结算，次月25日前甲方将上个月维保费用（节假日顺延）转账支付乙方，乙方需提供合规票据。付款时，乙方需提供甲方考核单，每月考核情况与服务费用挂钩。</w:t>
      </w:r>
    </w:p>
    <w:p w14:paraId="5A2F9FB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default" w:ascii="宋体" w:hAnsi="宋体" w:cs="宋体"/>
          <w:b w:val="0"/>
          <w:bCs w:val="0"/>
          <w:color w:val="FF0000"/>
          <w:kern w:val="0"/>
          <w:sz w:val="24"/>
          <w:szCs w:val="24"/>
          <w:lang w:val="en-US" w:eastAsia="zh-CN" w:bidi="ar-SA"/>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5.故障响应时间：</w:t>
      </w:r>
      <w:r>
        <w:rPr>
          <w:rFonts w:hint="eastAsia" w:ascii="宋体" w:hAnsi="宋体" w:eastAsia="宋体" w:cs="宋体"/>
          <w:color w:val="000000" w:themeColor="text1"/>
          <w:sz w:val="24"/>
          <w:szCs w:val="24"/>
          <w14:textFill>
            <w14:solidFill>
              <w14:schemeClr w14:val="tx1"/>
            </w14:solidFill>
          </w14:textFill>
        </w:rPr>
        <w:t>甲方电力系统及设备存在故障时，需乙方在60分钟</w:t>
      </w:r>
      <w:r>
        <w:rPr>
          <w:rFonts w:hint="eastAsia" w:ascii="宋体" w:hAnsi="宋体" w:eastAsia="宋体" w:cs="宋体"/>
          <w:sz w:val="24"/>
          <w:szCs w:val="24"/>
        </w:rPr>
        <w:t>以内</w:t>
      </w:r>
      <w:r>
        <w:rPr>
          <w:rFonts w:hint="eastAsia" w:ascii="宋体" w:hAnsi="宋体" w:eastAsia="宋体" w:cs="宋体"/>
          <w:sz w:val="24"/>
          <w:szCs w:val="24"/>
          <w:lang w:val="en-US" w:eastAsia="zh-CN"/>
        </w:rPr>
        <w:t>到达</w:t>
      </w:r>
      <w:r>
        <w:rPr>
          <w:rFonts w:hint="eastAsia" w:ascii="宋体" w:hAnsi="宋体" w:eastAsia="宋体" w:cs="宋体"/>
          <w:sz w:val="24"/>
          <w:szCs w:val="24"/>
        </w:rPr>
        <w:t>现场，予</w:t>
      </w:r>
      <w:r>
        <w:rPr>
          <w:rFonts w:hint="eastAsia" w:ascii="宋体" w:hAnsi="宋体" w:eastAsia="宋体" w:cs="宋体"/>
          <w:sz w:val="24"/>
          <w:szCs w:val="24"/>
          <w:lang w:val="en-US" w:eastAsia="zh-CN"/>
        </w:rPr>
        <w:t>以协助处理。</w:t>
      </w:r>
    </w:p>
    <w:p w14:paraId="56DB11C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color w:val="auto"/>
          <w:kern w:val="0"/>
          <w:sz w:val="24"/>
          <w:szCs w:val="24"/>
          <w:lang w:val="en-US" w:eastAsia="zh-CN" w:bidi="ar-SA"/>
        </w:rPr>
        <w:t>6.</w:t>
      </w:r>
      <w:r>
        <w:rPr>
          <w:rFonts w:hint="eastAsia" w:ascii="宋体" w:hAnsi="宋体" w:cs="宋体"/>
          <w:b w:val="0"/>
          <w:bCs w:val="0"/>
          <w:i w:val="0"/>
          <w:iCs w:val="0"/>
          <w:caps w:val="0"/>
          <w:color w:val="auto"/>
          <w:spacing w:val="0"/>
          <w:sz w:val="24"/>
          <w:szCs w:val="24"/>
          <w:highlight w:val="none"/>
          <w:shd w:val="clear" w:color="auto" w:fill="FFFFFF"/>
          <w:lang w:val="en-US" w:eastAsia="zh-CN"/>
        </w:rPr>
        <w:t>安全责任：</w:t>
      </w:r>
    </w:p>
    <w:p w14:paraId="017096A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t>6.1 服务期间，供应商全面负责作业现场安全管理，落实安全防护措施，作业过程发生人身伤害、设备损坏等安全事故，全部责任及经济损失由成交供应商承担。</w:t>
      </w:r>
    </w:p>
    <w:p w14:paraId="437AD39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t>6.2 在医院院内作业，须服从医院安全、消防管理规定，做好现场防护，避免影响医院正常诊疗秩序。</w:t>
      </w:r>
    </w:p>
    <w:p w14:paraId="47ADEB4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7.现场作业人员要求：拟投入本项目现场作业人员须持有</w:t>
      </w:r>
      <w:r>
        <w:rPr>
          <w:rFonts w:ascii="宋体" w:hAnsi="宋体" w:eastAsia="宋体" w:cs="宋体"/>
          <w:sz w:val="24"/>
          <w:szCs w:val="24"/>
        </w:rPr>
        <w:t>特种作业操作证（高压电工作业）</w:t>
      </w:r>
      <w:r>
        <w:rPr>
          <w:rFonts w:hint="eastAsia" w:ascii="宋体" w:hAnsi="宋体" w:cs="宋体"/>
          <w:b w:val="0"/>
          <w:bCs w:val="0"/>
          <w:color w:val="auto"/>
          <w:kern w:val="0"/>
          <w:sz w:val="24"/>
          <w:szCs w:val="24"/>
          <w:lang w:val="en-US" w:eastAsia="zh-CN" w:bidi="ar-SA"/>
        </w:rPr>
        <w:t>，相关证书在有效期内；证书复印件随响应文件提供，并加盖供应商公章。</w:t>
      </w:r>
    </w:p>
    <w:p w14:paraId="36080E1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8</w:t>
      </w:r>
      <w:r>
        <w:rPr>
          <w:rFonts w:hint="eastAsia" w:ascii="宋体" w:hAnsi="宋体" w:eastAsia="宋体" w:cs="宋体"/>
          <w:b w:val="0"/>
          <w:bCs w:val="0"/>
          <w:color w:val="auto"/>
          <w:kern w:val="0"/>
          <w:sz w:val="24"/>
          <w:szCs w:val="24"/>
          <w:lang w:val="en-US" w:eastAsia="zh-CN" w:bidi="ar-SA"/>
        </w:rPr>
        <w:t>.验收</w:t>
      </w:r>
    </w:p>
    <w:p w14:paraId="40611F9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8</w:t>
      </w:r>
      <w:r>
        <w:rPr>
          <w:rFonts w:hint="eastAsia" w:ascii="宋体" w:hAnsi="宋体" w:eastAsia="宋体" w:cs="宋体"/>
          <w:b w:val="0"/>
          <w:bCs w:val="0"/>
          <w:color w:val="auto"/>
          <w:kern w:val="0"/>
          <w:sz w:val="24"/>
          <w:szCs w:val="24"/>
          <w:lang w:val="en-US" w:eastAsia="zh-CN" w:bidi="ar-SA"/>
        </w:rPr>
        <w:t xml:space="preserve">.1 实行月度阶段性考核验收 + 年度总考核验收。每月依据维保频次、记录完整性、故障处置、应急配合情况开展考核验收；服务期满开展整体总考核验收。 </w:t>
      </w:r>
    </w:p>
    <w:p w14:paraId="51A5F21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color w:val="auto"/>
          <w:kern w:val="0"/>
          <w:sz w:val="24"/>
          <w:szCs w:val="24"/>
          <w:lang w:val="en-US" w:eastAsia="zh-CN" w:bidi="ar-SA"/>
        </w:rPr>
        <w:t>8</w:t>
      </w:r>
      <w:r>
        <w:rPr>
          <w:rFonts w:hint="eastAsia" w:ascii="宋体" w:hAnsi="宋体" w:eastAsia="宋体" w:cs="宋体"/>
          <w:b w:val="0"/>
          <w:bCs w:val="0"/>
          <w:color w:val="auto"/>
          <w:kern w:val="0"/>
          <w:sz w:val="24"/>
          <w:szCs w:val="24"/>
          <w:lang w:val="en-US" w:eastAsia="zh-CN" w:bidi="ar-SA"/>
        </w:rPr>
        <w:t>.2 验收依据采购文件、合同约定、国家电气相关规范，核查维保记录、检测资料、设备运行状况。验收不合格，供应商须按采购人要求限期完成整改。</w:t>
      </w:r>
    </w:p>
    <w:bookmarkEnd w:id="134"/>
    <w:p w14:paraId="28AA3EAE">
      <w:pPr>
        <w:pStyle w:val="2"/>
        <w:pageBreakBefore/>
        <w:numPr>
          <w:ilvl w:val="0"/>
          <w:numId w:val="5"/>
        </w:numPr>
        <w:rPr>
          <w:rFonts w:ascii="宋体" w:hAnsi="宋体" w:cs="宋体"/>
          <w:color w:val="auto"/>
        </w:rPr>
      </w:pPr>
      <w:r>
        <w:rPr>
          <w:rFonts w:hint="eastAsia" w:ascii="宋体" w:hAnsi="宋体" w:eastAsia="宋体" w:cs="宋体"/>
          <w:b w:val="0"/>
          <w:bCs/>
          <w:color w:val="auto"/>
          <w:kern w:val="2"/>
          <w:sz w:val="24"/>
          <w:szCs w:val="24"/>
          <w:highlight w:val="none"/>
          <w:lang w:val="en-US" w:eastAsia="zh-CN" w:bidi="ar-SA"/>
        </w:rPr>
        <w:t xml:space="preserve"> </w:t>
      </w:r>
      <w:r>
        <w:rPr>
          <w:rFonts w:hint="eastAsia" w:ascii="宋体" w:hAnsi="宋体" w:cs="宋体"/>
          <w:color w:val="auto"/>
        </w:rPr>
        <w:t xml:space="preserve">  </w:t>
      </w:r>
      <w:bookmarkEnd w:id="132"/>
      <w:bookmarkEnd w:id="133"/>
      <w:bookmarkEnd w:id="135"/>
      <w:bookmarkEnd w:id="136"/>
      <w:bookmarkEnd w:id="137"/>
      <w:bookmarkEnd w:id="138"/>
      <w:bookmarkEnd w:id="139"/>
      <w:bookmarkStart w:id="141" w:name="_Toc21623"/>
      <w:bookmarkStart w:id="142" w:name="_Toc3837039"/>
      <w:r>
        <w:rPr>
          <w:rFonts w:hint="eastAsia" w:ascii="宋体" w:hAnsi="宋体" w:cs="宋体"/>
          <w:color w:val="auto"/>
        </w:rPr>
        <w:t>商务及合同主要条款</w:t>
      </w:r>
      <w:bookmarkEnd w:id="140"/>
      <w:bookmarkEnd w:id="141"/>
      <w:bookmarkEnd w:id="142"/>
    </w:p>
    <w:p w14:paraId="62807756">
      <w:pPr>
        <w:spacing w:line="360" w:lineRule="auto"/>
        <w:jc w:val="center"/>
        <w:rPr>
          <w:rFonts w:hint="eastAsia" w:ascii="宋体" w:hAnsi="宋体" w:eastAsia="宋体" w:cs="宋体"/>
          <w:b/>
          <w:bCs/>
          <w:color w:val="auto"/>
          <w:sz w:val="24"/>
          <w:szCs w:val="24"/>
        </w:rPr>
      </w:pPr>
    </w:p>
    <w:p w14:paraId="533009DC">
      <w:pPr>
        <w:spacing w:before="140" w:line="225" w:lineRule="auto"/>
        <w:jc w:val="center"/>
        <w:rPr>
          <w:rFonts w:ascii="黑体" w:hAnsi="黑体" w:eastAsia="黑体" w:cs="黑体"/>
          <w:color w:val="auto"/>
          <w:sz w:val="43"/>
          <w:szCs w:val="43"/>
        </w:rPr>
      </w:pPr>
      <w:r>
        <w:rPr>
          <w:rFonts w:hint="eastAsia" w:ascii="宋体" w:hAnsi="宋体" w:cs="宋体"/>
          <w:color w:val="auto"/>
          <w:sz w:val="43"/>
          <w:szCs w:val="43"/>
          <w:lang w:eastAsia="zh-CN"/>
        </w:rPr>
        <w:t>安康市中医医院电力系统安全管理维保服务项目</w:t>
      </w:r>
    </w:p>
    <w:p w14:paraId="5E603763">
      <w:pPr>
        <w:pStyle w:val="13"/>
        <w:spacing w:line="245" w:lineRule="auto"/>
        <w:rPr>
          <w:color w:val="auto"/>
        </w:rPr>
      </w:pPr>
    </w:p>
    <w:p w14:paraId="09E12ED1">
      <w:pPr>
        <w:pStyle w:val="13"/>
        <w:spacing w:line="245" w:lineRule="auto"/>
        <w:rPr>
          <w:color w:val="auto"/>
        </w:rPr>
      </w:pPr>
    </w:p>
    <w:p w14:paraId="33EBBA2A">
      <w:pPr>
        <w:pStyle w:val="13"/>
        <w:spacing w:line="245" w:lineRule="auto"/>
        <w:rPr>
          <w:color w:val="auto"/>
        </w:rPr>
      </w:pPr>
    </w:p>
    <w:p w14:paraId="61F95658">
      <w:pPr>
        <w:pStyle w:val="13"/>
        <w:spacing w:line="245" w:lineRule="auto"/>
        <w:rPr>
          <w:color w:val="auto"/>
        </w:rPr>
      </w:pPr>
    </w:p>
    <w:p w14:paraId="7FC130A6">
      <w:pPr>
        <w:pStyle w:val="13"/>
        <w:spacing w:line="245" w:lineRule="auto"/>
        <w:rPr>
          <w:color w:val="auto"/>
        </w:rPr>
      </w:pPr>
    </w:p>
    <w:p w14:paraId="1B019BF3">
      <w:pPr>
        <w:pStyle w:val="13"/>
        <w:spacing w:line="246" w:lineRule="auto"/>
        <w:rPr>
          <w:color w:val="auto"/>
        </w:rPr>
      </w:pPr>
      <w:r>
        <w:rPr>
          <w:color w:val="auto"/>
        </w:rPr>
        <mc:AlternateContent>
          <mc:Choice Requires="wps">
            <w:drawing>
              <wp:anchor distT="0" distB="0" distL="114300" distR="114300" simplePos="0" relativeHeight="251664384" behindDoc="0" locked="0" layoutInCell="1" allowOverlap="1">
                <wp:simplePos x="0" y="0"/>
                <wp:positionH relativeFrom="column">
                  <wp:posOffset>2449195</wp:posOffset>
                </wp:positionH>
                <wp:positionV relativeFrom="paragraph">
                  <wp:posOffset>60325</wp:posOffset>
                </wp:positionV>
                <wp:extent cx="347345" cy="333946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47345" cy="3339465"/>
                        </a:xfrm>
                        <a:prstGeom prst="rect">
                          <a:avLst/>
                        </a:prstGeom>
                        <a:noFill/>
                        <a:ln>
                          <a:noFill/>
                        </a:ln>
                      </wps:spPr>
                      <wps:txbx>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wps:txbx>
                      <wps:bodyPr vert="eaVert" lIns="0" tIns="0" rIns="0" bIns="0" upright="1"/>
                    </wps:wsp>
                  </a:graphicData>
                </a:graphic>
              </wp:anchor>
            </w:drawing>
          </mc:Choice>
          <mc:Fallback>
            <w:pict>
              <v:shape id="_x0000_s1026" o:spid="_x0000_s1026" o:spt="202" type="#_x0000_t202" style="position:absolute;left:0pt;margin-left:192.85pt;margin-top:4.75pt;height:262.95pt;width:27.35pt;z-index:251664384;mso-width-relative:page;mso-height-relative:page;" filled="f" stroked="f" coordsize="21600,21600" o:gfxdata="UEsDBAoAAAAAAIdO4kAAAAAAAAAAAAAAAAAEAAAAZHJzL1BLAwQUAAAACACHTuJApSFBGNYAAAAJ&#10;AQAADwAAAGRycy9kb3ducmV2LnhtbE2PzU7DMBCE70i8g7VI3KhdEkMJcSrUCjg39JKbay9JhL2O&#10;YveHt8ec4Dia0cw39friHTvhHMdACpYLAQzJBDtSr2D/8Xq3AhaTJqtdIFTwjRHWzfVVrSsbzrTD&#10;U5t6lksoVlrBkNJUcR7NgF7HRZiQsvcZZq9TlnPP7azPudw7fi/EA/d6pLww6Ak3A5qv9ugVdJvO&#10;8WD20rzvCq5f2u2b67ZK3d4sxTOwhJf0F4Zf/IwOTWY6hCPZyJyCYiUfc1TBkwSW/bIUJbCDAlnI&#10;EnhT8/8Pmh9QSwMEFAAAAAgAh07iQA2YnAnEAQAAggMAAA4AAABkcnMvZTJvRG9jLnhtbK1TzW4T&#10;MRC+I/EOlu/EaTctsMqmEoqKkBAgFbg7XjtryX8aO9nNC8AbcOLCnefKc3TszaZQLj1wsccz42/m&#10;+8Ze3gzWkL2EqL1r6MVsTol0wrfabRv65fPti1eUxMRdy413sqEHGenN6vmzZR9qeek7b1oJBEFc&#10;rPvQ0C6lUDMWRSctjzMfpMOg8mB5wiNsWQu8R3Rr2OV8fs16D20AL2SM6F2PQXpChKcAeqW0kGsv&#10;dla6NKKCNDwhpdjpEOmqdKuUFOmjUlEmYhqKTFNZsQjam7yy1ZLXW+Ch0+LUAn9KC484Wa4dFj1D&#10;rXniZAf6HyirBfjoVZoJb9lIpCiCLC7mj7S563iQhQtKHcNZ9Pj/YMWH/ScgusWXUFHiuMWJH398&#10;P/78ffz1jaAPBepDrDHvLmBmGt74AZMnf0Rn5j0osHlHRgTjKO/hLK8cEhHorBYvq8UVJQJDVVW9&#10;XlxfZRj2cDtATG+ltyQbDQUcX1GV79/HNKZOKbmY87famDJC4/5yIGb2sNz62GK20rAZTnw2vj0g&#10;HfwHWEfyr7hTYt45lDY/k8mAydhMxi6A3nZ4qUhQCuBoCovTM8qz//Nc2nj4Oqt7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pSFBGNYAAAAJAQAADwAAAAAAAAABACAAAAAiAAAAZHJzL2Rvd25yZXYu&#10;eG1sUEsBAhQAFAAAAAgAh07iQA2YnAnEAQAAggMAAA4AAAAAAAAAAQAgAAAAJQEAAGRycy9lMm9E&#10;b2MueG1sUEsFBgAAAAAGAAYAWQEAAFsFAAAAAA==&#10;">
                <v:fill on="f" focussize="0,0"/>
                <v:stroke on="f"/>
                <v:imagedata o:title=""/>
                <o:lock v:ext="edit" aspectratio="f"/>
                <v:textbox inset="0mm,0mm,0mm,0mm" style="layout-flow:vertical-ideographic;">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v:textbox>
              </v:shape>
            </w:pict>
          </mc:Fallback>
        </mc:AlternateContent>
      </w:r>
    </w:p>
    <w:p w14:paraId="4353C3CA">
      <w:pPr>
        <w:pStyle w:val="13"/>
        <w:spacing w:line="246" w:lineRule="auto"/>
        <w:rPr>
          <w:color w:val="auto"/>
        </w:rPr>
      </w:pPr>
    </w:p>
    <w:p w14:paraId="7107116F">
      <w:pPr>
        <w:pStyle w:val="13"/>
        <w:spacing w:line="246" w:lineRule="auto"/>
        <w:rPr>
          <w:color w:val="auto"/>
        </w:rPr>
      </w:pPr>
    </w:p>
    <w:p w14:paraId="36EA1F34">
      <w:pPr>
        <w:pStyle w:val="13"/>
        <w:spacing w:line="246" w:lineRule="auto"/>
        <w:rPr>
          <w:color w:val="auto"/>
        </w:rPr>
      </w:pPr>
    </w:p>
    <w:p w14:paraId="5B4D639A">
      <w:pPr>
        <w:pStyle w:val="13"/>
        <w:spacing w:line="246" w:lineRule="auto"/>
        <w:rPr>
          <w:color w:val="auto"/>
        </w:rPr>
      </w:pPr>
    </w:p>
    <w:p w14:paraId="3B2DE613">
      <w:pPr>
        <w:pStyle w:val="13"/>
        <w:spacing w:line="246" w:lineRule="auto"/>
        <w:rPr>
          <w:color w:val="auto"/>
        </w:rPr>
      </w:pPr>
    </w:p>
    <w:p w14:paraId="4F9CB494">
      <w:pPr>
        <w:pStyle w:val="13"/>
        <w:spacing w:line="246" w:lineRule="auto"/>
        <w:rPr>
          <w:color w:val="auto"/>
        </w:rPr>
      </w:pPr>
    </w:p>
    <w:p w14:paraId="7E926692">
      <w:pPr>
        <w:pStyle w:val="13"/>
        <w:spacing w:line="246" w:lineRule="auto"/>
        <w:rPr>
          <w:color w:val="auto"/>
        </w:rPr>
      </w:pPr>
    </w:p>
    <w:p w14:paraId="6D67FDF7">
      <w:pPr>
        <w:pStyle w:val="13"/>
        <w:spacing w:line="246" w:lineRule="auto"/>
        <w:rPr>
          <w:color w:val="auto"/>
        </w:rPr>
      </w:pPr>
    </w:p>
    <w:p w14:paraId="07EDE6FC">
      <w:pPr>
        <w:pStyle w:val="13"/>
        <w:spacing w:line="246" w:lineRule="auto"/>
        <w:rPr>
          <w:color w:val="auto"/>
        </w:rPr>
      </w:pPr>
    </w:p>
    <w:p w14:paraId="220F9DB0">
      <w:pPr>
        <w:pStyle w:val="13"/>
        <w:spacing w:line="246" w:lineRule="auto"/>
        <w:rPr>
          <w:color w:val="auto"/>
        </w:rPr>
      </w:pPr>
    </w:p>
    <w:p w14:paraId="5CBD518A">
      <w:pPr>
        <w:pStyle w:val="13"/>
        <w:spacing w:line="246" w:lineRule="auto"/>
        <w:rPr>
          <w:color w:val="auto"/>
        </w:rPr>
      </w:pPr>
    </w:p>
    <w:p w14:paraId="22CD0A66">
      <w:pPr>
        <w:pStyle w:val="13"/>
        <w:spacing w:line="246" w:lineRule="auto"/>
        <w:rPr>
          <w:color w:val="auto"/>
        </w:rPr>
      </w:pPr>
    </w:p>
    <w:p w14:paraId="377B8500">
      <w:pPr>
        <w:pStyle w:val="13"/>
        <w:spacing w:line="246" w:lineRule="auto"/>
        <w:rPr>
          <w:color w:val="auto"/>
        </w:rPr>
      </w:pPr>
    </w:p>
    <w:p w14:paraId="62AE722B">
      <w:pPr>
        <w:pStyle w:val="13"/>
        <w:spacing w:line="246" w:lineRule="auto"/>
        <w:rPr>
          <w:color w:val="auto"/>
        </w:rPr>
      </w:pPr>
    </w:p>
    <w:p w14:paraId="504F8CFA">
      <w:pPr>
        <w:pStyle w:val="13"/>
        <w:spacing w:line="246" w:lineRule="auto"/>
        <w:rPr>
          <w:rFonts w:hint="eastAsia" w:eastAsia="宋体"/>
          <w:color w:val="auto"/>
          <w:lang w:val="en-US" w:eastAsia="zh-CN"/>
        </w:rPr>
      </w:pPr>
    </w:p>
    <w:p w14:paraId="721D9668">
      <w:pPr>
        <w:pStyle w:val="13"/>
        <w:spacing w:line="246" w:lineRule="auto"/>
        <w:rPr>
          <w:color w:val="auto"/>
        </w:rPr>
      </w:pPr>
    </w:p>
    <w:p w14:paraId="1EB85A0B">
      <w:pPr>
        <w:pStyle w:val="13"/>
        <w:spacing w:line="246" w:lineRule="auto"/>
        <w:rPr>
          <w:color w:val="auto"/>
        </w:rPr>
      </w:pPr>
    </w:p>
    <w:p w14:paraId="5DAFA2DD">
      <w:pPr>
        <w:pStyle w:val="13"/>
        <w:spacing w:line="246" w:lineRule="auto"/>
        <w:rPr>
          <w:color w:val="auto"/>
        </w:rPr>
      </w:pPr>
    </w:p>
    <w:p w14:paraId="08974FB7">
      <w:pPr>
        <w:pStyle w:val="13"/>
        <w:spacing w:line="246" w:lineRule="auto"/>
        <w:rPr>
          <w:color w:val="auto"/>
        </w:rPr>
      </w:pPr>
    </w:p>
    <w:p w14:paraId="452B0CDC">
      <w:pPr>
        <w:pStyle w:val="13"/>
        <w:spacing w:line="246" w:lineRule="auto"/>
        <w:rPr>
          <w:color w:val="auto"/>
        </w:rPr>
      </w:pPr>
    </w:p>
    <w:p w14:paraId="09B8405D">
      <w:pPr>
        <w:keepNext w:val="0"/>
        <w:keepLines w:val="0"/>
        <w:pageBreakBefore w:val="0"/>
        <w:widowControl w:val="0"/>
        <w:kinsoku/>
        <w:wordWrap/>
        <w:overflowPunct/>
        <w:topLinePunct w:val="0"/>
        <w:autoSpaceDE/>
        <w:autoSpaceDN/>
        <w:bidi w:val="0"/>
        <w:adjustRightInd/>
        <w:snapToGrid/>
        <w:spacing w:before="101" w:line="230" w:lineRule="auto"/>
        <w:ind w:left="840" w:leftChars="400" w:firstLine="628" w:firstLineChars="200"/>
        <w:textAlignment w:val="auto"/>
        <w:rPr>
          <w:rFonts w:hint="default" w:ascii="宋体" w:hAnsi="宋体" w:eastAsia="宋体" w:cs="宋体"/>
          <w:color w:val="auto"/>
          <w:sz w:val="31"/>
          <w:szCs w:val="31"/>
          <w:lang w:val="en-US" w:eastAsia="zh-CN"/>
        </w:rPr>
      </w:pPr>
      <w:r>
        <w:rPr>
          <w:rFonts w:hint="eastAsia" w:ascii="宋体" w:hAnsi="宋体" w:eastAsia="宋体" w:cs="宋体"/>
          <w:color w:val="auto"/>
          <w:spacing w:val="2"/>
          <w:sz w:val="31"/>
          <w:szCs w:val="31"/>
        </w:rPr>
        <w:t>甲</w:t>
      </w:r>
      <w:r>
        <w:rPr>
          <w:rFonts w:hint="eastAsia" w:ascii="宋体" w:hAnsi="宋体" w:eastAsia="宋体" w:cs="宋体"/>
          <w:color w:val="auto"/>
          <w:spacing w:val="13"/>
          <w:sz w:val="31"/>
          <w:szCs w:val="31"/>
        </w:rPr>
        <w:t xml:space="preserve">    </w:t>
      </w:r>
      <w:r>
        <w:rPr>
          <w:rFonts w:hint="eastAsia" w:ascii="宋体" w:hAnsi="宋体" w:eastAsia="宋体" w:cs="宋体"/>
          <w:color w:val="auto"/>
          <w:spacing w:val="2"/>
          <w:sz w:val="31"/>
          <w:szCs w:val="31"/>
        </w:rPr>
        <w:t>方：</w:t>
      </w:r>
      <w:r>
        <w:rPr>
          <w:rFonts w:hint="eastAsia" w:ascii="宋体" w:hAnsi="宋体" w:cs="宋体"/>
          <w:color w:val="auto"/>
          <w:spacing w:val="2"/>
          <w:sz w:val="31"/>
          <w:szCs w:val="31"/>
          <w:u w:val="single"/>
          <w:lang w:val="en-US" w:eastAsia="zh-CN"/>
        </w:rPr>
        <w:t xml:space="preserve">     </w:t>
      </w:r>
      <w:r>
        <w:rPr>
          <w:rFonts w:hint="eastAsia" w:ascii="宋体" w:hAnsi="宋体" w:cs="宋体"/>
          <w:color w:val="auto"/>
          <w:spacing w:val="2"/>
          <w:sz w:val="31"/>
          <w:szCs w:val="31"/>
          <w:u w:val="single" w:color="auto"/>
          <w:lang w:val="en-US" w:eastAsia="zh-CN"/>
        </w:rPr>
        <w:t xml:space="preserve">安康市中医医院       </w:t>
      </w:r>
    </w:p>
    <w:p w14:paraId="499F67FC">
      <w:pPr>
        <w:keepNext w:val="0"/>
        <w:keepLines w:val="0"/>
        <w:pageBreakBefore w:val="0"/>
        <w:widowControl w:val="0"/>
        <w:kinsoku/>
        <w:wordWrap/>
        <w:overflowPunct/>
        <w:topLinePunct w:val="0"/>
        <w:autoSpaceDE/>
        <w:autoSpaceDN/>
        <w:bidi w:val="0"/>
        <w:adjustRightInd/>
        <w:snapToGrid/>
        <w:spacing w:line="360" w:lineRule="auto"/>
        <w:ind w:left="840" w:leftChars="400" w:firstLine="644" w:firstLineChars="200"/>
        <w:jc w:val="both"/>
        <w:textAlignment w:val="auto"/>
        <w:rPr>
          <w:rFonts w:hint="eastAsia" w:ascii="宋体" w:hAnsi="宋体" w:eastAsia="宋体" w:cs="宋体"/>
          <w:color w:val="auto"/>
          <w:spacing w:val="16"/>
          <w:sz w:val="31"/>
          <w:szCs w:val="31"/>
        </w:rPr>
      </w:pPr>
      <w:r>
        <w:rPr>
          <w:rFonts w:hint="eastAsia" w:ascii="宋体" w:hAnsi="宋体" w:eastAsia="宋体" w:cs="宋体"/>
          <w:color w:val="auto"/>
          <w:spacing w:val="6"/>
          <w:sz w:val="31"/>
          <w:szCs w:val="31"/>
        </w:rPr>
        <w:t>乙    方：</w:t>
      </w:r>
      <w:r>
        <w:rPr>
          <w:rFonts w:hint="eastAsia" w:ascii="宋体" w:hAnsi="宋体" w:eastAsia="宋体" w:cs="宋体"/>
          <w:color w:val="auto"/>
          <w:spacing w:val="6"/>
          <w:sz w:val="31"/>
          <w:szCs w:val="31"/>
          <w:u w:val="single"/>
          <w:lang w:val="en-US" w:eastAsia="zh-CN"/>
        </w:rPr>
        <w:t xml:space="preserve">            </w:t>
      </w:r>
      <w:r>
        <w:rPr>
          <w:rFonts w:hint="eastAsia" w:ascii="宋体" w:hAnsi="宋体" w:cs="宋体"/>
          <w:color w:val="auto"/>
          <w:spacing w:val="6"/>
          <w:sz w:val="31"/>
          <w:szCs w:val="31"/>
          <w:u w:val="single"/>
          <w:lang w:val="en-US" w:eastAsia="zh-CN"/>
        </w:rPr>
        <w:t xml:space="preserve">    </w:t>
      </w:r>
      <w:r>
        <w:rPr>
          <w:rFonts w:hint="eastAsia" w:ascii="宋体" w:hAnsi="宋体" w:eastAsia="宋体" w:cs="宋体"/>
          <w:color w:val="auto"/>
          <w:spacing w:val="6"/>
          <w:sz w:val="31"/>
          <w:szCs w:val="31"/>
          <w:u w:val="single"/>
          <w:lang w:val="en-US" w:eastAsia="zh-CN"/>
        </w:rPr>
        <w:t xml:space="preserve">         </w:t>
      </w:r>
    </w:p>
    <w:p w14:paraId="3793269B">
      <w:pPr>
        <w:keepNext w:val="0"/>
        <w:keepLines w:val="0"/>
        <w:pageBreakBefore w:val="0"/>
        <w:widowControl w:val="0"/>
        <w:kinsoku/>
        <w:wordWrap/>
        <w:overflowPunct/>
        <w:topLinePunct w:val="0"/>
        <w:autoSpaceDE/>
        <w:autoSpaceDN/>
        <w:bidi w:val="0"/>
        <w:adjustRightInd/>
        <w:snapToGrid/>
        <w:spacing w:line="360" w:lineRule="auto"/>
        <w:ind w:left="840" w:leftChars="400" w:firstLine="652" w:firstLineChars="200"/>
        <w:jc w:val="both"/>
        <w:textAlignment w:val="auto"/>
        <w:rPr>
          <w:rFonts w:hint="eastAsia" w:ascii="宋体" w:hAnsi="宋体" w:eastAsia="宋体" w:cs="宋体"/>
          <w:b/>
          <w:bCs/>
          <w:color w:val="auto"/>
          <w:sz w:val="24"/>
          <w:szCs w:val="24"/>
        </w:rPr>
        <w:sectPr>
          <w:pgSz w:w="11906" w:h="16838"/>
          <w:pgMar w:top="1417" w:right="1417" w:bottom="1417" w:left="1417" w:header="1134" w:footer="992" w:gutter="0"/>
          <w:pgNumType w:fmt="decimal"/>
          <w:cols w:space="0" w:num="1"/>
          <w:titlePg/>
          <w:docGrid w:type="lines" w:linePitch="326" w:charSpace="0"/>
        </w:sectPr>
      </w:pPr>
      <w:r>
        <w:rPr>
          <w:rFonts w:hint="eastAsia" w:ascii="宋体" w:hAnsi="宋体" w:eastAsia="宋体" w:cs="宋体"/>
          <w:color w:val="auto"/>
          <w:spacing w:val="8"/>
          <w:sz w:val="31"/>
          <w:szCs w:val="31"/>
        </w:rPr>
        <w:t>签订地点：</w:t>
      </w:r>
      <w:r>
        <w:rPr>
          <w:rFonts w:hint="eastAsia" w:ascii="宋体" w:hAnsi="宋体" w:eastAsia="宋体" w:cs="宋体"/>
          <w:color w:val="auto"/>
          <w:spacing w:val="8"/>
          <w:sz w:val="31"/>
          <w:szCs w:val="31"/>
          <w:u w:val="single"/>
          <w:lang w:val="en-US" w:eastAsia="zh-CN"/>
        </w:rPr>
        <w:t xml:space="preserve">          </w:t>
      </w:r>
      <w:r>
        <w:rPr>
          <w:rFonts w:hint="eastAsia" w:ascii="宋体" w:hAnsi="宋体" w:cs="宋体"/>
          <w:color w:val="auto"/>
          <w:spacing w:val="8"/>
          <w:sz w:val="31"/>
          <w:szCs w:val="31"/>
          <w:u w:val="single"/>
          <w:lang w:val="en-US" w:eastAsia="zh-CN"/>
        </w:rPr>
        <w:t xml:space="preserve">    </w:t>
      </w:r>
      <w:r>
        <w:rPr>
          <w:rFonts w:hint="eastAsia" w:ascii="宋体" w:hAnsi="宋体" w:eastAsia="宋体" w:cs="宋体"/>
          <w:color w:val="auto"/>
          <w:spacing w:val="8"/>
          <w:sz w:val="31"/>
          <w:szCs w:val="31"/>
          <w:u w:val="single"/>
          <w:lang w:val="en-US" w:eastAsia="zh-CN"/>
        </w:rPr>
        <w:t xml:space="preserve">          </w:t>
      </w:r>
      <w:r>
        <w:rPr>
          <w:rFonts w:hint="eastAsia" w:ascii="宋体" w:hAnsi="宋体" w:eastAsia="宋体" w:cs="宋体"/>
          <w:color w:val="auto"/>
          <w:spacing w:val="2"/>
          <w:sz w:val="31"/>
          <w:szCs w:val="31"/>
          <w:u w:val="single" w:color="auto"/>
        </w:rPr>
        <w:t xml:space="preserve"> </w:t>
      </w:r>
    </w:p>
    <w:p w14:paraId="729E2B35">
      <w:pPr>
        <w:spacing w:line="360" w:lineRule="auto"/>
        <w:jc w:val="center"/>
        <w:rPr>
          <w:rFonts w:hint="eastAsia" w:ascii="宋体" w:hAnsi="宋体" w:eastAsia="宋体" w:cs="宋体"/>
          <w:b/>
          <w:bCs/>
          <w:color w:val="auto"/>
          <w:kern w:val="44"/>
          <w:sz w:val="32"/>
          <w:szCs w:val="32"/>
          <w:lang w:val="en-US" w:eastAsia="zh-CN" w:bidi="ar-SA"/>
        </w:rPr>
      </w:pPr>
      <w:r>
        <w:rPr>
          <w:rFonts w:hint="eastAsia" w:ascii="宋体" w:hAnsi="宋体" w:eastAsia="宋体" w:cs="宋体"/>
          <w:b/>
          <w:bCs/>
          <w:color w:val="auto"/>
          <w:kern w:val="44"/>
          <w:sz w:val="32"/>
          <w:szCs w:val="32"/>
          <w:lang w:val="en-US" w:eastAsia="zh-CN" w:bidi="ar-SA"/>
        </w:rPr>
        <w:t>合同主要条款</w:t>
      </w:r>
    </w:p>
    <w:p w14:paraId="6D32E375">
      <w:pPr>
        <w:spacing w:line="360" w:lineRule="auto"/>
        <w:ind w:firstLine="482" w:firstLineChars="200"/>
        <w:rPr>
          <w:rFonts w:ascii="宋体" w:hAnsi="宋体"/>
          <w:b/>
          <w:bCs/>
          <w:color w:val="auto"/>
          <w:sz w:val="28"/>
          <w:szCs w:val="32"/>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p>
    <w:p w14:paraId="492E6DF0">
      <w:pPr>
        <w:autoSpaceDE w:val="0"/>
        <w:autoSpaceDN w:val="0"/>
        <w:adjustRightInd w:val="0"/>
        <w:spacing w:line="360" w:lineRule="auto"/>
        <w:rPr>
          <w:rFonts w:hint="eastAsia" w:ascii="宋体" w:hAnsi="宋体" w:eastAsia="宋体" w:cs="宋体"/>
          <w:b/>
          <w:bCs/>
          <w:color w:val="auto"/>
          <w:sz w:val="24"/>
          <w:szCs w:val="24"/>
        </w:rPr>
      </w:pPr>
    </w:p>
    <w:p w14:paraId="1248106A">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甲方（采购方）：</w:t>
      </w:r>
      <w:r>
        <w:rPr>
          <w:rFonts w:hint="eastAsia" w:ascii="宋体" w:hAnsi="宋体" w:cs="宋体"/>
          <w:color w:val="auto"/>
          <w:sz w:val="24"/>
          <w:szCs w:val="24"/>
          <w:lang w:eastAsia="zh-CN"/>
        </w:rPr>
        <w:t>安康市中医医院</w:t>
      </w:r>
      <w:r>
        <w:rPr>
          <w:rFonts w:hint="eastAsia" w:ascii="宋体" w:hAnsi="宋体" w:eastAsia="宋体" w:cs="宋体"/>
          <w:color w:val="auto"/>
          <w:sz w:val="24"/>
          <w:szCs w:val="24"/>
        </w:rPr>
        <w:t xml:space="preserve"> </w:t>
      </w:r>
    </w:p>
    <w:p w14:paraId="785C4319">
      <w:pPr>
        <w:spacing w:line="460" w:lineRule="exact"/>
        <w:rPr>
          <w:rFonts w:hint="eastAsia" w:ascii="宋体" w:hAnsi="宋体" w:eastAsia="宋体" w:cs="宋体"/>
          <w:color w:val="auto"/>
          <w:sz w:val="24"/>
          <w:szCs w:val="24"/>
        </w:rPr>
      </w:pPr>
    </w:p>
    <w:p w14:paraId="79F25572">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乙方（服务方）：________________________ </w:t>
      </w:r>
    </w:p>
    <w:p w14:paraId="62A681AA">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05DFE0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为切实做好电力系统及设备维护管理工作，保证医院工作正常进行，甲方委托乙方进行电力系统及设备维护保养（以下简称维保）服务工作。依据《中华人民共和国民法典》及相关法律法规，经过甲乙双方充分协商，签订本合同。</w:t>
      </w:r>
    </w:p>
    <w:p w14:paraId="1CC3E6FC">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一、维保范围及合同起止时间</w:t>
      </w:r>
    </w:p>
    <w:p w14:paraId="6B74819F">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（一）维保范围：包括安康市中医医院本部、培训中心、文昌综合楼、眼科医院，传承大楼等电力系统设备</w:t>
      </w:r>
    </w:p>
    <w:p w14:paraId="737C5961">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医院本部：电力设备有1600KVA配变两台，1000KVA配变两台，375KVA发电机一台，污水处理站一台100KVA变压器，内科大楼高、低压配电室一个，外科大楼高、低压配电室各一个，行政楼高、低压配电室各一个，门诊辅楼一个，污水处理站配电箱两个，直流屏2套</w:t>
      </w:r>
    </w:p>
    <w:p w14:paraId="335B21DD">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2．培训中心：电力设备有250KVA配变一台，低压配电柜四台，150KVA发电机一台，一楼楼道配电柜一台</w:t>
      </w:r>
    </w:p>
    <w:p w14:paraId="705DF29D">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3．文昌综合楼：区域涉及电力设备有630KVA配变一台，文昌路门房高、低压配电室一个，文昌综合楼低压配电室一个</w:t>
      </w:r>
    </w:p>
    <w:p w14:paraId="16F35FEF">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4．眼科医院：低压配电室一个</w:t>
      </w:r>
    </w:p>
    <w:p w14:paraId="2E36547C">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5．传承大楼：负一楼、屋面配电室各一个，1250KVA配变2台，800KVA配变4台，KYN28高压柜16台，直流屏1套，低压配电柜39台，1250KVA发电机1台，KYN28高压柜2台，低压配电柜10台。</w:t>
      </w:r>
    </w:p>
    <w:p w14:paraId="34586701">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（二）合同起止</w:t>
      </w:r>
      <w:r>
        <w:rPr>
          <w:rFonts w:hint="eastAsia" w:ascii="宋体" w:hAnsi="宋体" w:eastAsia="宋体" w:cs="宋体"/>
          <w:color w:val="000000"/>
          <w:sz w:val="24"/>
          <w:szCs w:val="24"/>
          <w:lang w:val="en-US" w:eastAsia="zh-CN"/>
        </w:rPr>
        <w:t>日期</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lang w:val="en-US" w:eastAsia="zh-CN"/>
        </w:rPr>
        <w:t>起至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lang w:val="en-US" w:eastAsia="zh-CN"/>
        </w:rPr>
        <w:t>止，合同履行期限为</w:t>
      </w:r>
      <w:r>
        <w:rPr>
          <w:rFonts w:hint="eastAsia" w:ascii="宋体" w:hAnsi="宋体" w:eastAsia="宋体" w:cs="宋体"/>
          <w:color w:val="000000"/>
          <w:sz w:val="24"/>
          <w:szCs w:val="24"/>
          <w:u w:val="single"/>
          <w:lang w:val="en-US" w:eastAsia="zh-CN"/>
        </w:rPr>
        <w:t xml:space="preserve"> 壹 </w:t>
      </w:r>
      <w:r>
        <w:rPr>
          <w:rFonts w:hint="eastAsia" w:ascii="宋体" w:hAnsi="宋体" w:eastAsia="宋体" w:cs="宋体"/>
          <w:color w:val="000000"/>
          <w:sz w:val="24"/>
          <w:szCs w:val="24"/>
          <w:lang w:val="en-US" w:eastAsia="zh-CN"/>
        </w:rPr>
        <w:t>年</w:t>
      </w:r>
    </w:p>
    <w:p w14:paraId="0BC3791C">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2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二、维保服务内容</w:t>
      </w:r>
    </w:p>
    <w:p w14:paraId="7306E9B7">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在医院总务科的领导下，负责医院电力系统及设备的日常维护保养检测工作，保证设备正常运行，并做好电力应急抢修工作。同时，做好电力系统及设备检测维保相关表格的填写签字工作。</w:t>
      </w:r>
    </w:p>
    <w:p w14:paraId="5BA1442F">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（一）关于变压器方面</w:t>
      </w:r>
    </w:p>
    <w:p w14:paraId="22F9CEBF">
      <w:pPr>
        <w:keepNext w:val="0"/>
        <w:keepLines w:val="0"/>
        <w:pageBreakBefore w:val="0"/>
        <w:widowControl w:val="0"/>
        <w:kinsoku/>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负责医院共计13台配变的维保工作。设备地点为：市中医医院培训中心（250KVA配变一台）；内科大楼（1600KVA、1000KVA配变各一台；外科大楼（1600KVA配变一台）；教学楼（1000KVA配变一台）；文昌综合楼（630KVA配变一台）；中心污水处理站（100KVA配变一台）；传承综合楼（1250KVA 配变两台，800KVA配变四台）维保内容包括：</w:t>
      </w:r>
    </w:p>
    <w:p w14:paraId="5E0AAD9A">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负责监测医院配变主要内容：包括配变油位监测，绝缘强度监测，继电保护装置监测，负荷监测，设备连接紧固监测，本体开关监测，动作跳闸试验监测，吸湿器监测等内容，保持电力系统及设备正常运行。并负责现场设备灰尘、配电室积水等隐患因素的排查处理工作。以上工作内容每月进行一次。</w:t>
      </w:r>
    </w:p>
    <w:p w14:paraId="58D9B894">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2．变压器油质及本体检测，要求每年进行一次。</w:t>
      </w:r>
    </w:p>
    <w:p w14:paraId="2DACA1F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（二）关于电缆方面</w:t>
      </w:r>
    </w:p>
    <w:p w14:paraId="1FC1504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负责监测电缆的数量、型号与规格并完善标识及技术数据，检查供受电设备是否与实际情况相符合，是否过载及发热现象，检查电缆沟排水情况，检查因人力或机械损伤保护层等隐患因素，并组织安排解决，以上工作每月进行一次。</w:t>
      </w:r>
    </w:p>
    <w:p w14:paraId="667993BE">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（三）关于高低压配电柜方面</w:t>
      </w:r>
    </w:p>
    <w:p w14:paraId="1BF4B3EC">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负责全院高低压配电柜的维保。共126台设备。设备分配地点为：培训中心（250KVA配变一台）含低压配电柜5台；内科大楼（1600KVA、1000KVA配变各一台）含高压配电柜4台，直流屏1台，低压配电柜19台；外科大楼（1600KVA 配变一台）含高压配电柜4台，直流屏1台，低压配电柜8台；教学楼1000KVA配变一台）含高压配电柜2台，低压配电柜5台；文昌综合楼（630KVA配变一台）含高压配电柜2台，低压配电柜7台，传承综合楼（1250KVA配变2台，800KVA 配变4台）含KYN28高压柜18台，直流屏1台，低压配电柜49台。</w:t>
      </w:r>
    </w:p>
    <w:p w14:paraId="71B28644">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2．维保内容包括：负责设备的定期巡查检测，高低压开关监测，继电保护检测，低压配电柜的日常维护检测，无功补偿管理，设备技术改造，以上工作每月进行一次。</w:t>
      </w:r>
    </w:p>
    <w:p w14:paraId="33CA2930">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（四）关于发电机方面</w:t>
      </w:r>
    </w:p>
    <w:p w14:paraId="4B4FC7D9">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负责发电机的管理及定期启动工作。设备地点：教学楼负一楼、传承楼及培训中心各一台。每月开机两次，启动前检查发电机油位、油管、机油、水、电瓶各项设备是否良好并做好相关记录，检测完毕后启动发电机并运行15分钟，检测并记录运行期间设备各项指标是否正常，如有异常当即处理，涉及油料更换由甲方自行承担。</w:t>
      </w:r>
    </w:p>
    <w:p w14:paraId="43DC7FB6">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2．在医院如遇长时间停电情况时，乙方必须到场配合甲方启动设备保障临床科室供电。</w:t>
      </w:r>
    </w:p>
    <w:p w14:paraId="3B23FBB4">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（五）应急方面</w:t>
      </w:r>
    </w:p>
    <w:p w14:paraId="41215674">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1．甲方电力系统及设备存在故障时，需乙方在60分钟以内</w:t>
      </w:r>
      <w:r>
        <w:rPr>
          <w:rFonts w:hint="eastAsia" w:ascii="宋体" w:hAnsi="宋体" w:cs="宋体"/>
          <w:color w:val="000000"/>
          <w:sz w:val="24"/>
          <w:szCs w:val="24"/>
          <w:lang w:val="en-US" w:eastAsia="zh-CN"/>
        </w:rPr>
        <w:t>到达</w:t>
      </w:r>
      <w:r>
        <w:rPr>
          <w:rFonts w:hint="eastAsia" w:ascii="宋体" w:hAnsi="宋体" w:eastAsia="宋体" w:cs="宋体"/>
          <w:color w:val="000000"/>
          <w:sz w:val="24"/>
          <w:szCs w:val="24"/>
        </w:rPr>
        <w:t>现场，予以协助处理。</w:t>
      </w:r>
    </w:p>
    <w:p w14:paraId="1F039334">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2．甲方在进行排放电缆等大型作业方面，乙方需派专业人员到达现场配合完成。</w:t>
      </w:r>
    </w:p>
    <w:p w14:paraId="5B59508E">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3．具备足够的应急措施和人员应对突发医疗紧急状况，服从院方安排，当紧急突发事件发生时，以最快速度调集大量人力赶赴现场进行支援。</w:t>
      </w:r>
    </w:p>
    <w:p w14:paraId="3F83255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三、甲乙双方责任</w:t>
      </w:r>
    </w:p>
    <w:p w14:paraId="10ADC2C8">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（一）甲方负责对乙方工作的监督检查与考核。</w:t>
      </w:r>
    </w:p>
    <w:p w14:paraId="1FFC09D0">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甲方对全院供电设备拥有所有权，乙方在甲方的领导下工作，不得擅自调整、更换医院电力系统布局及设施：未经甲方同意，乙方不得委托第三方承担维保内容。出现此类情况的，违规责任由乙方负责，并且甲方有权单方面解除维保合同。</w:t>
      </w:r>
    </w:p>
    <w:p w14:paraId="7E0F4F8B">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乙方单次不遵守安全规定的；乙方超过2次及以上未及时完成工作的；乙方超过2次及以上工作不达标的：甲方电力系统设备出现故障需乙方解决的，乙方超过2次应急不到位的。出现以上情况的，甲方可以单方面解除维保合同。</w:t>
      </w:r>
    </w:p>
    <w:p w14:paraId="2A62540D">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（四）甲方总务科根据合同，每月对于甲方工作进行考核并汇总成纸质文件形成考核记录，乙方在积极完成工作后及时完成纸质表格的填写记录。乙方未及时完成工作，或工作不达标的，甲方有权视情节从</w:t>
      </w:r>
      <w:r>
        <w:rPr>
          <w:rFonts w:hint="eastAsia" w:ascii="宋体" w:hAnsi="宋体" w:eastAsia="宋体" w:cs="宋体"/>
          <w:color w:val="000000"/>
          <w:sz w:val="24"/>
          <w:szCs w:val="24"/>
          <w:lang w:val="en-US" w:eastAsia="zh-CN"/>
        </w:rPr>
        <w:t>服务费中扣除</w:t>
      </w:r>
      <w:r>
        <w:rPr>
          <w:rFonts w:hint="eastAsia" w:ascii="宋体" w:hAnsi="宋体" w:eastAsia="宋体" w:cs="宋体"/>
          <w:color w:val="000000"/>
          <w:sz w:val="24"/>
          <w:szCs w:val="24"/>
        </w:rPr>
        <w:t>500元-2000元。</w:t>
      </w:r>
    </w:p>
    <w:p w14:paraId="50E3B23F">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（五）甲方做好维保区域内各项协调工作，确保乙方能正常开展各项工作。因甲方协调不到位，责任由甲方负责。</w:t>
      </w:r>
    </w:p>
    <w:p w14:paraId="7CD5C54B">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（六）乙方维保工作须严格遵守电力安全操作规定，加强施工人员安全防护，因工作失误造成的损失及事故由乙方自行承担；造成其他损失的，乙方须赔偿甲方损失。</w:t>
      </w:r>
    </w:p>
    <w:p w14:paraId="2E06F27B">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（七）乙方有权对电力系统及设备的维保做好建议。建议方式要以公司及法人签字公章的正式公文送达，不得随意以其他形式如口头等形式表达。甲方收到正式公文要及时予以回复。</w:t>
      </w:r>
    </w:p>
    <w:p w14:paraId="42895937">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（八）乙方维保服务项目涉及全院高低压配变及设备，电缆，发电机，二级控制柜。</w:t>
      </w:r>
    </w:p>
    <w:p w14:paraId="6530E356">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（九）乙方维保服务项目不包含新增或在建设备，后增加内容，双方进行商议。</w:t>
      </w:r>
    </w:p>
    <w:p w14:paraId="64289097">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（十）在项目实施过程中，乙方还应做好与供电局方面的沟通、协调工作；乙方派往甲方维保人员必须持高、低电工操作证，并随合同留存证件复印件。</w:t>
      </w:r>
    </w:p>
    <w:p w14:paraId="13A96824">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（十一）电力系统及设备维护保养记录手册寄存水电班办公室，用查询设备往日维保工作及设备使用记录。（维保工作中乙方携带）</w:t>
      </w:r>
    </w:p>
    <w:p w14:paraId="30EE43BA">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（十二）设备检修更换材料费用在2000.00元以内由乙方负责，维修材料在2000.00元以上材料费由甲方提供。</w:t>
      </w:r>
    </w:p>
    <w:p w14:paraId="51E490BB">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（十三）配合医院做好迎接各类检查和突发性公共卫生事件等应急工作，完成疫情防控相关工作任务，按时参加总务科工作例会和沟通协调座谈会。</w:t>
      </w:r>
    </w:p>
    <w:p w14:paraId="6A1437E5">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w:t>
      </w:r>
      <w:r>
        <w:rPr>
          <w:rFonts w:hint="eastAsia" w:ascii="宋体" w:hAnsi="宋体" w:eastAsia="宋体" w:cs="宋体"/>
          <w:b/>
          <w:bCs/>
          <w:color w:val="000000"/>
          <w:sz w:val="24"/>
          <w:szCs w:val="24"/>
          <w:lang w:val="en-US" w:eastAsia="zh-CN"/>
        </w:rPr>
        <w:t>合同</w:t>
      </w:r>
      <w:r>
        <w:rPr>
          <w:rFonts w:hint="eastAsia" w:ascii="宋体" w:hAnsi="宋体" w:eastAsia="宋体" w:cs="宋体"/>
          <w:b/>
          <w:bCs/>
          <w:color w:val="000000"/>
          <w:sz w:val="24"/>
          <w:szCs w:val="24"/>
        </w:rPr>
        <w:t>金额及付款方式</w:t>
      </w:r>
    </w:p>
    <w:p w14:paraId="4CF547D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合同总价以中标价为准，合同总价一次性包死，不受市场价格变化因素的影响，合同总价款为人民币：大写：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整（小写¥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），含税费。</w:t>
      </w:r>
    </w:p>
    <w:p w14:paraId="6E1809CF">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（一）付款方式：电力系统安全管理服务费按月考核结果结算，次月25日前甲方将上个月维保费用（节假日顺延）转账支付乙方，乙方需提供合规票据。</w:t>
      </w:r>
    </w:p>
    <w:p w14:paraId="55EAADF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（二）付款时，乙方需提供甲方考核单，每月考核情况与服务费用挂钩。</w:t>
      </w:r>
    </w:p>
    <w:p w14:paraId="03BBCD26">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五、附则</w:t>
      </w:r>
    </w:p>
    <w:p w14:paraId="3B241D28">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双方协商同意的有关修改变更文件、洽商记录也是本合同的组成部分；</w:t>
      </w:r>
    </w:p>
    <w:p w14:paraId="74ADE3D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（二）甲方指定代表</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；乙方指定项目负责人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78EC6FF3">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）投标文件作为本合同有效附件；</w:t>
      </w:r>
    </w:p>
    <w:p w14:paraId="54D7D1E8">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）本合同未尽事宜，双方另行解决；</w:t>
      </w:r>
      <w:r>
        <w:rPr>
          <w:rFonts w:hint="eastAsia" w:ascii="宋体" w:hAnsi="宋体" w:eastAsia="宋体" w:cs="宋体"/>
          <w:color w:val="000000"/>
          <w:sz w:val="24"/>
          <w:szCs w:val="24"/>
        </w:rPr>
        <mc:AlternateContent>
          <mc:Choice Requires="wps">
            <w:drawing>
              <wp:anchor distT="0" distB="0" distL="114300" distR="114300" simplePos="0" relativeHeight="251668480" behindDoc="0" locked="0" layoutInCell="1" allowOverlap="1">
                <wp:simplePos x="0" y="0"/>
                <wp:positionH relativeFrom="page">
                  <wp:posOffset>800100</wp:posOffset>
                </wp:positionH>
                <wp:positionV relativeFrom="page">
                  <wp:posOffset>5181600</wp:posOffset>
                </wp:positionV>
                <wp:extent cx="4191000" cy="228600"/>
                <wp:effectExtent l="0" t="0" r="0" b="0"/>
                <wp:wrapNone/>
                <wp:docPr id="16" name="文本框 2"/>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3840D0">
                            <w:pPr>
                              <w:wordWrap w:val="0"/>
                              <w:autoSpaceDE w:val="0"/>
                              <w:autoSpaceDN w:val="0"/>
                              <w:spacing w:before="0" w:after="0" w:line="330" w:lineRule="auto"/>
                              <w:ind w:right="40"/>
                              <w:jc w:val="both"/>
                              <w:rPr>
                                <w:rFonts w:hint="eastAsia" w:ascii="宋体" w:hAnsi="宋体" w:eastAsia="宋体" w:cstheme="minorBidi"/>
                                <w:color w:val="000000"/>
                                <w:sz w:val="33"/>
                              </w:rPr>
                            </w:pPr>
                          </w:p>
                        </w:txbxContent>
                      </wps:txbx>
                      <wps:bodyPr wrap="square" lIns="25400" tIns="0" rIns="25400" bIns="0">
                        <a:noAutofit/>
                      </wps:bodyPr>
                    </wps:wsp>
                  </a:graphicData>
                </a:graphic>
              </wp:anchor>
            </w:drawing>
          </mc:Choice>
          <mc:Fallback>
            <w:pict>
              <v:shape id="文本框 2" o:spid="_x0000_s1026" o:spt="202" type="#_x0000_t202" style="position:absolute;left:0pt;margin-left:63pt;margin-top:408pt;height:18pt;width:330pt;mso-position-horizontal-relative:page;mso-position-vertical-relative:page;z-index:251668480;mso-width-relative:page;mso-height-relative:page;" filled="f" stroked="f" coordsize="21600,21600" o:gfxdata="UEsDBAoAAAAAAIdO4kAAAAAAAAAAAAAAAAAEAAAAZHJzL1BLAwQUAAAACACHTuJAfIVb/tcAAAAL&#10;AQAADwAAAGRycy9kb3ducmV2LnhtbE1Py07DMBC8I/EP1iJxo3YitUQhTgVIiCK4tLyubrLEEfE6&#10;it0m/Xs2p3Kb2RnNzhTryXXiiENoPWlIFgoEUuXrlhoNH+9PNxmIEA3VpvOEGk4YYF1eXhQmr/1I&#10;WzzuYiM4hEJuNNgY+1zKUFl0Jix8j8Tajx+ciUyHRtaDGTncdTJVaiWdaYk/WNPjo8Xqd3dwGh6y&#10;5814//n9Otnl9uslobA5vQWtr68SdQci4hTPZpjrc3UoudPeH6gOomOernhL1JAlM2DHbTaDPV+W&#10;qQJZFvL/hvIPUEsDBBQAAAAIAIdO4kBLhVF04gEAAK0DAAAOAAAAZHJzL2Uyb0RvYy54bWytU0uO&#10;EzEQ3SNxB8t70r9JD2mlMwJFg5AQIA0cwHHbaUv+YTvpzgXgBqzYsOdcOQdld09mNGxmwcZtVz2/&#10;qvdcvb4ZlURH5rwwusXFIseIaWo6ofct/vrl9tVrjHwguiPSaNbiE/P4ZvPyxXqwDStNb2THHAIS&#10;7ZvBtrgPwTZZ5mnPFPELY5mGJDdOkQBHt886RwZgVzIr87zOBuM66wxl3kN0OyXxzOieQ2g4F5Rt&#10;DT0opsPE6pgkAST5XliPN6lbzhkNnzj3LCDZYlAa0gpFYL+La7ZZk2bviO0FnVsgz2nhiSZFhIai&#10;F6otCQQdnPiHSgnqjDc8LKhR2SQkOQIqivyJN3c9sSxpAau9vZju/x8t/Xj87JDoYBJqjDRR8OLn&#10;nz/Ov/6cf39HZfRnsL4B2J0FYBjfmhGw93EPwSh75E7FLwhCMV/nxdU1eHxqcVlUq6pYTk6zMSAK&#10;AAiWq3qJEQVEVV3X5Sohsgcq63x4x4xCcdNiB0+ZHCbHDz5AWwC9h8TK2twKKdNzSo2GFtfVMk8X&#10;Lhm4ITVcjIKmxuMujLtxVrkz3QlEDjAOLfbfDsQxjOR7DX6Xy6s8zk86wMY9ju7m6NTHm0MwXKQW&#10;I/9EOpeFV0ydzxMXx+TxOaEe/rLN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yFW/7XAAAACwEA&#10;AA8AAAAAAAAAAQAgAAAAIgAAAGRycy9kb3ducmV2LnhtbFBLAQIUABQAAAAIAIdO4kBLhVF04gEA&#10;AK0DAAAOAAAAAAAAAAEAIAAAACYBAABkcnMvZTJvRG9jLnhtbFBLBQYAAAAABgAGAFkBAAB6BQAA&#10;AAA=&#10;">
                <v:fill on="f" focussize="0,0"/>
                <v:stroke on="f" weight="0.5pt"/>
                <v:imagedata o:title=""/>
                <o:lock v:ext="edit" aspectratio="f"/>
                <v:textbox inset="2pt,0mm,2pt,0mm">
                  <w:txbxContent>
                    <w:p w14:paraId="183840D0">
                      <w:pPr>
                        <w:wordWrap w:val="0"/>
                        <w:autoSpaceDE w:val="0"/>
                        <w:autoSpaceDN w:val="0"/>
                        <w:spacing w:before="0" w:after="0" w:line="330" w:lineRule="auto"/>
                        <w:ind w:right="40"/>
                        <w:jc w:val="both"/>
                        <w:rPr>
                          <w:rFonts w:hint="eastAsia" w:ascii="宋体" w:hAnsi="宋体" w:eastAsia="宋体" w:cstheme="minorBidi"/>
                          <w:color w:val="000000"/>
                          <w:sz w:val="33"/>
                        </w:rPr>
                      </w:pPr>
                    </w:p>
                  </w:txbxContent>
                </v:textbox>
              </v:shape>
            </w:pict>
          </mc:Fallback>
        </mc:AlternateContent>
      </w:r>
      <w:r>
        <w:rPr>
          <w:rFonts w:hint="eastAsia" w:ascii="宋体" w:hAnsi="宋体" w:eastAsia="宋体" w:cs="宋体"/>
          <w:color w:val="000000"/>
          <w:sz w:val="24"/>
          <w:szCs w:val="24"/>
        </w:rPr>
        <mc:AlternateContent>
          <mc:Choice Requires="wps">
            <w:drawing>
              <wp:anchor distT="0" distB="0" distL="114300" distR="114300" simplePos="0" relativeHeight="251668480" behindDoc="0" locked="0" layoutInCell="1" allowOverlap="1">
                <wp:simplePos x="0" y="0"/>
                <wp:positionH relativeFrom="page">
                  <wp:posOffset>1714500</wp:posOffset>
                </wp:positionH>
                <wp:positionV relativeFrom="page">
                  <wp:posOffset>5486400</wp:posOffset>
                </wp:positionV>
                <wp:extent cx="1206500" cy="558800"/>
                <wp:effectExtent l="0" t="0" r="0" b="0"/>
                <wp:wrapNone/>
                <wp:docPr id="17" name="文本框 2"/>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DD339">
                            <w:pPr>
                              <w:autoSpaceDE w:val="0"/>
                              <w:autoSpaceDN w:val="0"/>
                              <w:spacing w:before="0" w:after="0" w:line="239" w:lineRule="auto"/>
                              <w:ind w:firstLine="0"/>
                              <w:jc w:val="both"/>
                              <w:rPr>
                                <w:sz w:val="34"/>
                              </w:rPr>
                            </w:pPr>
                          </w:p>
                        </w:txbxContent>
                      </wps:txbx>
                      <wps:bodyPr wrap="square" lIns="25400" tIns="0" rIns="25400" bIns="0">
                        <a:noAutofit/>
                      </wps:bodyPr>
                    </wps:wsp>
                  </a:graphicData>
                </a:graphic>
              </wp:anchor>
            </w:drawing>
          </mc:Choice>
          <mc:Fallback>
            <w:pict>
              <v:shape id="文本框 2" o:spid="_x0000_s1026" o:spt="202" type="#_x0000_t202" style="position:absolute;left:0pt;margin-left:135pt;margin-top:432pt;height:44pt;width:95pt;mso-position-horizontal-relative:page;mso-position-vertical-relative:page;z-index:251668480;mso-width-relative:page;mso-height-relative:page;" filled="f" stroked="f" coordsize="21600,21600" o:gfxdata="UEsDBAoAAAAAAIdO4kAAAAAAAAAAAAAAAAAEAAAAZHJzL1BLAwQUAAAACACHTuJAO4AoBdsAAAAL&#10;AQAADwAAAGRycy9kb3ducmV2LnhtbE2PwU7DMBBE70j8g7VI3KidqA1pyKYCJEQRXFooXN3YxBHx&#10;OordJv173BPcdndGs2/K1WQ7dtSDbx0hJDMBTFPtVEsNwsf7000OzAdJSnaONMJJe1hVlxelLJQb&#10;aaOP29CwGEK+kAgmhL7g3NdGW+lnrtcUtW83WBniOjRcDXKM4bbjqRAZt7Kl+MHIXj8aXf9sDxbh&#10;IX9ej/e7r9fJLDafLwn59enNI15fJeIOWNBT+DPDGT+iQxWZ9u5AyrMOIb0VsUtAyLN5HKJjnp0v&#10;e4TlIhXAq5L/71D9AlBLAwQUAAAACACHTuJAuwrQ/OMBAACtAwAADgAAAGRycy9lMm9Eb2MueG1s&#10;rVNLbtswEN0X6B0I7mv9YrsWLActjBQFirZA2gPQFGkR4K8kbckXaG/QVTfd91w+R4eU4gTJJots&#10;KHLm8c28x9H6elASHZnzwugGF7McI6apaYXeN/j7t5s3bzHygeiWSKNZg0/M4+vN61fr3tasNJ2R&#10;LXMISLSve9vgLgRbZ5mnHVPEz4xlGpLcOEUCHN0+ax3pgV3JrMzzRdYb11pnKPMeotsxiSdG9xxC&#10;w7mgbGvoQTEdRlbHJAkgyXfCerxJ3XLOaPjCuWcByQaD0pBWKAL7XVyzzZrUe0dsJ+jUAnlOC480&#10;KSI0FL1QbUkg6ODEEyolqDPe8DCjRmWjkOQIqCjyR97cdsSypAWs9vZiun85Wvr5+NUh0cIkLDHS&#10;RMGLn3//Ov/5d/77E5XRn976GmC3FoBheG8GwN7FPQSj7IE7Fb8gCMX8Ii+uluDxqcFlUa2qYj46&#10;zYaAKAAgWK4Wc4woIKpquShXCZHdU1nnwwdmFIqbBjt4yuQwOX7yAdoC6B0kVtbmRkiZnlNq1Dd4&#10;Uc3zdOGSgRtSw8UoaGw87sKwGyaVO9OeQGQP49Bg/+NAHMNIftTgdzm/yuP8pANs3MPoboqOfbw7&#10;BMNFajHyj6RTWXjF1Pk0cXFMHp4T6v4v2/w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4AoBdsA&#10;AAALAQAADwAAAAAAAAABACAAAAAiAAAAZHJzL2Rvd25yZXYueG1sUEsBAhQAFAAAAAgAh07iQLsK&#10;0PzjAQAArQMAAA4AAAAAAAAAAQAgAAAAKgEAAGRycy9lMm9Eb2MueG1sUEsFBgAAAAAGAAYAWQEA&#10;AH8FAAAAAA==&#10;">
                <v:fill on="f" focussize="0,0"/>
                <v:stroke on="f" weight="0.5pt"/>
                <v:imagedata o:title=""/>
                <o:lock v:ext="edit" aspectratio="f"/>
                <v:textbox inset="2pt,0mm,2pt,0mm">
                  <w:txbxContent>
                    <w:p w14:paraId="7EADD339">
                      <w:pPr>
                        <w:autoSpaceDE w:val="0"/>
                        <w:autoSpaceDN w:val="0"/>
                        <w:spacing w:before="0" w:after="0" w:line="239" w:lineRule="auto"/>
                        <w:ind w:firstLine="0"/>
                        <w:jc w:val="both"/>
                        <w:rPr>
                          <w:sz w:val="34"/>
                        </w:rPr>
                      </w:pPr>
                    </w:p>
                  </w:txbxContent>
                </v:textbox>
              </v:shape>
            </w:pict>
          </mc:Fallback>
        </mc:AlternateContent>
      </w:r>
    </w:p>
    <w:p w14:paraId="433A31C5">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）本合同一式六份，甲方持伍份，乙方持壹份。</w:t>
      </w:r>
    </w:p>
    <w:p w14:paraId="07B4D5C2">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p>
    <w:p w14:paraId="3F81450C">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firstLine="600"/>
        <w:jc w:val="both"/>
        <w:textAlignment w:val="auto"/>
        <w:rPr>
          <w:rFonts w:hint="eastAsia" w:ascii="宋体" w:hAnsi="宋体" w:eastAsia="宋体" w:cs="宋体"/>
          <w:color w:val="000000"/>
          <w:sz w:val="24"/>
          <w:szCs w:val="24"/>
        </w:rPr>
      </w:pPr>
    </w:p>
    <w:p w14:paraId="2EFC6BAF">
      <w:pPr>
        <w:keepNext w:val="0"/>
        <w:keepLines w:val="0"/>
        <w:pageBreakBefore w:val="0"/>
        <w:widowControl w:val="0"/>
        <w:kinsoku/>
        <w:wordWrap w:val="0"/>
        <w:overflowPunct/>
        <w:topLinePunct w:val="0"/>
        <w:autoSpaceDE w:val="0"/>
        <w:autoSpaceDN w:val="0"/>
        <w:bidi w:val="0"/>
        <w:adjustRightInd/>
        <w:snapToGrid/>
        <w:spacing w:before="0" w:after="0" w:line="520" w:lineRule="exact"/>
        <w:ind w:left="0" w:leftChars="0" w:right="0"/>
        <w:jc w:val="both"/>
        <w:textAlignment w:val="auto"/>
        <w:rPr>
          <w:rFonts w:hint="eastAsia" w:ascii="宋体" w:hAnsi="宋体" w:eastAsia="宋体" w:cs="宋体"/>
          <w:color w:val="000000"/>
          <w:sz w:val="24"/>
          <w:szCs w:val="24"/>
        </w:rPr>
      </w:pPr>
    </w:p>
    <w:p w14:paraId="59CB9EA7">
      <w:pPr>
        <w:keepNext w:val="0"/>
        <w:keepLines w:val="0"/>
        <w:pageBreakBefore w:val="0"/>
        <w:widowControl w:val="0"/>
        <w:kinsoku/>
        <w:overflowPunct/>
        <w:topLinePunct w:val="0"/>
        <w:autoSpaceDE/>
        <w:autoSpaceDN/>
        <w:bidi w:val="0"/>
        <w:adjustRightInd/>
        <w:snapToGrid/>
        <w:spacing w:beforeAutospacing="0" w:afterAutospacing="0" w:line="520" w:lineRule="exact"/>
        <w:ind w:left="4320" w:leftChars="0" w:right="0" w:hanging="4320" w:hangingChars="18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甲方</w:t>
      </w:r>
      <w:r>
        <w:rPr>
          <w:rFonts w:hint="eastAsia" w:ascii="宋体" w:hAnsi="宋体" w:eastAsia="宋体" w:cs="宋体"/>
          <w:sz w:val="24"/>
          <w:szCs w:val="24"/>
        </w:rPr>
        <w:t>：</w:t>
      </w:r>
      <w:r>
        <w:rPr>
          <w:rFonts w:hint="eastAsia" w:ascii="宋体" w:hAnsi="宋体" w:eastAsia="宋体" w:cs="宋体"/>
          <w:sz w:val="24"/>
          <w:szCs w:val="24"/>
          <w:lang w:eastAsia="zh-CN"/>
        </w:rPr>
        <w:t>安康市中医医院</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乙方</w:t>
      </w:r>
      <w:r>
        <w:rPr>
          <w:rFonts w:hint="eastAsia" w:ascii="宋体" w:hAnsi="宋体" w:eastAsia="宋体" w:cs="宋体"/>
          <w:sz w:val="24"/>
          <w:szCs w:val="24"/>
        </w:rPr>
        <w:t>：</w:t>
      </w:r>
    </w:p>
    <w:p w14:paraId="53A13D32">
      <w:pPr>
        <w:keepNext w:val="0"/>
        <w:keepLines w:val="0"/>
        <w:pageBreakBefore w:val="0"/>
        <w:widowControl w:val="0"/>
        <w:kinsoku/>
        <w:overflowPunct/>
        <w:topLinePunct w:val="0"/>
        <w:autoSpaceDE/>
        <w:autoSpaceDN/>
        <w:bidi w:val="0"/>
        <w:adjustRightInd/>
        <w:snapToGrid/>
        <w:spacing w:beforeAutospacing="0" w:afterAutospacing="0" w:line="520" w:lineRule="exact"/>
        <w:ind w:left="0" w:leftChars="0" w:right="0" w:firstLine="480" w:firstLineChars="200"/>
        <w:jc w:val="both"/>
        <w:textAlignment w:val="auto"/>
        <w:rPr>
          <w:rFonts w:hint="eastAsia" w:ascii="宋体" w:hAnsi="宋体" w:eastAsia="宋体" w:cs="宋体"/>
          <w:sz w:val="24"/>
          <w:szCs w:val="24"/>
          <w:lang w:eastAsia="zh-CN"/>
        </w:rPr>
      </w:pPr>
    </w:p>
    <w:p w14:paraId="27E4950F">
      <w:pPr>
        <w:keepNext w:val="0"/>
        <w:keepLines w:val="0"/>
        <w:pageBreakBefore w:val="0"/>
        <w:widowControl w:val="0"/>
        <w:kinsoku/>
        <w:overflowPunct/>
        <w:topLinePunct w:val="0"/>
        <w:autoSpaceDE/>
        <w:autoSpaceDN/>
        <w:bidi w:val="0"/>
        <w:adjustRightInd/>
        <w:snapToGrid/>
        <w:spacing w:beforeAutospacing="0" w:afterAutospacing="0" w:line="520" w:lineRule="exact"/>
        <w:ind w:left="0" w:leftChars="0" w:right="0" w:firstLine="480" w:firstLineChars="200"/>
        <w:jc w:val="both"/>
        <w:textAlignment w:val="auto"/>
        <w:rPr>
          <w:rFonts w:hint="eastAsia" w:ascii="宋体" w:hAnsi="宋体" w:eastAsia="宋体" w:cs="宋体"/>
          <w:sz w:val="24"/>
          <w:szCs w:val="24"/>
          <w:lang w:eastAsia="zh-CN"/>
        </w:rPr>
      </w:pPr>
    </w:p>
    <w:p w14:paraId="084A913C">
      <w:pPr>
        <w:keepNext w:val="0"/>
        <w:keepLines w:val="0"/>
        <w:pageBreakBefore w:val="0"/>
        <w:widowControl w:val="0"/>
        <w:kinsoku/>
        <w:overflowPunct/>
        <w:topLinePunct w:val="0"/>
        <w:autoSpaceDE/>
        <w:autoSpaceDN/>
        <w:bidi w:val="0"/>
        <w:adjustRightInd/>
        <w:snapToGrid/>
        <w:spacing w:beforeAutospacing="0" w:afterAutospacing="0" w:line="52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法</w:t>
      </w:r>
      <w:r>
        <w:rPr>
          <w:rFonts w:hint="eastAsia" w:ascii="宋体" w:hAnsi="宋体" w:eastAsia="宋体" w:cs="宋体"/>
          <w:sz w:val="24"/>
          <w:szCs w:val="24"/>
        </w:rPr>
        <w:t xml:space="preserve">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法</w:t>
      </w:r>
      <w:r>
        <w:rPr>
          <w:rFonts w:hint="eastAsia" w:ascii="宋体" w:hAnsi="宋体" w:eastAsia="宋体" w:cs="宋体"/>
          <w:sz w:val="24"/>
          <w:szCs w:val="24"/>
        </w:rPr>
        <w:t>人：</w:t>
      </w:r>
    </w:p>
    <w:p w14:paraId="6C5F0C81">
      <w:pPr>
        <w:keepNext w:val="0"/>
        <w:keepLines w:val="0"/>
        <w:pageBreakBefore w:val="0"/>
        <w:widowControl w:val="0"/>
        <w:kinsoku/>
        <w:overflowPunct/>
        <w:topLinePunct w:val="0"/>
        <w:autoSpaceDE/>
        <w:autoSpaceDN/>
        <w:bidi w:val="0"/>
        <w:adjustRightInd/>
        <w:snapToGrid/>
        <w:spacing w:beforeAutospacing="0" w:afterAutospacing="0" w:line="520" w:lineRule="exact"/>
        <w:ind w:left="0" w:leftChars="0" w:right="0" w:firstLine="480" w:firstLineChars="200"/>
        <w:jc w:val="both"/>
        <w:textAlignment w:val="auto"/>
        <w:rPr>
          <w:rFonts w:hint="eastAsia" w:ascii="宋体" w:hAnsi="宋体" w:eastAsia="宋体" w:cs="宋体"/>
          <w:sz w:val="24"/>
          <w:szCs w:val="24"/>
          <w:lang w:eastAsia="zh-CN"/>
        </w:rPr>
      </w:pPr>
    </w:p>
    <w:p w14:paraId="6EEFCBCE">
      <w:pPr>
        <w:keepNext w:val="0"/>
        <w:keepLines w:val="0"/>
        <w:pageBreakBefore w:val="0"/>
        <w:widowControl w:val="0"/>
        <w:kinsoku/>
        <w:overflowPunct/>
        <w:topLinePunct w:val="0"/>
        <w:autoSpaceDE/>
        <w:autoSpaceDN/>
        <w:bidi w:val="0"/>
        <w:adjustRightInd/>
        <w:snapToGrid/>
        <w:spacing w:beforeAutospacing="0" w:afterAutospacing="0" w:line="520" w:lineRule="exact"/>
        <w:ind w:left="0" w:leftChars="0" w:right="0" w:firstLine="480" w:firstLineChars="200"/>
        <w:jc w:val="both"/>
        <w:textAlignment w:val="auto"/>
        <w:rPr>
          <w:rFonts w:hint="eastAsia" w:ascii="宋体" w:hAnsi="宋体" w:eastAsia="宋体" w:cs="宋体"/>
          <w:sz w:val="24"/>
          <w:szCs w:val="24"/>
          <w:lang w:eastAsia="zh-CN"/>
        </w:rPr>
      </w:pPr>
    </w:p>
    <w:p w14:paraId="278C565A">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sz w:val="24"/>
          <w:szCs w:val="24"/>
          <w:lang w:eastAsia="zh-CN"/>
        </w:rPr>
        <w:t>日期</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年  月  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日期</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年  月  日</w:t>
      </w:r>
    </w:p>
    <w:p w14:paraId="395A1C90">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55DBDAF6">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bookmarkStart w:id="143" w:name="_Toc24956"/>
    </w:p>
    <w:p w14:paraId="5AFD0579">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67889FE8">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0E2DC28C">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7F6DA171">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4A9B3F3E">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393457FB">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53680EBE">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3E6269C4">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0646A402">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7CCC3CF1">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default" w:eastAsia="宋体"/>
          <w:color w:val="auto"/>
          <w:sz w:val="32"/>
          <w:szCs w:val="32"/>
          <w:lang w:val="en-US" w:eastAsia="zh-CN"/>
        </w:rPr>
      </w:pPr>
      <w:r>
        <w:rPr>
          <w:rFonts w:hint="eastAsia"/>
          <w:b/>
          <w:bCs/>
          <w:color w:val="auto"/>
          <w:sz w:val="36"/>
          <w:szCs w:val="36"/>
          <w:lang w:val="en-US" w:eastAsia="zh-CN"/>
        </w:rPr>
        <w:t>第七部分  响应文件格式</w:t>
      </w:r>
      <w:bookmarkEnd w:id="143"/>
    </w:p>
    <w:p w14:paraId="0C0EC2B8">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p>
    <w:p w14:paraId="18C0D01D">
      <w:pPr>
        <w:keepNext w:val="0"/>
        <w:keepLines w:val="0"/>
        <w:pageBreakBefore w:val="0"/>
        <w:widowControl/>
        <w:kinsoku/>
        <w:wordWrap/>
        <w:overflowPunct/>
        <w:topLinePunct w:val="0"/>
        <w:autoSpaceDE/>
        <w:autoSpaceDN/>
        <w:bidi w:val="0"/>
        <w:adjustRightInd/>
        <w:snapToGrid/>
        <w:spacing w:line="460" w:lineRule="exact"/>
        <w:jc w:val="right"/>
        <w:textAlignment w:val="auto"/>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33FF5849">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
          <w:bCs w:val="0"/>
          <w:color w:val="auto"/>
          <w:sz w:val="32"/>
          <w:szCs w:val="32"/>
          <w:lang w:val="en-US" w:eastAsia="zh-CN"/>
        </w:rPr>
        <w:t>AKSH2026-ZCS-104</w:t>
      </w:r>
      <w:r>
        <w:rPr>
          <w:rFonts w:hint="eastAsia" w:cs="仿宋" w:asciiTheme="minorEastAsia" w:hAnsiTheme="minorEastAsia" w:eastAsiaTheme="minorEastAsia"/>
          <w:bCs/>
          <w:color w:val="auto"/>
          <w:sz w:val="32"/>
          <w:szCs w:val="32"/>
        </w:rPr>
        <w:t xml:space="preserve"> </w:t>
      </w:r>
    </w:p>
    <w:p w14:paraId="58272CC8">
      <w:pPr>
        <w:widowControl/>
        <w:spacing w:line="600" w:lineRule="exact"/>
        <w:rPr>
          <w:rFonts w:cs="仿宋" w:asciiTheme="minorEastAsia" w:hAnsiTheme="minorEastAsia" w:eastAsiaTheme="minorEastAsia"/>
          <w:bCs/>
          <w:color w:val="auto"/>
          <w:spacing w:val="20"/>
          <w:kern w:val="0"/>
          <w:sz w:val="84"/>
          <w:szCs w:val="84"/>
        </w:rPr>
      </w:pPr>
    </w:p>
    <w:p w14:paraId="4B247FE4">
      <w:pPr>
        <w:pStyle w:val="5"/>
        <w:rPr>
          <w:color w:val="auto"/>
        </w:rPr>
      </w:pPr>
    </w:p>
    <w:p w14:paraId="0BB8E873">
      <w:pPr>
        <w:rPr>
          <w:color w:val="auto"/>
        </w:rPr>
      </w:pPr>
    </w:p>
    <w:p w14:paraId="22032571">
      <w:pPr>
        <w:pStyle w:val="5"/>
        <w:rPr>
          <w:color w:val="auto"/>
        </w:rPr>
      </w:pPr>
    </w:p>
    <w:p w14:paraId="4672F789">
      <w:pPr>
        <w:rPr>
          <w:color w:val="auto"/>
        </w:rPr>
      </w:pPr>
    </w:p>
    <w:p w14:paraId="669F9CDB">
      <w:pPr>
        <w:pStyle w:val="23"/>
        <w:jc w:val="center"/>
        <w:rPr>
          <w:rFonts w:hint="default" w:ascii="宋体" w:hAnsi="宋体" w:eastAsia="宋体" w:cs="宋体"/>
          <w:b/>
          <w:bCs/>
          <w:color w:val="auto"/>
          <w:sz w:val="56"/>
          <w:szCs w:val="56"/>
          <w:lang w:val="en-US" w:eastAsia="zh-CN"/>
        </w:rPr>
      </w:pPr>
      <w:r>
        <w:rPr>
          <w:rFonts w:hint="default" w:ascii="宋体" w:hAnsi="宋体" w:eastAsia="宋体" w:cs="宋体"/>
          <w:b/>
          <w:bCs/>
          <w:color w:val="auto"/>
          <w:sz w:val="56"/>
          <w:szCs w:val="56"/>
          <w:lang w:val="en-US" w:eastAsia="zh-CN"/>
        </w:rPr>
        <w:t>安康市中医医院电力系统安全管理</w:t>
      </w:r>
    </w:p>
    <w:p w14:paraId="6C01FB77">
      <w:pPr>
        <w:pStyle w:val="23"/>
        <w:jc w:val="center"/>
        <w:rPr>
          <w:rFonts w:hint="default" w:ascii="宋体" w:hAnsi="宋体" w:eastAsia="宋体" w:cs="宋体"/>
          <w:b/>
          <w:bCs/>
          <w:color w:val="auto"/>
          <w:sz w:val="56"/>
          <w:szCs w:val="56"/>
          <w:lang w:val="en-US" w:eastAsia="zh-CN"/>
        </w:rPr>
      </w:pPr>
      <w:r>
        <w:rPr>
          <w:rFonts w:hint="default" w:ascii="宋体" w:hAnsi="宋体" w:eastAsia="宋体" w:cs="宋体"/>
          <w:b/>
          <w:bCs/>
          <w:color w:val="auto"/>
          <w:sz w:val="56"/>
          <w:szCs w:val="56"/>
          <w:lang w:val="en-US" w:eastAsia="zh-CN"/>
        </w:rPr>
        <w:t>维保服务项目</w:t>
      </w:r>
    </w:p>
    <w:p w14:paraId="01C2B6D4">
      <w:pPr>
        <w:pStyle w:val="23"/>
        <w:jc w:val="center"/>
        <w:rPr>
          <w:rFonts w:ascii="宋体" w:hAnsi="宋体" w:cs="宋体"/>
          <w:b/>
          <w:bCs/>
          <w:color w:val="auto"/>
          <w:sz w:val="48"/>
          <w:szCs w:val="48"/>
        </w:rPr>
      </w:pPr>
    </w:p>
    <w:p w14:paraId="78374220">
      <w:pPr>
        <w:pStyle w:val="23"/>
        <w:rPr>
          <w:color w:val="auto"/>
        </w:rPr>
      </w:pPr>
    </w:p>
    <w:p w14:paraId="311E59DD">
      <w:pPr>
        <w:pStyle w:val="23"/>
        <w:rPr>
          <w:color w:val="auto"/>
        </w:rPr>
      </w:pPr>
    </w:p>
    <w:p w14:paraId="7047C33A">
      <w:pPr>
        <w:pStyle w:val="23"/>
        <w:rPr>
          <w:color w:val="auto"/>
        </w:rPr>
      </w:pPr>
    </w:p>
    <w:p w14:paraId="2C66B48B">
      <w:pPr>
        <w:pStyle w:val="23"/>
        <w:rPr>
          <w:color w:val="auto"/>
        </w:rPr>
      </w:pPr>
    </w:p>
    <w:p w14:paraId="63209FD2">
      <w:pPr>
        <w:widowControl/>
        <w:spacing w:before="163"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1018445A">
      <w:pPr>
        <w:pStyle w:val="23"/>
        <w:rPr>
          <w:color w:val="auto"/>
        </w:rPr>
      </w:pPr>
    </w:p>
    <w:p w14:paraId="55E4DAFB">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r>
        <w:rPr>
          <w:rFonts w:hint="eastAsia" w:cs="仿宋" w:asciiTheme="minorEastAsia" w:hAnsiTheme="minorEastAsia" w:eastAsiaTheme="minorEastAsia"/>
          <w:bCs/>
          <w:color w:val="auto"/>
          <w:sz w:val="44"/>
          <w:szCs w:val="44"/>
        </w:rPr>
        <w:t>（正/副本）</w:t>
      </w:r>
    </w:p>
    <w:p w14:paraId="7D796DA5">
      <w:pPr>
        <w:widowControl/>
        <w:spacing w:line="400" w:lineRule="exact"/>
        <w:rPr>
          <w:rFonts w:cs="仿宋" w:asciiTheme="minorEastAsia" w:hAnsiTheme="minorEastAsia" w:eastAsiaTheme="minorEastAsia"/>
          <w:bCs/>
          <w:color w:val="auto"/>
          <w:sz w:val="18"/>
          <w:szCs w:val="18"/>
        </w:rPr>
      </w:pPr>
    </w:p>
    <w:p w14:paraId="0DDC7EE7">
      <w:pPr>
        <w:widowControl/>
        <w:spacing w:line="400" w:lineRule="exact"/>
        <w:rPr>
          <w:rFonts w:cs="仿宋" w:asciiTheme="minorEastAsia" w:hAnsiTheme="minorEastAsia" w:eastAsiaTheme="minorEastAsia"/>
          <w:bCs/>
          <w:color w:val="auto"/>
          <w:sz w:val="18"/>
          <w:szCs w:val="18"/>
        </w:rPr>
      </w:pPr>
    </w:p>
    <w:p w14:paraId="369108D9">
      <w:pPr>
        <w:widowControl/>
        <w:spacing w:line="400" w:lineRule="exact"/>
        <w:rPr>
          <w:rFonts w:cs="仿宋" w:asciiTheme="minorEastAsia" w:hAnsiTheme="minorEastAsia" w:eastAsiaTheme="minorEastAsia"/>
          <w:bCs/>
          <w:color w:val="auto"/>
          <w:sz w:val="18"/>
          <w:szCs w:val="18"/>
        </w:rPr>
      </w:pPr>
    </w:p>
    <w:p w14:paraId="41666004">
      <w:pPr>
        <w:widowControl/>
        <w:spacing w:line="480" w:lineRule="auto"/>
        <w:rPr>
          <w:rFonts w:cs="仿宋" w:asciiTheme="minorEastAsia" w:hAnsiTheme="minorEastAsia" w:eastAsiaTheme="minorEastAsia"/>
          <w:bCs/>
          <w:color w:val="auto"/>
          <w:sz w:val="36"/>
          <w:szCs w:val="36"/>
        </w:rPr>
      </w:pPr>
    </w:p>
    <w:p w14:paraId="3341BECD">
      <w:pPr>
        <w:widowControl/>
        <w:spacing w:line="480" w:lineRule="auto"/>
        <w:rPr>
          <w:rFonts w:cs="仿宋" w:asciiTheme="minorEastAsia" w:hAnsiTheme="minorEastAsia" w:eastAsiaTheme="minorEastAsia"/>
          <w:bCs/>
          <w:color w:val="auto"/>
          <w:sz w:val="36"/>
          <w:szCs w:val="36"/>
        </w:rPr>
      </w:pPr>
    </w:p>
    <w:p w14:paraId="3F69B29C">
      <w:pPr>
        <w:pStyle w:val="13"/>
        <w:rPr>
          <w:color w:val="auto"/>
        </w:rPr>
      </w:pPr>
    </w:p>
    <w:p w14:paraId="50666522">
      <w:pPr>
        <w:snapToGrid w:val="0"/>
        <w:spacing w:line="56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 xml:space="preserve">____________________________ </w:t>
      </w:r>
    </w:p>
    <w:p w14:paraId="625AB8D4">
      <w:pPr>
        <w:snapToGrid w:val="0"/>
        <w:spacing w:line="560" w:lineRule="exact"/>
        <w:ind w:firstLine="480" w:firstLineChars="200"/>
        <w:jc w:val="left"/>
        <w:rPr>
          <w:rFonts w:cs="Times New Roman"/>
          <w:color w:val="auto"/>
          <w:sz w:val="24"/>
          <w:szCs w:val="24"/>
        </w:rPr>
      </w:pPr>
      <w:r>
        <w:rPr>
          <w:rFonts w:hint="eastAsia" w:ascii="宋体" w:hAnsi="宋体" w:cs="宋体"/>
          <w:color w:val="auto"/>
          <w:sz w:val="24"/>
          <w:szCs w:val="24"/>
          <w:lang w:val="zh-CN"/>
        </w:rPr>
        <w:t>法定代表人或被授权人（签字</w:t>
      </w:r>
      <w:r>
        <w:rPr>
          <w:rFonts w:hint="eastAsia" w:ascii="宋体" w:hAnsi="宋体" w:cs="宋体"/>
          <w:color w:val="auto"/>
          <w:sz w:val="24"/>
          <w:szCs w:val="24"/>
        </w:rPr>
        <w:t>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w:t>
      </w:r>
    </w:p>
    <w:p w14:paraId="28C79CA9">
      <w:pPr>
        <w:snapToGrid w:val="0"/>
        <w:spacing w:line="56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____________________________________________________</w:t>
      </w:r>
    </w:p>
    <w:p w14:paraId="19F61829">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504402ED">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6C6A4304">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5ED78535">
      <w:pPr>
        <w:pStyle w:val="23"/>
        <w:spacing w:line="360" w:lineRule="auto"/>
        <w:ind w:left="1155" w:leftChars="550"/>
        <w:rPr>
          <w:rFonts w:hint="eastAsia" w:ascii="宋体" w:hAnsi="宋体" w:eastAsia="宋体"/>
          <w:color w:val="auto"/>
          <w:sz w:val="32"/>
          <w:szCs w:val="28"/>
          <w:lang w:eastAsia="zh-CN"/>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宋体" w:hAnsi="宋体"/>
          <w:color w:val="auto"/>
          <w:sz w:val="32"/>
          <w:szCs w:val="28"/>
        </w:rPr>
        <w:t>供应商</w:t>
      </w:r>
      <w:r>
        <w:rPr>
          <w:rFonts w:hint="eastAsia" w:ascii="宋体" w:hAnsi="宋体"/>
          <w:color w:val="auto"/>
          <w:sz w:val="32"/>
          <w:szCs w:val="28"/>
          <w:lang w:eastAsia="zh-CN"/>
        </w:rPr>
        <w:t>资格证明文件</w:t>
      </w:r>
    </w:p>
    <w:p w14:paraId="4F334277">
      <w:pPr>
        <w:pStyle w:val="23"/>
        <w:spacing w:line="360" w:lineRule="auto"/>
        <w:ind w:left="1155" w:leftChars="550"/>
        <w:rPr>
          <w:rFonts w:hint="default" w:ascii="宋体" w:hAnsi="宋体" w:eastAsia="宋体"/>
          <w:color w:val="auto"/>
          <w:sz w:val="32"/>
          <w:szCs w:val="28"/>
          <w:lang w:val="en-US" w:eastAsia="zh-CN"/>
        </w:rPr>
      </w:pPr>
      <w:r>
        <w:rPr>
          <w:rFonts w:hint="eastAsia" w:ascii="宋体" w:hAnsi="宋体"/>
          <w:color w:val="auto"/>
          <w:sz w:val="32"/>
          <w:szCs w:val="28"/>
        </w:rPr>
        <w:t xml:space="preserve">第四章   </w:t>
      </w:r>
      <w:r>
        <w:rPr>
          <w:rFonts w:hint="eastAsia" w:ascii="宋体" w:hAnsi="宋体"/>
          <w:color w:val="auto"/>
          <w:sz w:val="32"/>
          <w:szCs w:val="28"/>
          <w:lang w:val="en-US" w:eastAsia="zh-CN"/>
        </w:rPr>
        <w:t>技术及商务响应偏离表</w:t>
      </w:r>
    </w:p>
    <w:p w14:paraId="4C5C474E">
      <w:pPr>
        <w:pStyle w:val="23"/>
        <w:spacing w:line="360" w:lineRule="auto"/>
        <w:ind w:left="1155" w:leftChars="550"/>
        <w:rPr>
          <w:rFonts w:hint="eastAsia" w:ascii="宋体" w:hAnsi="宋体" w:eastAsia="宋体"/>
          <w:color w:val="auto"/>
          <w:sz w:val="32"/>
          <w:szCs w:val="28"/>
          <w:lang w:eastAsia="zh-CN"/>
        </w:rPr>
      </w:pPr>
      <w:r>
        <w:rPr>
          <w:rFonts w:hint="eastAsia" w:ascii="宋体" w:hAnsi="宋体"/>
          <w:color w:val="auto"/>
          <w:sz w:val="32"/>
          <w:szCs w:val="28"/>
        </w:rPr>
        <w:t>第五章</w:t>
      </w:r>
      <w:r>
        <w:rPr>
          <w:rFonts w:hint="eastAsia" w:ascii="宋体" w:hAnsi="宋体"/>
          <w:color w:val="auto"/>
          <w:sz w:val="32"/>
          <w:szCs w:val="28"/>
          <w:lang w:val="en-US" w:eastAsia="zh-CN"/>
        </w:rPr>
        <w:t xml:space="preserve">   </w:t>
      </w:r>
      <w:r>
        <w:rPr>
          <w:rFonts w:hint="eastAsia" w:ascii="宋体" w:hAnsi="宋体"/>
          <w:color w:val="auto"/>
          <w:sz w:val="32"/>
          <w:szCs w:val="28"/>
          <w:lang w:eastAsia="zh-CN"/>
        </w:rPr>
        <w:t>响应方案</w:t>
      </w:r>
    </w:p>
    <w:p w14:paraId="7716002F">
      <w:pPr>
        <w:pStyle w:val="23"/>
        <w:spacing w:line="360" w:lineRule="auto"/>
        <w:ind w:left="1155" w:leftChars="550"/>
        <w:rPr>
          <w:rFonts w:ascii="宋体" w:hAnsi="宋体"/>
          <w:color w:val="auto"/>
          <w:sz w:val="32"/>
          <w:szCs w:val="28"/>
        </w:rPr>
      </w:pPr>
      <w:r>
        <w:rPr>
          <w:rFonts w:hint="eastAsia" w:ascii="宋体" w:hAnsi="宋体"/>
          <w:color w:val="auto"/>
          <w:sz w:val="32"/>
          <w:szCs w:val="28"/>
        </w:rPr>
        <w:t>第</w:t>
      </w:r>
      <w:r>
        <w:rPr>
          <w:rFonts w:hint="eastAsia" w:ascii="宋体" w:hAnsi="宋体"/>
          <w:color w:val="auto"/>
          <w:sz w:val="32"/>
          <w:szCs w:val="28"/>
          <w:lang w:val="en-US" w:eastAsia="zh-CN"/>
        </w:rPr>
        <w:t>六</w:t>
      </w:r>
      <w:r>
        <w:rPr>
          <w:rFonts w:hint="eastAsia" w:ascii="宋体" w:hAnsi="宋体"/>
          <w:color w:val="auto"/>
          <w:sz w:val="32"/>
          <w:szCs w:val="28"/>
        </w:rPr>
        <w:t>章   供应商承诺书</w:t>
      </w:r>
    </w:p>
    <w:p w14:paraId="1DA176C9">
      <w:pPr>
        <w:pStyle w:val="23"/>
        <w:spacing w:line="360" w:lineRule="auto"/>
        <w:ind w:left="1155" w:leftChars="550"/>
        <w:rPr>
          <w:rFonts w:ascii="宋体" w:hAnsi="宋体"/>
          <w:color w:val="auto"/>
          <w:sz w:val="32"/>
          <w:szCs w:val="28"/>
        </w:rPr>
      </w:pPr>
    </w:p>
    <w:p w14:paraId="11D790AD">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   </w:t>
      </w:r>
    </w:p>
    <w:p w14:paraId="142ED316">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752A029B">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6931B323">
      <w:pPr>
        <w:pStyle w:val="23"/>
        <w:spacing w:line="360" w:lineRule="auto"/>
        <w:ind w:left="1155" w:leftChars="550"/>
        <w:rPr>
          <w:rFonts w:ascii="宋体" w:hAnsi="宋体"/>
          <w:color w:val="auto"/>
          <w:sz w:val="32"/>
          <w:szCs w:val="28"/>
        </w:rPr>
      </w:pPr>
      <w:r>
        <w:rPr>
          <w:rFonts w:ascii="宋体" w:hAnsi="宋体"/>
          <w:color w:val="auto"/>
          <w:sz w:val="32"/>
          <w:szCs w:val="28"/>
        </w:rPr>
        <w:t xml:space="preserve">  </w:t>
      </w:r>
    </w:p>
    <w:p w14:paraId="03ECE3CC">
      <w:pPr>
        <w:pStyle w:val="23"/>
        <w:spacing w:line="360" w:lineRule="auto"/>
        <w:ind w:left="1155" w:leftChars="550"/>
        <w:rPr>
          <w:rFonts w:ascii="宋体" w:hAnsi="宋体"/>
          <w:color w:val="auto"/>
          <w:sz w:val="32"/>
          <w:szCs w:val="28"/>
        </w:rPr>
      </w:pPr>
    </w:p>
    <w:p w14:paraId="0012CA73">
      <w:pPr>
        <w:pStyle w:val="23"/>
        <w:spacing w:line="480" w:lineRule="auto"/>
        <w:ind w:left="945" w:leftChars="450"/>
        <w:rPr>
          <w:color w:val="auto"/>
        </w:rPr>
      </w:pPr>
      <w:r>
        <w:rPr>
          <w:rFonts w:hint="eastAsia"/>
          <w:color w:val="auto"/>
          <w:sz w:val="30"/>
          <w:szCs w:val="30"/>
        </w:rPr>
        <w:tab/>
      </w:r>
    </w:p>
    <w:p w14:paraId="63DB359E">
      <w:pPr>
        <w:pStyle w:val="3"/>
        <w:pageBreakBefore/>
        <w:rPr>
          <w:rFonts w:hint="eastAsia" w:ascii="Calibri" w:hAnsi="宋体" w:eastAsia="宋体" w:cs="Calibri"/>
          <w:b/>
          <w:bCs w:val="0"/>
          <w:color w:val="auto"/>
          <w:kern w:val="2"/>
          <w:sz w:val="32"/>
          <w:szCs w:val="32"/>
          <w:lang w:val="en-US" w:eastAsia="zh-CN" w:bidi="ar-SA"/>
        </w:rPr>
      </w:pPr>
      <w:bookmarkStart w:id="144" w:name="_Toc2536"/>
      <w:bookmarkStart w:id="145" w:name="_Toc19543349"/>
      <w:bookmarkStart w:id="146" w:name="_Toc536202324"/>
      <w:bookmarkStart w:id="147" w:name="_Toc536202393"/>
      <w:bookmarkStart w:id="148" w:name="_Toc10356"/>
      <w:bookmarkStart w:id="149" w:name="_Toc536429386"/>
      <w:bookmarkStart w:id="150" w:name="_Toc536429333"/>
      <w:r>
        <w:rPr>
          <w:rFonts w:hint="eastAsia" w:ascii="Calibri" w:hAnsi="宋体" w:eastAsia="宋体" w:cs="Calibri"/>
          <w:b/>
          <w:bCs w:val="0"/>
          <w:color w:val="auto"/>
          <w:kern w:val="2"/>
          <w:sz w:val="32"/>
          <w:szCs w:val="32"/>
          <w:lang w:val="en-US" w:eastAsia="zh-CN" w:bidi="ar-SA"/>
        </w:rPr>
        <w:t>第一</w:t>
      </w:r>
      <w:bookmarkEnd w:id="144"/>
      <w:r>
        <w:rPr>
          <w:rFonts w:hint="eastAsia" w:ascii="Calibri" w:hAnsi="宋体" w:eastAsia="宋体" w:cs="Calibri"/>
          <w:b/>
          <w:bCs w:val="0"/>
          <w:color w:val="auto"/>
          <w:kern w:val="2"/>
          <w:sz w:val="32"/>
          <w:szCs w:val="32"/>
          <w:lang w:val="en-US" w:eastAsia="zh-CN" w:bidi="ar-SA"/>
        </w:rPr>
        <w:t>章  响应函</w:t>
      </w:r>
      <w:bookmarkEnd w:id="145"/>
      <w:bookmarkEnd w:id="146"/>
      <w:bookmarkEnd w:id="147"/>
      <w:bookmarkEnd w:id="148"/>
      <w:bookmarkEnd w:id="149"/>
      <w:bookmarkEnd w:id="150"/>
    </w:p>
    <w:p w14:paraId="60599B2F">
      <w:pPr>
        <w:adjustRightInd w:val="0"/>
        <w:snapToGrid w:val="0"/>
        <w:spacing w:line="480" w:lineRule="exact"/>
        <w:jc w:val="left"/>
        <w:rPr>
          <w:rFonts w:ascii="宋体" w:cs="Times New Roman"/>
          <w:color w:val="auto"/>
          <w:sz w:val="24"/>
          <w:szCs w:val="24"/>
        </w:rPr>
      </w:pPr>
      <w:r>
        <w:rPr>
          <w:rFonts w:hint="eastAsia" w:ascii="宋体" w:hAnsi="宋体" w:cs="宋体"/>
          <w:color w:val="auto"/>
          <w:sz w:val="24"/>
          <w:szCs w:val="24"/>
        </w:rPr>
        <w:t>安康尚昊招标代理有限公司：</w:t>
      </w:r>
    </w:p>
    <w:p w14:paraId="431546CF">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olor w:val="auto"/>
          <w:sz w:val="24"/>
          <w:szCs w:val="24"/>
        </w:rPr>
        <w:t>我单位收到贵公司</w:t>
      </w:r>
      <w:r>
        <w:rPr>
          <w:rFonts w:hint="eastAsia" w:ascii="宋体" w:hAnsi="宋体"/>
          <w:color w:val="auto"/>
          <w:sz w:val="24"/>
          <w:szCs w:val="24"/>
          <w:u w:val="single"/>
        </w:rPr>
        <w:t xml:space="preserve">  （项目名称） （项目编号）     </w:t>
      </w:r>
      <w:r>
        <w:rPr>
          <w:rFonts w:hint="eastAsia" w:ascii="宋体" w:hAnsi="宋体" w:cs="宋体"/>
          <w:color w:val="auto"/>
          <w:sz w:val="24"/>
          <w:szCs w:val="24"/>
        </w:rPr>
        <w:t>竞争性磋商文件，经详细研究，我公司决定参加本次磋商活动。为此，我方郑重承诺以下诸点，并负法律责任。</w:t>
      </w:r>
    </w:p>
    <w:p w14:paraId="5CE0D17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7BCD50B1">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按照竞争性磋商文件的规定，我公司的响应总报价为：</w:t>
      </w:r>
    </w:p>
    <w:p w14:paraId="69C632DB">
      <w:pPr>
        <w:spacing w:line="360" w:lineRule="auto"/>
        <w:ind w:firstLine="480" w:firstLineChars="200"/>
        <w:rPr>
          <w:color w:val="auto"/>
        </w:rPr>
      </w:pPr>
      <w:r>
        <w:rPr>
          <w:rFonts w:hint="eastAsia" w:ascii="宋体" w:hAnsi="宋体" w:cs="宋体"/>
          <w:color w:val="auto"/>
          <w:sz w:val="24"/>
          <w:szCs w:val="24"/>
        </w:rPr>
        <w:t>人民币（大写）：______________元；（小写）￥：______元；</w:t>
      </w:r>
    </w:p>
    <w:p w14:paraId="384A91ED">
      <w:pPr>
        <w:adjustRightInd w:val="0"/>
        <w:snapToGrid w:val="0"/>
        <w:spacing w:line="480" w:lineRule="exact"/>
        <w:ind w:firstLine="480" w:firstLineChars="200"/>
        <w:jc w:val="left"/>
        <w:rPr>
          <w:rFonts w:ascii="宋体" w:hAnsi="宋体" w:cs="宋体"/>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我方提交的响应文件正本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份，副本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份，电子文件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w:t>
      </w:r>
    </w:p>
    <w:p w14:paraId="259E2A11">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我们已详细阅读了竞争性磋商文件，完全理解并同意放弃提出含糊不清和误解问题的权力。</w:t>
      </w:r>
    </w:p>
    <w:p w14:paraId="575EAB9D">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如果我方在磋商后到规定的响应有效期内撤回响应文件及承诺，我们将承担相关法律责任。</w:t>
      </w:r>
    </w:p>
    <w:p w14:paraId="01EEF95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6.</w:t>
      </w:r>
      <w:r>
        <w:rPr>
          <w:rFonts w:hint="eastAsia" w:ascii="宋体" w:hAnsi="宋体" w:cs="宋体"/>
          <w:color w:val="auto"/>
          <w:sz w:val="24"/>
          <w:szCs w:val="24"/>
        </w:rPr>
        <w:t>同意向贵方提供贵方可能要求的、与本次磋商有关的任何证据资料。</w:t>
      </w:r>
    </w:p>
    <w:p w14:paraId="0135BB2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7.</w:t>
      </w:r>
      <w:r>
        <w:rPr>
          <w:rFonts w:hint="eastAsia" w:ascii="宋体" w:hAnsi="宋体" w:cs="宋体"/>
          <w:color w:val="auto"/>
          <w:sz w:val="24"/>
          <w:szCs w:val="24"/>
        </w:rPr>
        <w:t>我方承诺响应有效期为磋商后______日历日内有效。</w:t>
      </w:r>
    </w:p>
    <w:p w14:paraId="1954E71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8.</w:t>
      </w:r>
      <w:r>
        <w:rPr>
          <w:rFonts w:hint="eastAsia" w:ascii="宋体" w:hAnsi="宋体" w:cs="宋体"/>
          <w:color w:val="auto"/>
          <w:sz w:val="24"/>
          <w:szCs w:val="24"/>
        </w:rPr>
        <w:t>所有关于本次磋商的函电，请按下列地址联系：</w:t>
      </w:r>
    </w:p>
    <w:p w14:paraId="68FB957C">
      <w:pPr>
        <w:adjustRightInd w:val="0"/>
        <w:snapToGrid w:val="0"/>
        <w:spacing w:line="480" w:lineRule="exact"/>
        <w:ind w:firstLine="480" w:firstLineChars="200"/>
        <w:jc w:val="left"/>
        <w:rPr>
          <w:rFonts w:hint="eastAsia" w:ascii="宋体" w:hAnsi="宋体" w:cs="宋体"/>
          <w:color w:val="auto"/>
          <w:sz w:val="24"/>
          <w:szCs w:val="24"/>
        </w:rPr>
      </w:pPr>
    </w:p>
    <w:p w14:paraId="00DB3B7E">
      <w:pPr>
        <w:adjustRightInd w:val="0"/>
        <w:snapToGrid w:val="0"/>
        <w:spacing w:line="480" w:lineRule="exact"/>
        <w:ind w:firstLine="480" w:firstLineChars="200"/>
        <w:jc w:val="left"/>
        <w:rPr>
          <w:rFonts w:hint="eastAsia" w:ascii="宋体" w:hAnsi="宋体" w:cs="宋体"/>
          <w:color w:val="auto"/>
          <w:sz w:val="24"/>
          <w:szCs w:val="24"/>
        </w:rPr>
      </w:pPr>
    </w:p>
    <w:p w14:paraId="14BBC3BD">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w:t>
      </w:r>
    </w:p>
    <w:p w14:paraId="7C3055DE">
      <w:pPr>
        <w:adjustRightInd w:val="0"/>
        <w:snapToGrid w:val="0"/>
        <w:spacing w:line="480" w:lineRule="exact"/>
        <w:ind w:firstLine="480" w:firstLineChars="200"/>
        <w:rPr>
          <w:rFonts w:ascii="宋体" w:cs="Times New Roman"/>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或盖章）：_____________________</w:t>
      </w:r>
    </w:p>
    <w:p w14:paraId="0A0F18C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0D6CC115">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74F7A63A">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帐</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18D11887">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272B070B">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59E385C4">
      <w:pPr>
        <w:adjustRightInd w:val="0"/>
        <w:snapToGrid w:val="0"/>
        <w:spacing w:line="480" w:lineRule="exact"/>
        <w:ind w:firstLine="480" w:firstLineChars="200"/>
        <w:rPr>
          <w:rFonts w:ascii="宋体" w:cs="Times New Roman"/>
          <w:color w:val="auto"/>
          <w:sz w:val="24"/>
          <w:szCs w:val="24"/>
        </w:rPr>
        <w:sectPr>
          <w:headerReference r:id="rId14"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bookmarkStart w:id="151" w:name="_Toc28494"/>
    </w:p>
    <w:bookmarkEnd w:id="151"/>
    <w:p w14:paraId="4E2902C5">
      <w:pPr>
        <w:autoSpaceDE w:val="0"/>
        <w:autoSpaceDN w:val="0"/>
        <w:adjustRightInd w:val="0"/>
        <w:snapToGrid w:val="0"/>
        <w:spacing w:line="360" w:lineRule="auto"/>
        <w:jc w:val="center"/>
        <w:rPr>
          <w:b/>
          <w:color w:val="auto"/>
          <w:sz w:val="24"/>
        </w:rPr>
      </w:pPr>
      <w:bookmarkStart w:id="152" w:name="_Toc11309"/>
      <w:r>
        <w:rPr>
          <w:rFonts w:hint="eastAsia" w:hAnsi="宋体"/>
          <w:b/>
          <w:color w:val="auto"/>
          <w:sz w:val="32"/>
          <w:szCs w:val="32"/>
        </w:rPr>
        <w:t>第二章 响应报价表</w:t>
      </w:r>
    </w:p>
    <w:p w14:paraId="4326C8EE">
      <w:pPr>
        <w:autoSpaceDE w:val="0"/>
        <w:autoSpaceDN w:val="0"/>
        <w:adjustRightInd w:val="0"/>
        <w:snapToGrid w:val="0"/>
        <w:spacing w:line="360" w:lineRule="auto"/>
        <w:rPr>
          <w:rFonts w:ascii="宋体" w:hAnsi="宋体" w:cs="宋体"/>
          <w:b/>
          <w:color w:val="auto"/>
          <w:sz w:val="24"/>
          <w:szCs w:val="24"/>
        </w:rPr>
      </w:pPr>
      <w:r>
        <w:rPr>
          <w:rFonts w:hint="eastAsia" w:ascii="宋体" w:hAnsi="宋体" w:cs="宋体"/>
          <w:b/>
          <w:color w:val="auto"/>
          <w:sz w:val="24"/>
          <w:szCs w:val="24"/>
        </w:rPr>
        <w:t xml:space="preserve"> </w:t>
      </w:r>
    </w:p>
    <w:p w14:paraId="1E1C2F58">
      <w:pPr>
        <w:adjustRightInd w:val="0"/>
        <w:snapToGrid w:val="0"/>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 xml:space="preserve">供应商名称：                                        </w:t>
      </w:r>
    </w:p>
    <w:p w14:paraId="0D5A578B">
      <w:pPr>
        <w:adjustRightInd w:val="0"/>
        <w:snapToGrid w:val="0"/>
        <w:spacing w:line="360" w:lineRule="auto"/>
        <w:ind w:firstLine="480" w:firstLineChars="200"/>
        <w:jc w:val="left"/>
        <w:rPr>
          <w:rFonts w:hint="default" w:ascii="宋体" w:cs="Times New Roman" w:eastAsiaTheme="minorEastAsia"/>
          <w:color w:val="auto"/>
          <w:sz w:val="24"/>
          <w:szCs w:val="24"/>
          <w:lang w:val="en-US" w:eastAsia="zh-CN"/>
        </w:rPr>
      </w:pPr>
      <w:r>
        <w:rPr>
          <w:rFonts w:hint="eastAsia" w:ascii="宋体" w:hAnsi="宋体" w:cs="宋体"/>
          <w:color w:val="auto"/>
          <w:sz w:val="24"/>
          <w:szCs w:val="24"/>
        </w:rPr>
        <w:t xml:space="preserve">项目名称：  </w:t>
      </w:r>
      <w:r>
        <w:rPr>
          <w:rFonts w:hint="eastAsia" w:cs="Times New Roman" w:asciiTheme="minorEastAsia" w:hAnsiTheme="minorEastAsia" w:eastAsiaTheme="minorEastAsia"/>
          <w:color w:val="auto"/>
          <w:sz w:val="28"/>
          <w:szCs w:val="28"/>
        </w:rPr>
        <w:t xml:space="preserve">                            </w:t>
      </w:r>
      <w:r>
        <w:rPr>
          <w:rFonts w:hint="eastAsia" w:cs="Times New Roman" w:asciiTheme="minorEastAsia" w:hAnsiTheme="minorEastAsia" w:eastAsiaTheme="minorEastAsia"/>
          <w:color w:val="auto"/>
          <w:sz w:val="28"/>
          <w:szCs w:val="28"/>
          <w:lang w:val="en-US" w:eastAsia="zh-CN"/>
        </w:rPr>
        <w:t xml:space="preserve">       </w:t>
      </w:r>
    </w:p>
    <w:tbl>
      <w:tblPr>
        <w:tblStyle w:val="37"/>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2450"/>
        <w:gridCol w:w="2156"/>
        <w:gridCol w:w="2387"/>
      </w:tblGrid>
      <w:tr w14:paraId="30D5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3" w:hRule="atLeast"/>
          <w:jc w:val="center"/>
        </w:trPr>
        <w:tc>
          <w:tcPr>
            <w:tcW w:w="2845" w:type="dxa"/>
            <w:tcBorders>
              <w:tl2br w:val="single" w:color="auto" w:sz="4" w:space="0"/>
            </w:tcBorders>
          </w:tcPr>
          <w:p w14:paraId="5874AD31">
            <w:pPr>
              <w:keepNext w:val="0"/>
              <w:keepLines w:val="0"/>
              <w:suppressLineNumbers w:val="0"/>
              <w:tabs>
                <w:tab w:val="left" w:pos="1091"/>
              </w:tabs>
              <w:kinsoku w:val="0"/>
              <w:spacing w:before="0" w:beforeAutospacing="0" w:after="0" w:afterAutospacing="0" w:line="500" w:lineRule="exact"/>
              <w:ind w:left="0" w:right="0" w:firstLine="1200" w:firstLineChars="500"/>
              <w:rPr>
                <w:rFonts w:hint="default" w:ascii="宋体" w:hAnsi="宋体" w:cs="Times New Roman"/>
                <w:color w:val="auto"/>
                <w:sz w:val="24"/>
                <w:szCs w:val="24"/>
              </w:rPr>
            </w:pPr>
            <w:r>
              <w:rPr>
                <w:rFonts w:hint="eastAsia" w:ascii="宋体" w:hAnsi="宋体" w:cs="Times New Roman"/>
                <w:color w:val="auto"/>
                <w:sz w:val="24"/>
                <w:szCs w:val="24"/>
                <w:lang w:eastAsia="zh-CN"/>
              </w:rPr>
              <w:tab/>
            </w:r>
            <w:r>
              <w:rPr>
                <w:rFonts w:hint="eastAsia" w:ascii="宋体" w:hAnsi="宋体" w:cs="Times New Roman"/>
                <w:color w:val="auto"/>
                <w:sz w:val="24"/>
                <w:szCs w:val="24"/>
                <w:lang w:val="en-US" w:eastAsia="zh-CN"/>
              </w:rPr>
              <w:t xml:space="preserve">   </w:t>
            </w:r>
            <w:r>
              <w:rPr>
                <w:rFonts w:hint="eastAsia" w:ascii="宋体" w:hAnsi="宋体" w:cs="Times New Roman"/>
                <w:color w:val="auto"/>
                <w:sz w:val="24"/>
                <w:szCs w:val="24"/>
              </w:rPr>
              <w:t>报价内容</w:t>
            </w:r>
          </w:p>
          <w:p w14:paraId="4D37C508">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609DAE80">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698573C2">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2E458932">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投标内容</w:t>
            </w:r>
          </w:p>
        </w:tc>
        <w:tc>
          <w:tcPr>
            <w:tcW w:w="2450" w:type="dxa"/>
            <w:vAlign w:val="center"/>
          </w:tcPr>
          <w:p w14:paraId="594C2CA6">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lang w:eastAsia="zh-CN"/>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p>
          <w:p w14:paraId="19803C7A">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eastAsia="zh-CN"/>
              </w:rPr>
              <w:t>（</w:t>
            </w:r>
            <w:r>
              <w:rPr>
                <w:rFonts w:hint="eastAsia" w:ascii="宋体" w:hAnsi="宋体" w:eastAsia="宋体" w:cs="宋体"/>
                <w:color w:val="auto"/>
                <w:sz w:val="24"/>
                <w:szCs w:val="24"/>
                <w:lang w:val="en-US" w:eastAsia="zh-CN"/>
              </w:rPr>
              <w:t>元</w:t>
            </w:r>
            <w:r>
              <w:rPr>
                <w:rFonts w:hint="eastAsia" w:ascii="宋体" w:hAnsi="宋体" w:cs="Times New Roman"/>
                <w:color w:val="auto"/>
                <w:sz w:val="24"/>
                <w:szCs w:val="24"/>
                <w:lang w:eastAsia="zh-CN"/>
              </w:rPr>
              <w:t>）</w:t>
            </w:r>
          </w:p>
        </w:tc>
        <w:tc>
          <w:tcPr>
            <w:tcW w:w="2156" w:type="dxa"/>
            <w:vAlign w:val="center"/>
          </w:tcPr>
          <w:p w14:paraId="4EABD794">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合同履行期</w:t>
            </w:r>
          </w:p>
          <w:p w14:paraId="4C29A8DE">
            <w:pPr>
              <w:keepNext w:val="0"/>
              <w:keepLines w:val="0"/>
              <w:suppressLineNumbers w:val="0"/>
              <w:kinsoku w:val="0"/>
              <w:spacing w:before="0" w:beforeAutospacing="0" w:after="0" w:afterAutospacing="0" w:line="500" w:lineRule="exact"/>
              <w:ind w:left="0" w:right="0" w:firstLine="141" w:firstLineChars="59"/>
              <w:jc w:val="both"/>
              <w:rPr>
                <w:rFonts w:hint="default" w:ascii="宋体" w:hAnsi="宋体" w:eastAsia="宋体" w:cs="Times New Roman"/>
                <w:color w:val="auto"/>
                <w:sz w:val="24"/>
                <w:szCs w:val="24"/>
                <w:lang w:val="en-US" w:eastAsia="zh-CN"/>
              </w:rPr>
            </w:pPr>
          </w:p>
        </w:tc>
        <w:tc>
          <w:tcPr>
            <w:tcW w:w="2387" w:type="dxa"/>
            <w:vAlign w:val="center"/>
          </w:tcPr>
          <w:p w14:paraId="47716177">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备</w:t>
            </w:r>
            <w:r>
              <w:rPr>
                <w:rFonts w:hint="eastAsia" w:ascii="宋体" w:hAnsi="宋体" w:cs="Times New Roman"/>
                <w:color w:val="auto"/>
                <w:sz w:val="24"/>
                <w:szCs w:val="24"/>
                <w:lang w:val="en-US" w:eastAsia="zh-CN"/>
              </w:rPr>
              <w:t xml:space="preserve"> </w:t>
            </w:r>
            <w:r>
              <w:rPr>
                <w:rFonts w:hint="eastAsia" w:ascii="宋体" w:hAnsi="宋体" w:cs="Times New Roman"/>
                <w:color w:val="auto"/>
                <w:sz w:val="24"/>
                <w:szCs w:val="24"/>
              </w:rPr>
              <w:t>注</w:t>
            </w:r>
          </w:p>
        </w:tc>
      </w:tr>
      <w:tr w14:paraId="0345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845" w:type="dxa"/>
            <w:vAlign w:val="center"/>
          </w:tcPr>
          <w:p w14:paraId="777CC0DD">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450" w:type="dxa"/>
            <w:vAlign w:val="center"/>
          </w:tcPr>
          <w:p w14:paraId="5C3940D4">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tc>
        <w:tc>
          <w:tcPr>
            <w:tcW w:w="2156" w:type="dxa"/>
            <w:vAlign w:val="center"/>
          </w:tcPr>
          <w:p w14:paraId="1492A259">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387" w:type="dxa"/>
            <w:vAlign w:val="center"/>
          </w:tcPr>
          <w:p w14:paraId="314A0A76">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r>
      <w:tr w14:paraId="7A78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9838" w:type="dxa"/>
            <w:gridSpan w:val="4"/>
            <w:vAlign w:val="center"/>
          </w:tcPr>
          <w:p w14:paraId="642695ED">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r>
              <w:rPr>
                <w:rFonts w:hint="eastAsia" w:ascii="宋体" w:hAnsi="宋体" w:cs="Times New Roman"/>
                <w:color w:val="auto"/>
                <w:sz w:val="24"/>
                <w:szCs w:val="24"/>
              </w:rPr>
              <w:t xml:space="preserve">：（大写）                                   </w:t>
            </w:r>
          </w:p>
        </w:tc>
      </w:tr>
      <w:tr w14:paraId="1AD7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9838" w:type="dxa"/>
            <w:gridSpan w:val="4"/>
            <w:vAlign w:val="center"/>
          </w:tcPr>
          <w:p w14:paraId="1523F09D">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lang w:eastAsia="zh-CN"/>
              </w:rPr>
            </w:pPr>
            <w:r>
              <w:rPr>
                <w:rFonts w:hint="eastAsia" w:ascii="宋体" w:hAnsi="宋体" w:cs="Times New Roman"/>
                <w:color w:val="auto"/>
                <w:sz w:val="24"/>
                <w:szCs w:val="24"/>
              </w:rPr>
              <w:t>备注：</w:t>
            </w:r>
            <w:r>
              <w:rPr>
                <w:rFonts w:hint="eastAsia" w:ascii="宋体" w:hAnsi="宋体" w:cs="Times New Roman"/>
                <w:color w:val="auto"/>
                <w:sz w:val="24"/>
                <w:szCs w:val="24"/>
                <w:lang w:val="en-US" w:eastAsia="zh-CN"/>
              </w:rPr>
              <w:t>1.</w:t>
            </w:r>
            <w:r>
              <w:rPr>
                <w:rFonts w:hint="eastAsia" w:ascii="宋体" w:hAnsi="宋体" w:cs="Times New Roman"/>
                <w:color w:val="auto"/>
                <w:sz w:val="24"/>
                <w:szCs w:val="24"/>
              </w:rPr>
              <w:t>表内</w:t>
            </w:r>
            <w:r>
              <w:rPr>
                <w:rFonts w:hint="eastAsia" w:ascii="宋体" w:hAnsi="宋体" w:cs="Times New Roman"/>
                <w:color w:val="auto"/>
                <w:sz w:val="24"/>
                <w:szCs w:val="24"/>
                <w:lang w:eastAsia="zh-CN"/>
              </w:rPr>
              <w:t>投标</w:t>
            </w:r>
            <w:r>
              <w:rPr>
                <w:rFonts w:hint="eastAsia" w:ascii="宋体" w:hAnsi="宋体" w:cs="Times New Roman"/>
                <w:color w:val="auto"/>
                <w:sz w:val="24"/>
                <w:szCs w:val="24"/>
              </w:rPr>
              <w:t>报价</w:t>
            </w:r>
            <w:r>
              <w:rPr>
                <w:rFonts w:hint="eastAsia" w:ascii="宋体" w:hAnsi="宋体" w:cs="Times New Roman"/>
                <w:color w:val="auto"/>
                <w:sz w:val="24"/>
                <w:szCs w:val="24"/>
                <w:lang w:eastAsia="zh-CN"/>
              </w:rPr>
              <w:t>以元为单位，保留小数点后两位。</w:t>
            </w:r>
          </w:p>
          <w:p w14:paraId="010A6014">
            <w:pPr>
              <w:keepNext w:val="0"/>
              <w:keepLines w:val="0"/>
              <w:suppressLineNumbers w:val="0"/>
              <w:kinsoku w:val="0"/>
              <w:spacing w:before="0" w:beforeAutospacing="0" w:after="0" w:afterAutospacing="0" w:line="500" w:lineRule="exact"/>
              <w:ind w:left="0" w:right="0" w:firstLine="720" w:firstLineChars="300"/>
              <w:rPr>
                <w:rFonts w:hint="default" w:ascii="宋体" w:hAnsi="宋体" w:cs="Times New Roman"/>
                <w:color w:val="auto"/>
                <w:sz w:val="24"/>
                <w:szCs w:val="24"/>
                <w:lang w:val="en-US"/>
              </w:rPr>
            </w:pPr>
            <w:r>
              <w:rPr>
                <w:rFonts w:hint="eastAsia" w:ascii="宋体" w:hAnsi="宋体" w:cs="Times New Roman"/>
                <w:color w:val="auto"/>
                <w:sz w:val="24"/>
                <w:szCs w:val="24"/>
                <w:lang w:val="en-US" w:eastAsia="zh-CN"/>
              </w:rPr>
              <w:t>2.投标人所报的价格应考虑到可能发生的所有与完成本项目相关服务及履行合同义务有关的一切费用。</w:t>
            </w:r>
          </w:p>
        </w:tc>
      </w:tr>
    </w:tbl>
    <w:p w14:paraId="14013E5E">
      <w:pPr>
        <w:spacing w:line="360" w:lineRule="auto"/>
        <w:jc w:val="left"/>
        <w:rPr>
          <w:rFonts w:ascii="宋体" w:hAnsi="宋体" w:cs="仿宋"/>
          <w:color w:val="auto"/>
          <w:sz w:val="24"/>
          <w:szCs w:val="24"/>
        </w:rPr>
      </w:pPr>
    </w:p>
    <w:p w14:paraId="521DB4B4">
      <w:pPr>
        <w:spacing w:line="360" w:lineRule="auto"/>
        <w:ind w:firstLine="361" w:firstLineChars="150"/>
        <w:jc w:val="left"/>
        <w:rPr>
          <w:rFonts w:ascii="宋体" w:hAnsi="宋体" w:cs="仿宋"/>
          <w:b/>
          <w:bCs/>
          <w:color w:val="auto"/>
          <w:sz w:val="24"/>
          <w:szCs w:val="24"/>
        </w:rPr>
      </w:pPr>
    </w:p>
    <w:p w14:paraId="7F747AC4">
      <w:pPr>
        <w:kinsoku w:val="0"/>
        <w:spacing w:line="360" w:lineRule="auto"/>
        <w:jc w:val="left"/>
        <w:rPr>
          <w:rFonts w:ascii="宋体" w:cs="Times New Roman"/>
          <w:color w:val="auto"/>
          <w:sz w:val="24"/>
          <w:szCs w:val="24"/>
        </w:rPr>
      </w:pPr>
    </w:p>
    <w:p w14:paraId="4369EE36">
      <w:pPr>
        <w:adjustRightInd w:val="0"/>
        <w:snapToGrid w:val="0"/>
        <w:spacing w:line="480" w:lineRule="auto"/>
        <w:jc w:val="left"/>
        <w:rPr>
          <w:color w:val="auto"/>
        </w:rPr>
      </w:pPr>
      <w:r>
        <w:rPr>
          <w:rFonts w:hint="eastAsia" w:ascii="宋体" w:hAnsi="宋体" w:cs="宋体"/>
          <w:color w:val="auto"/>
          <w:sz w:val="24"/>
          <w:szCs w:val="24"/>
        </w:rPr>
        <w:t xml:space="preserve">供应商（单位名称及公章）：____________________________  </w:t>
      </w:r>
    </w:p>
    <w:p w14:paraId="7ECAEE5C">
      <w:pPr>
        <w:adjustRightInd w:val="0"/>
        <w:snapToGrid w:val="0"/>
        <w:spacing w:line="480" w:lineRule="auto"/>
        <w:rPr>
          <w:rFonts w:ascii="宋体" w:cs="Times New Roman"/>
          <w:color w:val="auto"/>
          <w:sz w:val="24"/>
          <w:szCs w:val="24"/>
        </w:rPr>
      </w:pPr>
      <w:r>
        <w:rPr>
          <w:rFonts w:hint="eastAsia" w:ascii="宋体" w:hAnsi="宋体" w:eastAsia="宋体" w:cs="宋体"/>
          <w:color w:val="auto"/>
          <w:sz w:val="24"/>
          <w:szCs w:val="24"/>
        </w:rPr>
        <w:t>法定代表人或被授权人（签字或盖章）：</w:t>
      </w:r>
      <w:r>
        <w:rPr>
          <w:rFonts w:hint="eastAsia" w:ascii="宋体" w:hAnsi="宋体" w:cs="宋体"/>
          <w:color w:val="auto"/>
          <w:sz w:val="24"/>
          <w:szCs w:val="24"/>
        </w:rPr>
        <w:t>________________________</w:t>
      </w:r>
    </w:p>
    <w:p w14:paraId="18C31110">
      <w:pPr>
        <w:adjustRightInd w:val="0"/>
        <w:snapToGrid w:val="0"/>
        <w:spacing w:line="480" w:lineRule="auto"/>
        <w:rPr>
          <w:rFonts w:ascii="宋体" w:hAnsi="宋体" w:cs="宋体"/>
          <w:color w:val="auto"/>
          <w:sz w:val="24"/>
          <w:szCs w:val="24"/>
        </w:rPr>
        <w:sectPr>
          <w:pgSz w:w="11906" w:h="16838"/>
          <w:pgMar w:top="1361" w:right="1423" w:bottom="1361" w:left="1423" w:header="1134" w:footer="992" w:gutter="0"/>
          <w:pgNumType w:fmt="decimal"/>
          <w:cols w:space="0" w:num="1"/>
          <w:titlePg/>
          <w:docGrid w:type="lines" w:linePitch="317"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期：_______年_______月______日</w:t>
      </w:r>
    </w:p>
    <w:p w14:paraId="327EDB25">
      <w:pPr>
        <w:keepNext w:val="0"/>
        <w:keepLines w:val="0"/>
        <w:pageBreakBefore w:val="0"/>
        <w:widowControl w:val="0"/>
        <w:tabs>
          <w:tab w:val="right" w:pos="8435"/>
        </w:tabs>
        <w:kinsoku/>
        <w:wordWrap/>
        <w:overflowPunct/>
        <w:topLinePunct w:val="0"/>
        <w:autoSpaceDE/>
        <w:autoSpaceDN/>
        <w:bidi w:val="0"/>
        <w:adjustRightInd/>
        <w:snapToGrid/>
        <w:spacing w:before="164" w:beforeLines="50" w:after="164" w:afterLines="50" w:line="440" w:lineRule="exact"/>
        <w:jc w:val="center"/>
        <w:textAlignment w:val="auto"/>
        <w:rPr>
          <w:rFonts w:ascii="Calibri Light" w:hAnsi="Calibri Light" w:cs="Times New Roman"/>
          <w:b/>
          <w:bCs/>
          <w:color w:val="auto"/>
          <w:sz w:val="28"/>
          <w:szCs w:val="28"/>
        </w:rPr>
      </w:pPr>
      <w:r>
        <w:rPr>
          <w:rFonts w:hint="eastAsia" w:ascii="Calibri Light" w:hAnsi="Calibri Light" w:cs="Times New Roman"/>
          <w:b/>
          <w:bCs/>
          <w:color w:val="auto"/>
          <w:sz w:val="28"/>
          <w:szCs w:val="28"/>
        </w:rPr>
        <w:t>投标分项报价表</w:t>
      </w:r>
    </w:p>
    <w:p w14:paraId="32448315">
      <w:pPr>
        <w:spacing w:line="360" w:lineRule="auto"/>
        <w:ind w:firstLine="211"/>
        <w:rPr>
          <w:color w:val="auto"/>
        </w:rPr>
      </w:pP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单位：元</w:t>
      </w:r>
      <w:r>
        <w:rPr>
          <w:rFonts w:hint="eastAsia" w:ascii="宋体" w:hAnsi="宋体" w:cs="宋体"/>
          <w:color w:val="auto"/>
          <w:sz w:val="24"/>
          <w:szCs w:val="24"/>
          <w:lang w:val="en-US" w:eastAsia="zh-CN"/>
        </w:rPr>
        <w:t xml:space="preserve">       </w:t>
      </w:r>
      <w:r>
        <w:rPr>
          <w:rFonts w:hint="eastAsia" w:ascii="宋体" w:hAnsi="宋体" w:cs="宋体"/>
          <w:color w:val="auto"/>
          <w:sz w:val="24"/>
        </w:rPr>
        <w:t>共   页     第   页</w:t>
      </w:r>
    </w:p>
    <w:tbl>
      <w:tblPr>
        <w:tblStyle w:val="37"/>
        <w:tblW w:w="503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15"/>
        <w:gridCol w:w="3004"/>
        <w:gridCol w:w="1113"/>
        <w:gridCol w:w="1120"/>
        <w:gridCol w:w="1113"/>
        <w:gridCol w:w="1114"/>
        <w:gridCol w:w="1138"/>
      </w:tblGrid>
      <w:tr w14:paraId="03110F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23" w:hRule="atLeast"/>
        </w:trPr>
        <w:tc>
          <w:tcPr>
            <w:tcW w:w="283" w:type="pct"/>
            <w:vAlign w:val="center"/>
          </w:tcPr>
          <w:p w14:paraId="22D0170D">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序号</w:t>
            </w:r>
          </w:p>
        </w:tc>
        <w:tc>
          <w:tcPr>
            <w:tcW w:w="1647" w:type="pct"/>
            <w:vAlign w:val="center"/>
          </w:tcPr>
          <w:p w14:paraId="7AD8116E">
            <w:pPr>
              <w:keepNext w:val="0"/>
              <w:keepLines w:val="0"/>
              <w:widowControl/>
              <w:suppressLineNumbers w:val="0"/>
              <w:topLinePunct/>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服务项目及内容</w:t>
            </w:r>
          </w:p>
        </w:tc>
        <w:tc>
          <w:tcPr>
            <w:tcW w:w="610" w:type="pct"/>
            <w:vAlign w:val="center"/>
          </w:tcPr>
          <w:p w14:paraId="051B4A39">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数量</w:t>
            </w:r>
          </w:p>
        </w:tc>
        <w:tc>
          <w:tcPr>
            <w:tcW w:w="613" w:type="pct"/>
            <w:vAlign w:val="center"/>
          </w:tcPr>
          <w:p w14:paraId="1A5AE33B">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单位</w:t>
            </w:r>
          </w:p>
        </w:tc>
        <w:tc>
          <w:tcPr>
            <w:tcW w:w="610" w:type="pct"/>
            <w:vAlign w:val="center"/>
          </w:tcPr>
          <w:p w14:paraId="5C5B3F93">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单价</w:t>
            </w:r>
          </w:p>
        </w:tc>
        <w:tc>
          <w:tcPr>
            <w:tcW w:w="611" w:type="pct"/>
            <w:vAlign w:val="center"/>
          </w:tcPr>
          <w:p w14:paraId="01FF27FE">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总价</w:t>
            </w:r>
          </w:p>
        </w:tc>
        <w:tc>
          <w:tcPr>
            <w:tcW w:w="622" w:type="pct"/>
            <w:vAlign w:val="center"/>
          </w:tcPr>
          <w:p w14:paraId="4D9124F2">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p w14:paraId="498790C4">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p w14:paraId="5F23873C">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65B66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0E19931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p>
        </w:tc>
        <w:tc>
          <w:tcPr>
            <w:tcW w:w="1647" w:type="pct"/>
            <w:vAlign w:val="center"/>
          </w:tcPr>
          <w:p w14:paraId="49B4AEC7">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16387CB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79545D0">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1739437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78A2EA9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859128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5C2B5D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1D7437D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p>
        </w:tc>
        <w:tc>
          <w:tcPr>
            <w:tcW w:w="1647" w:type="pct"/>
            <w:vAlign w:val="center"/>
          </w:tcPr>
          <w:p w14:paraId="74F3A309">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3009F31E">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33CDFC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A55AC0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0ED0F93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9ADBE2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B5E7F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3C44F50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p>
        </w:tc>
        <w:tc>
          <w:tcPr>
            <w:tcW w:w="1647" w:type="pct"/>
            <w:vAlign w:val="center"/>
          </w:tcPr>
          <w:p w14:paraId="66A294A5">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1295E61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570AD50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F8E5BF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60403374">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0DB094A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93A18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6E6EC966">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w:t>
            </w:r>
          </w:p>
        </w:tc>
        <w:tc>
          <w:tcPr>
            <w:tcW w:w="1647" w:type="pct"/>
            <w:vAlign w:val="center"/>
          </w:tcPr>
          <w:p w14:paraId="2074D187">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024F38E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10C77F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5A33FC1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54AAFA5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6667EF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1C2191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784481C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w:t>
            </w:r>
          </w:p>
        </w:tc>
        <w:tc>
          <w:tcPr>
            <w:tcW w:w="1647" w:type="pct"/>
            <w:vAlign w:val="center"/>
          </w:tcPr>
          <w:p w14:paraId="2059E994">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36196BE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2F26FF8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3EC0831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3FD54EE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6A5386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6511D0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21BD9B4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w:t>
            </w:r>
          </w:p>
        </w:tc>
        <w:tc>
          <w:tcPr>
            <w:tcW w:w="1647" w:type="pct"/>
            <w:vAlign w:val="center"/>
          </w:tcPr>
          <w:p w14:paraId="0ECBFD56">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258A03B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2BF34E1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3E6CB9C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46EF1A86">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72FAE31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2E437F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234C8D9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w:t>
            </w:r>
          </w:p>
        </w:tc>
        <w:tc>
          <w:tcPr>
            <w:tcW w:w="1647" w:type="pct"/>
            <w:vAlign w:val="center"/>
          </w:tcPr>
          <w:p w14:paraId="67573A87">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72BF6340">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45102B4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720D04E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327AAA7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485373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C86DE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36D8CB3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1647" w:type="pct"/>
            <w:vAlign w:val="center"/>
          </w:tcPr>
          <w:p w14:paraId="1529570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610" w:type="pct"/>
            <w:vAlign w:val="center"/>
          </w:tcPr>
          <w:p w14:paraId="489ADA1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6C1907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734A4C7">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0BF53E33">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B57D63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542C06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40" w:hRule="atLeast"/>
        </w:trPr>
        <w:tc>
          <w:tcPr>
            <w:tcW w:w="3154" w:type="pct"/>
            <w:gridSpan w:val="4"/>
            <w:vAlign w:val="center"/>
          </w:tcPr>
          <w:p w14:paraId="07FCB743">
            <w:pPr>
              <w:keepNext w:val="0"/>
              <w:keepLines w:val="0"/>
              <w:suppressLineNumbers w:val="0"/>
              <w:spacing w:before="0" w:beforeAutospacing="0" w:after="0" w:afterAutospacing="0"/>
              <w:ind w:left="0" w:right="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总计（大写）：</w:t>
            </w:r>
          </w:p>
        </w:tc>
        <w:tc>
          <w:tcPr>
            <w:tcW w:w="1845" w:type="pct"/>
            <w:gridSpan w:val="3"/>
            <w:vAlign w:val="center"/>
          </w:tcPr>
          <w:p w14:paraId="6E77A4E3">
            <w:pPr>
              <w:keepNext w:val="0"/>
              <w:keepLines w:val="0"/>
              <w:suppressLineNumbers w:val="0"/>
              <w:spacing w:before="0" w:beforeAutospacing="0" w:after="0" w:afterAutospacing="0"/>
              <w:ind w:left="0" w:right="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小写：</w:t>
            </w:r>
          </w:p>
        </w:tc>
      </w:tr>
    </w:tbl>
    <w:p w14:paraId="513FF0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仿宋"/>
          <w:color w:val="auto"/>
          <w:sz w:val="24"/>
          <w:szCs w:val="24"/>
        </w:rPr>
      </w:pPr>
    </w:p>
    <w:p w14:paraId="5B915C2A">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仿宋"/>
          <w:color w:val="auto"/>
          <w:sz w:val="24"/>
          <w:szCs w:val="24"/>
        </w:rPr>
      </w:pPr>
      <w:r>
        <w:rPr>
          <w:rFonts w:hint="eastAsia" w:ascii="宋体" w:hAnsi="宋体" w:cs="仿宋"/>
          <w:color w:val="auto"/>
          <w:sz w:val="24"/>
          <w:szCs w:val="24"/>
        </w:rPr>
        <w:t>注：1.投标人可根据实际情况自行扩展表格细项。</w:t>
      </w:r>
    </w:p>
    <w:p w14:paraId="1916E3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仿宋"/>
          <w:color w:val="auto"/>
          <w:sz w:val="24"/>
          <w:szCs w:val="24"/>
        </w:rPr>
      </w:pPr>
      <w:r>
        <w:rPr>
          <w:rFonts w:hint="eastAsia" w:ascii="宋体" w:hAnsi="宋体" w:cs="仿宋"/>
          <w:color w:val="auto"/>
          <w:sz w:val="24"/>
          <w:szCs w:val="24"/>
        </w:rPr>
        <w:t>2.所投货币为人民币。</w:t>
      </w:r>
    </w:p>
    <w:p w14:paraId="7C5E9BE3">
      <w:pPr>
        <w:pStyle w:val="23"/>
        <w:rPr>
          <w:color w:val="auto"/>
        </w:rPr>
      </w:pPr>
    </w:p>
    <w:p w14:paraId="3993092C">
      <w:pPr>
        <w:pStyle w:val="23"/>
        <w:rPr>
          <w:color w:val="auto"/>
        </w:rPr>
      </w:pPr>
    </w:p>
    <w:p w14:paraId="0C733968">
      <w:pPr>
        <w:adjustRightInd w:val="0"/>
        <w:snapToGrid w:val="0"/>
        <w:spacing w:line="480" w:lineRule="auto"/>
        <w:jc w:val="left"/>
        <w:rPr>
          <w:rFonts w:hint="eastAsia" w:ascii="宋体" w:hAnsi="宋体" w:cs="宋体"/>
          <w:color w:val="auto"/>
          <w:sz w:val="24"/>
          <w:szCs w:val="24"/>
        </w:rPr>
      </w:pPr>
    </w:p>
    <w:p w14:paraId="387F0553">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3999C84C">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3151708B">
      <w:pPr>
        <w:pStyle w:val="3"/>
        <w:jc w:val="both"/>
        <w:rPr>
          <w:rFonts w:hint="eastAsia" w:ascii="宋体" w:hAnsi="宋体" w:eastAsia="宋体" w:cs="宋体"/>
          <w:b w:val="0"/>
          <w:bCs w:val="0"/>
          <w:color w:val="auto"/>
          <w:kern w:val="2"/>
          <w:sz w:val="24"/>
          <w:szCs w:val="24"/>
          <w:lang w:val="en-US" w:eastAsia="zh-CN" w:bidi="ar-SA"/>
        </w:rPr>
        <w:sectPr>
          <w:headerReference r:id="rId16" w:type="first"/>
          <w:footerReference r:id="rId18" w:type="first"/>
          <w:headerReference r:id="rId15" w:type="default"/>
          <w:footerReference r:id="rId17"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b w:val="0"/>
          <w:bCs w:val="0"/>
          <w:color w:val="auto"/>
          <w:sz w:val="24"/>
          <w:szCs w:val="24"/>
        </w:rPr>
        <w:t>日</w:t>
      </w:r>
      <w:r>
        <w:rPr>
          <w:rFonts w:ascii="宋体" w:hAnsi="宋体" w:cs="宋体"/>
          <w:b w:val="0"/>
          <w:bCs w:val="0"/>
          <w:color w:val="auto"/>
          <w:sz w:val="24"/>
          <w:szCs w:val="24"/>
        </w:rPr>
        <w:t xml:space="preserve">    </w:t>
      </w:r>
      <w:r>
        <w:rPr>
          <w:rFonts w:hint="eastAsia" w:ascii="宋体" w:hAnsi="宋体" w:cs="宋体"/>
          <w:b w:val="0"/>
          <w:bCs w:val="0"/>
          <w:color w:val="auto"/>
          <w:sz w:val="24"/>
          <w:szCs w:val="24"/>
        </w:rPr>
        <w:t>期：_______年_______月_______日</w:t>
      </w:r>
    </w:p>
    <w:p w14:paraId="7A40CB3E">
      <w:pPr>
        <w:pStyle w:val="3"/>
        <w:pageBreakBefore/>
        <w:rPr>
          <w:rFonts w:hint="eastAsia" w:ascii="Calibri" w:hAnsi="宋体" w:eastAsia="宋体" w:cs="Calibri"/>
          <w:b/>
          <w:bCs w:val="0"/>
          <w:color w:val="auto"/>
          <w:kern w:val="2"/>
          <w:sz w:val="32"/>
          <w:szCs w:val="32"/>
          <w:lang w:val="en-US" w:eastAsia="zh-CN" w:bidi="ar-SA"/>
        </w:rPr>
      </w:pPr>
      <w:r>
        <w:rPr>
          <w:rFonts w:hint="eastAsia" w:ascii="Calibri" w:hAnsi="宋体" w:eastAsia="宋体" w:cs="Calibri"/>
          <w:b/>
          <w:bCs w:val="0"/>
          <w:color w:val="auto"/>
          <w:kern w:val="2"/>
          <w:sz w:val="32"/>
          <w:szCs w:val="32"/>
          <w:lang w:val="en-US" w:eastAsia="zh-CN" w:bidi="ar-SA"/>
        </w:rPr>
        <w:t>第三章 供应商</w:t>
      </w:r>
      <w:r>
        <w:rPr>
          <w:rFonts w:hint="eastAsia" w:ascii="Calibri" w:hAnsi="宋体" w:cs="Calibri"/>
          <w:b/>
          <w:bCs w:val="0"/>
          <w:color w:val="auto"/>
          <w:kern w:val="2"/>
          <w:sz w:val="32"/>
          <w:szCs w:val="32"/>
          <w:lang w:val="en-US" w:eastAsia="zh-CN" w:bidi="ar-SA"/>
        </w:rPr>
        <w:t>资格证明文件</w:t>
      </w:r>
    </w:p>
    <w:p w14:paraId="7C52048E">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17F9D4A1">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5A8BBA3">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352D3850">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44E94CD2">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434D772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提供2026年1月至今任意一个月缴纳的纳税证明或完税证明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24CC4AA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提供2026年1月至今任意一个月社会保障资金缴存单据或社保机构开具的社会保险参保缴费情况证明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0B64E81B">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（8）供应商具有国家行政主管部门颁发的承修（试）电力施工许可证（承修类三级、承试类三级)或以上资质，同时具备有效的安全生产许可证。</w:t>
      </w:r>
    </w:p>
    <w:p w14:paraId="28B0051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9</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58B258A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10</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439CC16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（11）本项目专门面向中小企业采购，投标人须提供《中小企业声明函》。</w:t>
      </w:r>
    </w:p>
    <w:p w14:paraId="5E0BB247">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auto"/>
          <w:spacing w:val="0"/>
          <w:sz w:val="24"/>
          <w:szCs w:val="24"/>
          <w:shd w:val="clear" w:fill="FFFFFF"/>
        </w:rPr>
      </w:pPr>
    </w:p>
    <w:p w14:paraId="23C26D16">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auto"/>
          <w:spacing w:val="0"/>
          <w:sz w:val="24"/>
          <w:szCs w:val="24"/>
          <w:shd w:val="clear" w:fill="FFFFFF"/>
        </w:rPr>
      </w:pPr>
    </w:p>
    <w:p w14:paraId="4EE504EB">
      <w:pPr>
        <w:keepNext w:val="0"/>
        <w:keepLines w:val="0"/>
        <w:pageBreakBefore w:val="0"/>
        <w:kinsoku/>
        <w:wordWrap/>
        <w:overflowPunct/>
        <w:topLinePunct w:val="0"/>
        <w:autoSpaceDE/>
        <w:autoSpaceDN/>
        <w:bidi w:val="0"/>
        <w:adjustRightInd/>
        <w:spacing w:line="500" w:lineRule="exact"/>
        <w:jc w:val="center"/>
        <w:textAlignment w:val="auto"/>
        <w:rPr>
          <w:rFonts w:ascii="宋体" w:hAnsi="宋体" w:cs="Arial"/>
          <w:b/>
          <w:color w:val="auto"/>
          <w:kern w:val="0"/>
          <w:sz w:val="32"/>
          <w:szCs w:val="32"/>
        </w:rPr>
      </w:pPr>
      <w:r>
        <w:rPr>
          <w:rFonts w:hint="eastAsia" w:ascii="宋体" w:hAnsi="宋体" w:eastAsia="宋体" w:cs="宋体"/>
          <w:b/>
          <w:bCs/>
          <w:color w:val="auto"/>
          <w:kern w:val="2"/>
          <w:sz w:val="28"/>
          <w:szCs w:val="28"/>
          <w:lang w:val="en-US" w:eastAsia="zh-CN" w:bidi="ar-SA"/>
        </w:rPr>
        <w:t>法定代表人证明书</w:t>
      </w:r>
    </w:p>
    <w:p w14:paraId="01BD606D">
      <w:pPr>
        <w:tabs>
          <w:tab w:val="left" w:pos="210"/>
        </w:tabs>
        <w:spacing w:line="320" w:lineRule="exact"/>
        <w:jc w:val="center"/>
        <w:rPr>
          <w:rFonts w:ascii="宋体" w:hAnsi="宋体" w:cs="Arial"/>
          <w:b/>
          <w:color w:val="auto"/>
          <w:kern w:val="0"/>
          <w:sz w:val="32"/>
          <w:szCs w:val="32"/>
        </w:rPr>
      </w:pPr>
    </w:p>
    <w:tbl>
      <w:tblPr>
        <w:tblStyle w:val="37"/>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22FB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749755E0">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w:t>
            </w:r>
            <w:r>
              <w:rPr>
                <w:rFonts w:hint="eastAsia" w:hAnsi="宋体"/>
                <w:color w:val="auto"/>
                <w:sz w:val="24"/>
                <w:szCs w:val="24"/>
              </w:rPr>
              <w:t>安康尚昊招标代理有限公司</w:t>
            </w:r>
          </w:p>
        </w:tc>
      </w:tr>
      <w:tr w14:paraId="4325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4D124AB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7DBEC59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10D9A8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5A91057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69FB836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5291097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7719079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7469C45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43F38F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0C6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D815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FF558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2C40A03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951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1ACF9C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F85FC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4078C3C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32F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170CBA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0253E23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63C9C36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169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634E1F5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289161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04542C55">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5EA6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7942E6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5845D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2456E19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F88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5D1A86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77F7351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4213D26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2DACCB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258D432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5BC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305A4FE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36C57E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1DE2BA8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4B012DB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2116E6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0941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22E49E8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BD878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2CB21CA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5EC0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763F189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0235A26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0A01A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14D7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7461E54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6E2F113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2B25C76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1B333C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5B85CC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435351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6586BA0">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79A70EE5">
      <w:pPr>
        <w:pStyle w:val="3"/>
        <w:pageBreakBefore/>
        <w:rPr>
          <w:rFonts w:ascii="宋体" w:hAnsi="宋体" w:cs="宋体"/>
          <w:color w:val="auto"/>
        </w:rPr>
      </w:pPr>
      <w:bookmarkStart w:id="153" w:name="_Toc19543356"/>
      <w:r>
        <w:rPr>
          <w:rFonts w:hint="eastAsia" w:ascii="宋体" w:hAnsi="宋体" w:cs="宋体"/>
          <w:color w:val="auto"/>
        </w:rPr>
        <w:t>法定代表人授权书</w:t>
      </w:r>
      <w:bookmarkEnd w:id="153"/>
    </w:p>
    <w:p w14:paraId="4C661FC4">
      <w:pPr>
        <w:pStyle w:val="18"/>
        <w:spacing w:line="400" w:lineRule="exact"/>
        <w:jc w:val="left"/>
        <w:rPr>
          <w:rFonts w:hAnsi="宋体" w:cs="Times New Roman"/>
          <w:color w:val="auto"/>
          <w:sz w:val="24"/>
          <w:szCs w:val="24"/>
        </w:rPr>
      </w:pPr>
      <w:r>
        <w:rPr>
          <w:rFonts w:hint="eastAsia" w:hAnsi="宋体"/>
          <w:color w:val="auto"/>
          <w:sz w:val="24"/>
          <w:szCs w:val="24"/>
        </w:rPr>
        <w:t>安康尚昊招标代理有限公司：</w:t>
      </w:r>
    </w:p>
    <w:p w14:paraId="34CF3143">
      <w:pPr>
        <w:tabs>
          <w:tab w:val="left" w:pos="8820"/>
        </w:tabs>
        <w:spacing w:line="400" w:lineRule="exact"/>
        <w:ind w:firstLine="570"/>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的采购活动。以我方名义全权处理该项目有关磋商、签订合同以及执行合同等一切事宜。</w:t>
      </w:r>
    </w:p>
    <w:p w14:paraId="5316CC85">
      <w:pPr>
        <w:spacing w:line="400" w:lineRule="exact"/>
        <w:ind w:firstLine="480" w:firstLineChars="200"/>
        <w:rPr>
          <w:rFonts w:ascii="宋体" w:cs="Times New Roman"/>
          <w:color w:val="auto"/>
          <w:sz w:val="24"/>
          <w:szCs w:val="24"/>
        </w:rPr>
      </w:pPr>
      <w:r>
        <w:rPr>
          <w:rFonts w:hint="eastAsia" w:ascii="宋体" w:hAnsi="宋体" w:cs="宋体"/>
          <w:color w:val="auto"/>
          <w:sz w:val="24"/>
          <w:szCs w:val="24"/>
        </w:rPr>
        <w:t>有效期自磋商之日起</w:t>
      </w:r>
      <w:r>
        <w:rPr>
          <w:rFonts w:hint="eastAsia" w:ascii="宋体" w:hAnsi="宋体" w:cs="宋体"/>
          <w:color w:val="auto"/>
          <w:sz w:val="24"/>
          <w:szCs w:val="24"/>
          <w:u w:val="single"/>
        </w:rPr>
        <w:t xml:space="preserve">    </w:t>
      </w:r>
      <w:r>
        <w:rPr>
          <w:rFonts w:hint="eastAsia" w:ascii="宋体" w:hAnsi="宋体" w:cs="宋体"/>
          <w:color w:val="auto"/>
          <w:sz w:val="24"/>
          <w:szCs w:val="24"/>
        </w:rPr>
        <w:t>日历日，特此声明。</w:t>
      </w:r>
    </w:p>
    <w:p w14:paraId="78D091B0">
      <w:pPr>
        <w:pStyle w:val="18"/>
        <w:spacing w:line="400" w:lineRule="exact"/>
        <w:ind w:firstLine="480" w:firstLineChars="200"/>
        <w:jc w:val="left"/>
        <w:rPr>
          <w:rFonts w:hAnsi="宋体"/>
          <w:color w:val="auto"/>
          <w:sz w:val="24"/>
          <w:szCs w:val="24"/>
        </w:rPr>
      </w:pPr>
      <w:r>
        <w:rPr>
          <w:rFonts w:hint="eastAsia" w:hAnsi="宋体"/>
          <w:color w:val="auto"/>
          <w:sz w:val="24"/>
          <w:szCs w:val="24"/>
        </w:rPr>
        <w:t>供应商（单位名称及公章）：</w:t>
      </w:r>
      <w:r>
        <w:rPr>
          <w:rFonts w:hAnsi="宋体"/>
          <w:color w:val="auto"/>
          <w:sz w:val="24"/>
          <w:szCs w:val="24"/>
        </w:rPr>
        <w:t>________</w:t>
      </w:r>
    </w:p>
    <w:p w14:paraId="27042D62">
      <w:pPr>
        <w:pStyle w:val="18"/>
        <w:spacing w:line="400" w:lineRule="exact"/>
        <w:ind w:firstLine="480" w:firstLineChars="200"/>
        <w:jc w:val="left"/>
        <w:rPr>
          <w:rFonts w:hAnsi="宋体"/>
          <w:color w:val="auto"/>
          <w:sz w:val="24"/>
          <w:szCs w:val="24"/>
          <w:u w:val="single"/>
        </w:rPr>
      </w:pPr>
      <w:r>
        <w:rPr>
          <w:rFonts w:hint="eastAsia" w:hAnsi="宋体"/>
          <w:color w:val="auto"/>
          <w:sz w:val="24"/>
          <w:szCs w:val="24"/>
        </w:rPr>
        <w:t>法定代表人（签字或盖章）：</w:t>
      </w:r>
      <w:r>
        <w:rPr>
          <w:rFonts w:hAnsi="宋体"/>
          <w:color w:val="auto"/>
          <w:sz w:val="24"/>
          <w:szCs w:val="24"/>
        </w:rPr>
        <w:t>________</w:t>
      </w:r>
    </w:p>
    <w:p w14:paraId="3115FCF6">
      <w:pPr>
        <w:pStyle w:val="18"/>
        <w:spacing w:line="400" w:lineRule="exact"/>
        <w:ind w:firstLine="480" w:firstLineChars="200"/>
        <w:jc w:val="left"/>
        <w:rPr>
          <w:rFonts w:hAnsi="宋体" w:cs="Times New Roman"/>
          <w:color w:val="auto"/>
          <w:sz w:val="24"/>
          <w:szCs w:val="24"/>
        </w:rPr>
      </w:pPr>
      <w:r>
        <w:rPr>
          <w:rFonts w:hint="eastAsia" w:hAnsi="宋体"/>
          <w:color w:val="auto"/>
          <w:sz w:val="24"/>
          <w:szCs w:val="24"/>
        </w:rPr>
        <w:t>被授权人（签字）：</w:t>
      </w:r>
      <w:r>
        <w:rPr>
          <w:rFonts w:hAnsi="宋体"/>
          <w:color w:val="auto"/>
          <w:sz w:val="24"/>
          <w:szCs w:val="24"/>
        </w:rPr>
        <w:t>________</w:t>
      </w:r>
      <w:r>
        <w:rPr>
          <w:rFonts w:hint="eastAsia" w:hAnsi="宋体"/>
          <w:color w:val="auto"/>
          <w:sz w:val="24"/>
          <w:szCs w:val="24"/>
        </w:rPr>
        <w:t>性别：</w:t>
      </w:r>
      <w:r>
        <w:rPr>
          <w:rFonts w:hAnsi="宋体"/>
          <w:color w:val="auto"/>
          <w:sz w:val="24"/>
          <w:szCs w:val="24"/>
        </w:rPr>
        <w:t>________</w:t>
      </w:r>
    </w:p>
    <w:p w14:paraId="47F8399F">
      <w:pPr>
        <w:pStyle w:val="18"/>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联系地址：</w:t>
      </w:r>
      <w:r>
        <w:rPr>
          <w:rFonts w:hAnsi="宋体"/>
          <w:color w:val="auto"/>
          <w:sz w:val="24"/>
          <w:szCs w:val="24"/>
        </w:rPr>
        <w:t>________________</w:t>
      </w:r>
    </w:p>
    <w:p w14:paraId="25456653">
      <w:pPr>
        <w:pStyle w:val="18"/>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联系电话：</w:t>
      </w:r>
      <w:r>
        <w:rPr>
          <w:rFonts w:hAnsi="宋体"/>
          <w:color w:val="auto"/>
          <w:sz w:val="24"/>
          <w:szCs w:val="24"/>
        </w:rPr>
        <w:t>________________</w:t>
      </w:r>
    </w:p>
    <w:p w14:paraId="78574C4F">
      <w:pPr>
        <w:pStyle w:val="18"/>
        <w:spacing w:line="400" w:lineRule="exact"/>
        <w:ind w:firstLine="480" w:firstLineChars="200"/>
        <w:jc w:val="left"/>
        <w:rPr>
          <w:rFonts w:hint="default" w:hAnsi="宋体" w:eastAsia="宋体"/>
          <w:color w:val="auto"/>
          <w:sz w:val="24"/>
          <w:szCs w:val="24"/>
          <w:lang w:val="en-US" w:eastAsia="zh-CN"/>
        </w:rPr>
      </w:pPr>
      <w:r>
        <w:rPr>
          <w:rFonts w:hint="eastAsia" w:hAnsi="宋体"/>
          <w:color w:val="auto"/>
          <w:sz w:val="24"/>
          <w:szCs w:val="24"/>
          <w:lang w:val="en-US" w:eastAsia="zh-CN"/>
        </w:rPr>
        <w:t>签发日期：</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年</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月</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日</w:t>
      </w:r>
    </w:p>
    <w:p w14:paraId="5E06F17B">
      <w:pPr>
        <w:pStyle w:val="18"/>
        <w:spacing w:line="400" w:lineRule="exact"/>
        <w:ind w:firstLine="480" w:firstLineChars="200"/>
        <w:jc w:val="left"/>
        <w:rPr>
          <w:rFonts w:hAnsi="宋体" w:cs="Times New Roman"/>
          <w:color w:val="auto"/>
          <w:sz w:val="24"/>
          <w:szCs w:val="24"/>
        </w:rPr>
      </w:pPr>
      <w:r>
        <w:rPr>
          <w:rFonts w:hint="eastAsia" w:hAnsi="宋体"/>
          <w:color w:val="auto"/>
          <w:sz w:val="24"/>
          <w:szCs w:val="24"/>
        </w:rPr>
        <w:t>法定代表人及被授权人身份证复印件（注：身份证复印件须加盖企业公章）</w:t>
      </w:r>
    </w:p>
    <w:tbl>
      <w:tblPr>
        <w:tblStyle w:val="37"/>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1547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412171CB">
            <w:pPr>
              <w:pStyle w:val="18"/>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法定代表人身份证复印件（正面）</w:t>
            </w:r>
          </w:p>
        </w:tc>
        <w:tc>
          <w:tcPr>
            <w:tcW w:w="4531" w:type="dxa"/>
            <w:shd w:val="clear" w:color="auto" w:fill="D9D9D9"/>
            <w:vAlign w:val="center"/>
          </w:tcPr>
          <w:p w14:paraId="6087BE65">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被授权人身份证复印件（正面）</w:t>
            </w:r>
          </w:p>
        </w:tc>
      </w:tr>
      <w:tr w14:paraId="1EAC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47AD5659">
            <w:pPr>
              <w:pStyle w:val="18"/>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法定代表人身份证复印件（反面）</w:t>
            </w:r>
          </w:p>
        </w:tc>
        <w:tc>
          <w:tcPr>
            <w:tcW w:w="4531" w:type="dxa"/>
            <w:shd w:val="clear" w:color="auto" w:fill="D9D9D9"/>
            <w:vAlign w:val="center"/>
          </w:tcPr>
          <w:p w14:paraId="31F9E4DC">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被授权人身份证复印件（反面）</w:t>
            </w:r>
          </w:p>
        </w:tc>
      </w:tr>
    </w:tbl>
    <w:p w14:paraId="086F50CC">
      <w:pPr>
        <w:pStyle w:val="18"/>
        <w:spacing w:line="500" w:lineRule="exact"/>
        <w:ind w:firstLine="480" w:firstLineChars="200"/>
        <w:jc w:val="left"/>
        <w:rPr>
          <w:rFonts w:hAnsi="宋体"/>
          <w:color w:val="auto"/>
          <w:sz w:val="24"/>
          <w:szCs w:val="24"/>
        </w:rPr>
      </w:pPr>
      <w:r>
        <w:rPr>
          <w:rFonts w:hint="eastAsia" w:hAnsi="宋体"/>
          <w:color w:val="auto"/>
          <w:sz w:val="24"/>
          <w:szCs w:val="24"/>
        </w:rPr>
        <w:t>说明：</w:t>
      </w:r>
    </w:p>
    <w:p w14:paraId="36BCC75B">
      <w:pPr>
        <w:pStyle w:val="18"/>
        <w:spacing w:line="500" w:lineRule="exact"/>
        <w:ind w:firstLine="480" w:firstLineChars="200"/>
        <w:jc w:val="left"/>
        <w:rPr>
          <w:rFonts w:hAnsi="宋体"/>
          <w:color w:val="auto"/>
          <w:sz w:val="24"/>
          <w:szCs w:val="24"/>
        </w:rPr>
      </w:pPr>
      <w:r>
        <w:rPr>
          <w:rFonts w:hAnsi="宋体"/>
          <w:color w:val="auto"/>
          <w:sz w:val="24"/>
          <w:szCs w:val="24"/>
        </w:rPr>
        <w:t>1</w:t>
      </w:r>
      <w:r>
        <w:rPr>
          <w:rFonts w:hint="eastAsia" w:hAnsi="宋体"/>
          <w:color w:val="auto"/>
          <w:sz w:val="24"/>
          <w:szCs w:val="24"/>
        </w:rPr>
        <w:t>．本授权书有效期自招标大会之日计算不得少于</w:t>
      </w:r>
      <w:r>
        <w:rPr>
          <w:rFonts w:hAnsi="宋体"/>
          <w:color w:val="auto"/>
          <w:sz w:val="24"/>
          <w:szCs w:val="24"/>
        </w:rPr>
        <w:t>90</w:t>
      </w:r>
      <w:r>
        <w:rPr>
          <w:rFonts w:hint="eastAsia" w:hAnsi="宋体"/>
          <w:color w:val="auto"/>
          <w:sz w:val="24"/>
          <w:szCs w:val="24"/>
        </w:rPr>
        <w:t>日历日。</w:t>
      </w:r>
    </w:p>
    <w:p w14:paraId="254EC489">
      <w:pPr>
        <w:pStyle w:val="18"/>
        <w:spacing w:line="500" w:lineRule="exact"/>
        <w:ind w:firstLine="480" w:firstLineChars="200"/>
        <w:jc w:val="left"/>
        <w:rPr>
          <w:rFonts w:hAnsi="宋体"/>
          <w:b/>
          <w:bCs/>
          <w:color w:val="auto"/>
          <w:sz w:val="24"/>
          <w:szCs w:val="24"/>
        </w:rPr>
      </w:pPr>
      <w:r>
        <w:rPr>
          <w:rFonts w:hAnsi="宋体"/>
          <w:color w:val="auto"/>
          <w:sz w:val="24"/>
          <w:szCs w:val="24"/>
        </w:rPr>
        <w:t>2</w:t>
      </w:r>
      <w:r>
        <w:rPr>
          <w:rFonts w:hint="eastAsia" w:hAnsi="宋体"/>
          <w:color w:val="auto"/>
          <w:sz w:val="24"/>
          <w:szCs w:val="24"/>
        </w:rPr>
        <w:t>．授权书内容填写要明确，文字要工整清楚，涂改无效。</w:t>
      </w:r>
      <w:r>
        <w:rPr>
          <w:rFonts w:hint="eastAsia" w:hAnsi="宋体"/>
          <w:color w:val="auto"/>
        </w:rPr>
        <w:br w:type="page"/>
      </w:r>
    </w:p>
    <w:p w14:paraId="33357550">
      <w:pPr>
        <w:pStyle w:val="3"/>
        <w:rPr>
          <w:color w:val="auto"/>
        </w:rPr>
      </w:pPr>
      <w:bookmarkStart w:id="154" w:name="_Toc536202328"/>
      <w:bookmarkStart w:id="155" w:name="_Toc19543357"/>
      <w:bookmarkStart w:id="156" w:name="_Toc7526"/>
      <w:bookmarkStart w:id="157" w:name="_Toc536429390"/>
      <w:bookmarkStart w:id="158" w:name="_Toc536202397"/>
      <w:bookmarkStart w:id="159" w:name="_Toc536429337"/>
      <w:r>
        <w:rPr>
          <w:rFonts w:hint="eastAsia"/>
          <w:color w:val="auto"/>
        </w:rPr>
        <w:t>无重大违法记录声明</w:t>
      </w:r>
    </w:p>
    <w:p w14:paraId="51FD7AE6">
      <w:pPr>
        <w:adjustRightInd w:val="0"/>
        <w:snapToGrid w:val="0"/>
        <w:spacing w:line="360" w:lineRule="auto"/>
        <w:ind w:firstLine="420" w:firstLineChars="200"/>
        <w:rPr>
          <w:rFonts w:hint="eastAsia"/>
          <w:color w:val="auto"/>
        </w:rPr>
      </w:pPr>
    </w:p>
    <w:p w14:paraId="319CDBC0">
      <w:pPr>
        <w:adjustRightInd w:val="0"/>
        <w:snapToGrid w:val="0"/>
        <w:spacing w:line="360" w:lineRule="auto"/>
        <w:ind w:firstLine="480" w:firstLineChars="200"/>
        <w:rPr>
          <w:rFonts w:hint="eastAsia"/>
          <w:color w:val="auto"/>
          <w:sz w:val="24"/>
          <w:szCs w:val="24"/>
        </w:rPr>
      </w:pPr>
      <w:r>
        <w:rPr>
          <w:rFonts w:hint="eastAsia"/>
          <w:color w:val="auto"/>
          <w:sz w:val="24"/>
          <w:szCs w:val="24"/>
        </w:rPr>
        <w:t>我单位参与安康尚昊招标代理有限公司组织的</w:t>
      </w:r>
      <w:r>
        <w:rPr>
          <w:rFonts w:hint="eastAsia"/>
          <w:color w:val="auto"/>
          <w:sz w:val="24"/>
          <w:szCs w:val="24"/>
          <w:u w:val="single"/>
        </w:rPr>
        <w:t xml:space="preserve">     （项目名称）（项目编号）    </w:t>
      </w:r>
      <w:r>
        <w:rPr>
          <w:rFonts w:hint="eastAsia"/>
          <w:color w:val="auto"/>
          <w:sz w:val="24"/>
          <w:szCs w:val="24"/>
          <w:lang w:eastAsia="zh-CN"/>
        </w:rPr>
        <w:t>竞争性</w:t>
      </w:r>
      <w:r>
        <w:rPr>
          <w:rFonts w:hint="eastAsia"/>
          <w:color w:val="auto"/>
          <w:sz w:val="24"/>
          <w:szCs w:val="24"/>
          <w:lang w:val="en-US" w:eastAsia="zh-CN"/>
        </w:rPr>
        <w:t>磋商采购活动</w:t>
      </w:r>
      <w:r>
        <w:rPr>
          <w:rFonts w:hint="eastAsia"/>
          <w:color w:val="auto"/>
          <w:sz w:val="24"/>
          <w:szCs w:val="24"/>
        </w:rPr>
        <w:t>，我单位郑重声明：我方参加本项目</w:t>
      </w:r>
      <w:r>
        <w:rPr>
          <w:rFonts w:hint="eastAsia"/>
          <w:color w:val="auto"/>
          <w:sz w:val="24"/>
          <w:szCs w:val="24"/>
          <w:lang w:val="en-US" w:eastAsia="zh-CN"/>
        </w:rPr>
        <w:t>采购活动</w:t>
      </w:r>
      <w:r>
        <w:rPr>
          <w:rFonts w:hint="eastAsia"/>
          <w:color w:val="auto"/>
          <w:sz w:val="24"/>
          <w:szCs w:val="24"/>
        </w:rPr>
        <w:t>前三年内无重大违法活动记录，符合《中华人民共和国政府采购法》规定的供应商资格条件，我方对此声明负全部法律责任。</w:t>
      </w:r>
    </w:p>
    <w:p w14:paraId="706CC517">
      <w:pPr>
        <w:adjustRightInd w:val="0"/>
        <w:snapToGrid w:val="0"/>
        <w:spacing w:line="360" w:lineRule="auto"/>
        <w:rPr>
          <w:rFonts w:hint="eastAsia"/>
          <w:color w:val="auto"/>
          <w:sz w:val="24"/>
          <w:szCs w:val="24"/>
        </w:rPr>
      </w:pPr>
    </w:p>
    <w:p w14:paraId="3016F789">
      <w:pPr>
        <w:adjustRightInd w:val="0"/>
        <w:snapToGrid w:val="0"/>
        <w:spacing w:line="360" w:lineRule="auto"/>
        <w:ind w:firstLine="480" w:firstLineChars="200"/>
        <w:rPr>
          <w:rFonts w:hint="eastAsia"/>
          <w:color w:val="auto"/>
          <w:sz w:val="24"/>
          <w:szCs w:val="24"/>
        </w:rPr>
      </w:pPr>
      <w:r>
        <w:rPr>
          <w:rFonts w:hint="eastAsia"/>
          <w:color w:val="auto"/>
          <w:sz w:val="24"/>
          <w:szCs w:val="24"/>
        </w:rPr>
        <w:t>特此声明。</w:t>
      </w:r>
    </w:p>
    <w:p w14:paraId="1D295CDD">
      <w:pPr>
        <w:adjustRightInd w:val="0"/>
        <w:snapToGrid w:val="0"/>
        <w:spacing w:line="360" w:lineRule="auto"/>
        <w:rPr>
          <w:rFonts w:hint="eastAsia"/>
          <w:color w:val="auto"/>
          <w:sz w:val="24"/>
          <w:szCs w:val="24"/>
        </w:rPr>
      </w:pPr>
    </w:p>
    <w:p w14:paraId="7D10ACE6">
      <w:pPr>
        <w:adjustRightInd w:val="0"/>
        <w:snapToGrid w:val="0"/>
        <w:spacing w:line="360" w:lineRule="auto"/>
        <w:rPr>
          <w:rFonts w:hint="eastAsia"/>
          <w:color w:val="auto"/>
          <w:sz w:val="24"/>
          <w:szCs w:val="24"/>
        </w:rPr>
      </w:pPr>
    </w:p>
    <w:p w14:paraId="7882D03C">
      <w:pPr>
        <w:pStyle w:val="36"/>
        <w:rPr>
          <w:rFonts w:hint="eastAsia"/>
          <w:color w:val="auto"/>
          <w:sz w:val="24"/>
          <w:szCs w:val="24"/>
        </w:rPr>
      </w:pPr>
    </w:p>
    <w:p w14:paraId="0A065F02">
      <w:pPr>
        <w:pStyle w:val="36"/>
        <w:rPr>
          <w:rFonts w:hint="eastAsia"/>
          <w:color w:val="auto"/>
          <w:sz w:val="24"/>
          <w:szCs w:val="24"/>
        </w:rPr>
      </w:pPr>
    </w:p>
    <w:p w14:paraId="5CA18A21">
      <w:pPr>
        <w:pStyle w:val="36"/>
        <w:rPr>
          <w:rFonts w:hint="eastAsia"/>
          <w:color w:val="auto"/>
          <w:sz w:val="24"/>
          <w:szCs w:val="24"/>
        </w:rPr>
      </w:pPr>
    </w:p>
    <w:p w14:paraId="2443D883">
      <w:pPr>
        <w:adjustRightInd w:val="0"/>
        <w:snapToGrid w:val="0"/>
        <w:spacing w:line="360" w:lineRule="auto"/>
        <w:rPr>
          <w:rFonts w:hint="eastAsia"/>
          <w:color w:val="auto"/>
          <w:sz w:val="24"/>
          <w:szCs w:val="24"/>
          <w:lang w:eastAsia="zh-CN"/>
        </w:rPr>
      </w:pPr>
    </w:p>
    <w:p w14:paraId="62BBF37D">
      <w:pPr>
        <w:adjustRightInd w:val="0"/>
        <w:snapToGrid w:val="0"/>
        <w:spacing w:line="360" w:lineRule="auto"/>
        <w:ind w:firstLine="480" w:firstLineChars="200"/>
        <w:rPr>
          <w:rFonts w:hint="eastAsia"/>
          <w:color w:val="auto"/>
          <w:sz w:val="24"/>
          <w:szCs w:val="24"/>
        </w:rPr>
      </w:pPr>
      <w:r>
        <w:rPr>
          <w:rFonts w:hint="eastAsia"/>
          <w:color w:val="auto"/>
          <w:sz w:val="24"/>
          <w:szCs w:val="24"/>
        </w:rPr>
        <w:t>供应商（单位名称及公章）：____________________</w:t>
      </w:r>
    </w:p>
    <w:p w14:paraId="315C9723">
      <w:pPr>
        <w:adjustRightInd w:val="0"/>
        <w:snapToGrid w:val="0"/>
        <w:spacing w:line="360" w:lineRule="auto"/>
        <w:ind w:firstLine="480" w:firstLineChars="200"/>
        <w:rPr>
          <w:rFonts w:hint="eastAsia"/>
          <w:color w:val="auto"/>
          <w:sz w:val="24"/>
          <w:szCs w:val="24"/>
        </w:rPr>
      </w:pPr>
      <w:r>
        <w:rPr>
          <w:rFonts w:hint="eastAsia"/>
          <w:color w:val="auto"/>
          <w:sz w:val="24"/>
          <w:szCs w:val="24"/>
        </w:rPr>
        <w:t>法定代表人</w:t>
      </w:r>
      <w:r>
        <w:rPr>
          <w:rFonts w:hint="eastAsia"/>
          <w:color w:val="auto"/>
          <w:sz w:val="24"/>
          <w:szCs w:val="24"/>
          <w:lang w:val="en-US" w:eastAsia="zh-CN"/>
        </w:rPr>
        <w:t>或</w:t>
      </w:r>
      <w:r>
        <w:rPr>
          <w:rFonts w:hint="eastAsia"/>
          <w:color w:val="auto"/>
          <w:sz w:val="24"/>
          <w:szCs w:val="24"/>
        </w:rPr>
        <w:t>被授权人（签字）：____________________</w:t>
      </w:r>
    </w:p>
    <w:p w14:paraId="5C3D2722">
      <w:pPr>
        <w:adjustRightInd w:val="0"/>
        <w:snapToGrid w:val="0"/>
        <w:spacing w:line="360" w:lineRule="auto"/>
        <w:ind w:firstLine="480" w:firstLineChars="200"/>
        <w:rPr>
          <w:color w:val="auto"/>
        </w:rPr>
        <w:sectPr>
          <w:pgSz w:w="11906" w:h="16838"/>
          <w:pgMar w:top="1417" w:right="1417" w:bottom="1417" w:left="1417" w:header="1134" w:footer="992" w:gutter="0"/>
          <w:pgNumType w:fmt="decimal"/>
          <w:cols w:space="0" w:num="1"/>
          <w:titlePg/>
          <w:docGrid w:type="lines" w:linePitch="326" w:charSpace="0"/>
        </w:sectPr>
      </w:pPr>
      <w:r>
        <w:rPr>
          <w:rFonts w:hint="eastAsia"/>
          <w:color w:val="auto"/>
          <w:sz w:val="24"/>
          <w:szCs w:val="24"/>
        </w:rPr>
        <w:t>日    期：________年________月________日</w:t>
      </w:r>
    </w:p>
    <w:p w14:paraId="298F182E">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投标人非联合体投标声明</w:t>
      </w:r>
    </w:p>
    <w:p w14:paraId="7960389B">
      <w:pPr>
        <w:adjustRightInd w:val="0"/>
        <w:snapToGrid w:val="0"/>
        <w:spacing w:line="360" w:lineRule="auto"/>
        <w:rPr>
          <w:rFonts w:ascii="仿宋" w:hAnsi="仿宋" w:eastAsia="仿宋" w:cs="黑体"/>
          <w:bCs/>
          <w:color w:val="auto"/>
          <w:sz w:val="28"/>
          <w:szCs w:val="28"/>
        </w:rPr>
      </w:pPr>
    </w:p>
    <w:p w14:paraId="506C0B9D">
      <w:pPr>
        <w:adjustRightInd w:val="0"/>
        <w:snapToGrid w:val="0"/>
        <w:spacing w:line="408" w:lineRule="auto"/>
        <w:rPr>
          <w:rFonts w:ascii="宋体" w:hAnsi="宋体" w:cs="宋体"/>
          <w:bCs/>
          <w:color w:val="auto"/>
          <w:sz w:val="24"/>
          <w:szCs w:val="24"/>
        </w:rPr>
      </w:pPr>
      <w:r>
        <w:rPr>
          <w:rFonts w:hint="eastAsia" w:ascii="宋体" w:hAnsi="宋体" w:cs="宋体"/>
          <w:color w:val="auto"/>
          <w:sz w:val="24"/>
          <w:szCs w:val="24"/>
        </w:rPr>
        <w:t>安康尚昊招标代理有限公司</w:t>
      </w:r>
      <w:r>
        <w:rPr>
          <w:rFonts w:hint="eastAsia" w:ascii="宋体" w:hAnsi="宋体" w:cs="宋体"/>
          <w:bCs/>
          <w:color w:val="auto"/>
          <w:sz w:val="24"/>
          <w:szCs w:val="24"/>
        </w:rPr>
        <w:t>：</w:t>
      </w:r>
    </w:p>
    <w:p w14:paraId="20B2B878">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我方愿响应贵方</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年</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月</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日发布的</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项目（项目编号：</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）招标内容，参与投标，提供采购人需求中规定的全部内容。本公司就参加投标工作，作出郑重声明：</w:t>
      </w:r>
    </w:p>
    <w:p w14:paraId="1FC97863">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1.本公司保证在本项目投标中不与其他单位围标、串标，不出让投标资格，不向采购人、采购代理机构和评标委员会成员行贿。</w:t>
      </w:r>
    </w:p>
    <w:p w14:paraId="4576E6C6">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2.本公司保证本项目并非联合体投标，本项目服务由本公司独立承担。</w:t>
      </w:r>
    </w:p>
    <w:p w14:paraId="16C0D748">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290B5A72">
      <w:pPr>
        <w:adjustRightInd w:val="0"/>
        <w:snapToGrid w:val="0"/>
        <w:spacing w:line="408" w:lineRule="auto"/>
        <w:ind w:firstLine="480"/>
        <w:rPr>
          <w:rFonts w:ascii="宋体" w:hAnsi="宋体" w:cs="宋体"/>
          <w:bCs/>
          <w:color w:val="auto"/>
          <w:sz w:val="24"/>
          <w:szCs w:val="24"/>
        </w:rPr>
      </w:pPr>
      <w:r>
        <w:rPr>
          <w:rFonts w:hint="eastAsia" w:ascii="宋体" w:hAnsi="宋体" w:cs="宋体"/>
          <w:bCs/>
          <w:color w:val="auto"/>
          <w:sz w:val="24"/>
          <w:szCs w:val="24"/>
        </w:rPr>
        <w:t>特此声明。</w:t>
      </w:r>
    </w:p>
    <w:p w14:paraId="1584436D">
      <w:pPr>
        <w:pStyle w:val="32"/>
        <w:ind w:firstLine="480"/>
        <w:rPr>
          <w:color w:val="auto"/>
        </w:rPr>
      </w:pPr>
    </w:p>
    <w:p w14:paraId="2B43D9EF">
      <w:pPr>
        <w:spacing w:line="360" w:lineRule="auto"/>
        <w:rPr>
          <w:rFonts w:ascii="宋体"/>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4FDD8008">
      <w:pPr>
        <w:adjustRightInd w:val="0"/>
        <w:snapToGrid w:val="0"/>
        <w:spacing w:line="360" w:lineRule="auto"/>
        <w:rPr>
          <w:rFonts w:ascii="宋体"/>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ascii="宋体" w:hAnsi="宋体" w:cs="宋体"/>
          <w:color w:val="auto"/>
          <w:sz w:val="24"/>
          <w:szCs w:val="24"/>
        </w:rPr>
        <w:t>____________________</w:t>
      </w:r>
    </w:p>
    <w:p w14:paraId="030A0F10">
      <w:pPr>
        <w:adjustRightInd w:val="0"/>
        <w:snapToGrid w:val="0"/>
        <w:spacing w:line="360" w:lineRule="auto"/>
        <w:rPr>
          <w:color w:val="auto"/>
        </w:rPr>
        <w:sectPr>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3F9713D2">
      <w:pPr>
        <w:adjustRightInd w:val="0"/>
        <w:snapToGrid w:val="0"/>
        <w:spacing w:line="360" w:lineRule="auto"/>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中小企业声明函（工程、服务）</w:t>
      </w:r>
    </w:p>
    <w:p w14:paraId="5AEE8CC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C8A110E">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54DA6B8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74A54988">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89185A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296E691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5A9953FA">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5BDE2862">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3448AE3F">
      <w:pPr>
        <w:autoSpaceDE w:val="0"/>
        <w:autoSpaceDN w:val="0"/>
        <w:adjustRightInd w:val="0"/>
        <w:spacing w:line="600" w:lineRule="auto"/>
        <w:rPr>
          <w:rFonts w:ascii="宋体" w:hAnsi="宋体" w:cs="宋体"/>
          <w:color w:val="auto"/>
          <w:sz w:val="24"/>
          <w:szCs w:val="24"/>
          <w:u w:val="single"/>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48C9D86F">
      <w:pPr>
        <w:keepNext/>
        <w:keepLines/>
        <w:spacing w:line="415" w:lineRule="auto"/>
        <w:jc w:val="center"/>
        <w:outlineLvl w:val="1"/>
        <w:rPr>
          <w:rFonts w:ascii="Calibri Light" w:hAnsi="Calibri Light" w:cs="Times New Roman"/>
          <w:b/>
          <w:bCs/>
          <w:color w:val="auto"/>
          <w:sz w:val="32"/>
          <w:szCs w:val="32"/>
        </w:rPr>
        <w:sectPr>
          <w:footerReference r:id="rId20" w:type="first"/>
          <w:footerReference r:id="rId19" w:type="default"/>
          <w:pgSz w:w="11906" w:h="16838"/>
          <w:pgMar w:top="1417" w:right="1417" w:bottom="1417" w:left="1417" w:header="1134" w:footer="992" w:gutter="0"/>
          <w:pgNumType w:fmt="decimal"/>
          <w:cols w:space="0" w:num="1"/>
          <w:titlePg/>
          <w:docGrid w:type="lines" w:linePitch="326" w:charSpace="0"/>
        </w:sectPr>
      </w:pPr>
    </w:p>
    <w:p w14:paraId="08A61637">
      <w:pPr>
        <w:pStyle w:val="3"/>
        <w:numPr>
          <w:ilvl w:val="0"/>
          <w:numId w:val="6"/>
        </w:numPr>
        <w:ind w:firstLine="482" w:firstLineChars="150"/>
        <w:jc w:val="center"/>
        <w:rPr>
          <w:rFonts w:hint="eastAsia" w:ascii="Calibri Light" w:hAnsi="Calibri Light" w:cs="Times New Roman"/>
          <w:b/>
          <w:bCs/>
          <w:color w:val="auto"/>
          <w:sz w:val="32"/>
          <w:szCs w:val="32"/>
          <w:lang w:eastAsia="zh-CN"/>
        </w:rPr>
      </w:pPr>
      <w:bookmarkStart w:id="160" w:name="_Toc19543354"/>
      <w:r>
        <w:rPr>
          <w:rFonts w:hint="eastAsia" w:ascii="Calibri Light" w:hAnsi="Calibri Light" w:cs="Times New Roman"/>
          <w:b/>
          <w:bCs/>
          <w:color w:val="auto"/>
          <w:sz w:val="32"/>
          <w:szCs w:val="32"/>
        </w:rPr>
        <w:t xml:space="preserve">  </w:t>
      </w:r>
      <w:bookmarkEnd w:id="160"/>
      <w:r>
        <w:rPr>
          <w:rFonts w:hint="eastAsia" w:ascii="Calibri Light" w:hAnsi="Calibri Light" w:cs="Times New Roman"/>
          <w:b/>
          <w:bCs/>
          <w:color w:val="auto"/>
          <w:sz w:val="32"/>
          <w:szCs w:val="32"/>
          <w:lang w:val="en-US" w:eastAsia="zh-CN"/>
        </w:rPr>
        <w:t>技术及</w:t>
      </w:r>
      <w:r>
        <w:rPr>
          <w:rFonts w:hint="eastAsia" w:ascii="Calibri Light" w:hAnsi="Calibri Light" w:cs="Times New Roman"/>
          <w:b/>
          <w:bCs/>
          <w:color w:val="auto"/>
          <w:sz w:val="32"/>
          <w:szCs w:val="32"/>
          <w:lang w:eastAsia="zh-CN"/>
        </w:rPr>
        <w:t>商务</w:t>
      </w:r>
      <w:r>
        <w:rPr>
          <w:rFonts w:hint="eastAsia" w:ascii="Calibri Light" w:hAnsi="Calibri Light" w:cs="Times New Roman"/>
          <w:b/>
          <w:bCs/>
          <w:color w:val="auto"/>
          <w:sz w:val="32"/>
          <w:szCs w:val="32"/>
          <w:lang w:val="en-US" w:eastAsia="zh-CN"/>
        </w:rPr>
        <w:t>响应</w:t>
      </w:r>
      <w:r>
        <w:rPr>
          <w:rFonts w:hint="eastAsia" w:ascii="Calibri Light" w:hAnsi="Calibri Light" w:cs="Times New Roman"/>
          <w:b/>
          <w:bCs/>
          <w:color w:val="auto"/>
          <w:sz w:val="32"/>
          <w:szCs w:val="32"/>
          <w:lang w:eastAsia="zh-CN"/>
        </w:rPr>
        <w:t>偏离表</w:t>
      </w:r>
    </w:p>
    <w:p w14:paraId="5B94DCBE">
      <w:pPr>
        <w:pStyle w:val="3"/>
        <w:spacing w:before="0" w:after="0"/>
        <w:ind w:firstLine="422" w:firstLineChars="150"/>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技术响应偏离表</w:t>
      </w:r>
    </w:p>
    <w:tbl>
      <w:tblPr>
        <w:tblStyle w:val="37"/>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281"/>
        <w:gridCol w:w="3703"/>
        <w:gridCol w:w="1583"/>
        <w:gridCol w:w="1369"/>
      </w:tblGrid>
      <w:tr w14:paraId="56745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07A478F5">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序号</w:t>
            </w:r>
          </w:p>
        </w:tc>
        <w:tc>
          <w:tcPr>
            <w:tcW w:w="2281" w:type="dxa"/>
            <w:vAlign w:val="center"/>
          </w:tcPr>
          <w:p w14:paraId="155990FD">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lang w:eastAsia="zh-CN"/>
              </w:rPr>
              <w:t>磋商文件</w:t>
            </w:r>
            <w:r>
              <w:rPr>
                <w:rFonts w:hint="eastAsia" w:ascii="宋体" w:hAnsi="宋体" w:cs="宋体"/>
                <w:b/>
                <w:color w:val="auto"/>
                <w:sz w:val="24"/>
                <w:szCs w:val="24"/>
              </w:rPr>
              <w:t>技术要求</w:t>
            </w:r>
          </w:p>
        </w:tc>
        <w:tc>
          <w:tcPr>
            <w:tcW w:w="3703" w:type="dxa"/>
            <w:vAlign w:val="center"/>
          </w:tcPr>
          <w:p w14:paraId="73C20343">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lang w:val="en-US" w:eastAsia="zh-CN"/>
              </w:rPr>
            </w:pPr>
            <w:r>
              <w:rPr>
                <w:rFonts w:hint="eastAsia" w:ascii="宋体" w:hAnsi="宋体" w:cs="宋体"/>
                <w:b/>
                <w:color w:val="auto"/>
                <w:sz w:val="24"/>
                <w:szCs w:val="24"/>
                <w:lang w:eastAsia="zh-CN"/>
              </w:rPr>
              <w:t>响应文件</w:t>
            </w:r>
            <w:r>
              <w:rPr>
                <w:rFonts w:hint="eastAsia" w:ascii="宋体" w:hAnsi="宋体" w:cs="宋体"/>
                <w:b/>
                <w:color w:val="auto"/>
                <w:sz w:val="24"/>
                <w:szCs w:val="24"/>
              </w:rPr>
              <w:t>技术</w:t>
            </w:r>
            <w:r>
              <w:rPr>
                <w:rFonts w:hint="eastAsia" w:ascii="宋体" w:hAnsi="宋体" w:cs="宋体"/>
                <w:b/>
                <w:color w:val="auto"/>
                <w:sz w:val="24"/>
                <w:szCs w:val="24"/>
                <w:lang w:val="en-US" w:eastAsia="zh-CN"/>
              </w:rPr>
              <w:t>应答</w:t>
            </w:r>
          </w:p>
        </w:tc>
        <w:tc>
          <w:tcPr>
            <w:tcW w:w="1583" w:type="dxa"/>
            <w:vAlign w:val="center"/>
          </w:tcPr>
          <w:p w14:paraId="5E2E900C">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cs="宋体"/>
                <w:b/>
                <w:color w:val="auto"/>
                <w:sz w:val="24"/>
                <w:szCs w:val="24"/>
                <w:lang w:val="en-US" w:eastAsia="zh-CN"/>
              </w:rPr>
              <w:t>响应/偏离</w:t>
            </w:r>
          </w:p>
        </w:tc>
        <w:tc>
          <w:tcPr>
            <w:tcW w:w="1369" w:type="dxa"/>
            <w:vAlign w:val="center"/>
          </w:tcPr>
          <w:p w14:paraId="0A130CC9">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偏离简述</w:t>
            </w:r>
          </w:p>
        </w:tc>
      </w:tr>
      <w:tr w14:paraId="0E32F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6FF1FFC">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1</w:t>
            </w:r>
          </w:p>
        </w:tc>
        <w:tc>
          <w:tcPr>
            <w:tcW w:w="2281" w:type="dxa"/>
          </w:tcPr>
          <w:p w14:paraId="1DF66B24">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606FBCA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7072AD7B">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6AF0B6E4">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20C45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5512F14F">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2</w:t>
            </w:r>
          </w:p>
        </w:tc>
        <w:tc>
          <w:tcPr>
            <w:tcW w:w="2281" w:type="dxa"/>
          </w:tcPr>
          <w:p w14:paraId="55AAC422">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7540A12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76E99490">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1B04FFFC">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1B419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15415F41">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3</w:t>
            </w:r>
          </w:p>
        </w:tc>
        <w:tc>
          <w:tcPr>
            <w:tcW w:w="2281" w:type="dxa"/>
          </w:tcPr>
          <w:p w14:paraId="1455D011">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7BF8BA92">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32A5DD6A">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0F9689DB">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47D8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B3D23C8">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4</w:t>
            </w:r>
          </w:p>
        </w:tc>
        <w:tc>
          <w:tcPr>
            <w:tcW w:w="2281" w:type="dxa"/>
          </w:tcPr>
          <w:p w14:paraId="7714E633">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6A6FDEB3">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77E22951">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4EE955B4">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563F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4D9CD00B">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w:t>
            </w:r>
          </w:p>
        </w:tc>
        <w:tc>
          <w:tcPr>
            <w:tcW w:w="2281" w:type="dxa"/>
          </w:tcPr>
          <w:p w14:paraId="3FE7C3DE">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2479276D">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19A1B2E1">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09F30489">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bl>
    <w:p w14:paraId="41688E75">
      <w:pPr>
        <w:pStyle w:val="26"/>
        <w:rPr>
          <w:color w:val="auto"/>
        </w:rPr>
      </w:pPr>
      <w:r>
        <w:rPr>
          <w:rFonts w:hint="eastAsia" w:ascii="宋体" w:hAnsi="宋体" w:cs="仿宋"/>
          <w:color w:val="auto"/>
          <w:sz w:val="24"/>
          <w:szCs w:val="24"/>
        </w:rPr>
        <w:t>注：投标人可根据实际情况自行扩展表格细项。</w:t>
      </w:r>
    </w:p>
    <w:p w14:paraId="7CE1BC8C">
      <w:pPr>
        <w:jc w:val="center"/>
        <w:rPr>
          <w:rFonts w:ascii="宋体" w:hAnsi="宋体"/>
          <w:b/>
          <w:color w:val="auto"/>
          <w:sz w:val="24"/>
          <w:szCs w:val="24"/>
        </w:rPr>
      </w:pPr>
    </w:p>
    <w:p w14:paraId="2A8E8E22">
      <w:pPr>
        <w:jc w:val="center"/>
        <w:rPr>
          <w:rFonts w:ascii="宋体" w:hAnsi="宋体"/>
          <w:b/>
          <w:color w:val="auto"/>
          <w:sz w:val="24"/>
          <w:szCs w:val="24"/>
        </w:rPr>
      </w:pPr>
    </w:p>
    <w:p w14:paraId="31F3E9B0">
      <w:pPr>
        <w:spacing w:line="360" w:lineRule="auto"/>
        <w:rPr>
          <w:rFonts w:hint="eastAsia" w:ascii="宋体" w:hAnsi="宋体" w:eastAsia="宋体"/>
          <w:color w:val="auto"/>
          <w:sz w:val="24"/>
          <w:szCs w:val="24"/>
          <w:lang w:eastAsia="zh-CN"/>
        </w:rPr>
      </w:pPr>
      <w:r>
        <w:rPr>
          <w:rFonts w:hint="eastAsia" w:ascii="宋体" w:hAnsi="宋体" w:cs="仿宋"/>
          <w:color w:val="auto"/>
          <w:sz w:val="24"/>
          <w:szCs w:val="24"/>
        </w:rPr>
        <w:t xml:space="preserve"> </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50D05F8C">
      <w:pPr>
        <w:spacing w:line="360" w:lineRule="auto"/>
        <w:ind w:firstLine="240" w:firstLineChars="100"/>
        <w:rPr>
          <w:rFonts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p>
    <w:p w14:paraId="756D8E9E">
      <w:pPr>
        <w:ind w:firstLine="240" w:firstLineChars="100"/>
        <w:rPr>
          <w:rFonts w:hint="eastAsia" w:ascii="Calibri Light" w:hAnsi="Calibri Light" w:cs="Times New Roman"/>
          <w:b/>
          <w:bCs/>
          <w:color w:val="auto"/>
          <w:sz w:val="32"/>
          <w:szCs w:val="32"/>
          <w:lang w:eastAsia="zh-CN"/>
        </w:rPr>
        <w:sectPr>
          <w:footerReference r:id="rId21" w:type="default"/>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color w:val="auto"/>
          <w:sz w:val="24"/>
          <w:szCs w:val="24"/>
        </w:rPr>
        <w:t>日      期：</w:t>
      </w:r>
    </w:p>
    <w:p w14:paraId="0C37D374">
      <w:pPr>
        <w:numPr>
          <w:ilvl w:val="0"/>
          <w:numId w:val="0"/>
        </w:numPr>
        <w:jc w:val="center"/>
        <w:rPr>
          <w:rFonts w:hint="eastAsia" w:ascii="Arial" w:hAnsi="Arial" w:eastAsia="宋体" w:cs="Arial"/>
          <w:b/>
          <w:bCs/>
          <w:color w:val="auto"/>
          <w:kern w:val="2"/>
          <w:sz w:val="24"/>
          <w:szCs w:val="24"/>
          <w:lang w:val="en-US" w:eastAsia="zh-CN" w:bidi="ar-SA"/>
        </w:rPr>
      </w:pPr>
    </w:p>
    <w:p w14:paraId="493F1AD6">
      <w:pPr>
        <w:pStyle w:val="3"/>
        <w:spacing w:before="0" w:after="0"/>
        <w:ind w:firstLine="422" w:firstLineChars="150"/>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商务响应偏离表</w:t>
      </w:r>
    </w:p>
    <w:p w14:paraId="382C0890">
      <w:pPr>
        <w:numPr>
          <w:ilvl w:val="0"/>
          <w:numId w:val="0"/>
        </w:numPr>
        <w:jc w:val="center"/>
        <w:rPr>
          <w:rFonts w:hint="eastAsia" w:ascii="Arial" w:hAnsi="Arial" w:eastAsia="宋体" w:cs="Arial"/>
          <w:b/>
          <w:bCs/>
          <w:color w:val="auto"/>
          <w:kern w:val="2"/>
          <w:sz w:val="24"/>
          <w:szCs w:val="24"/>
          <w:lang w:val="en-US" w:eastAsia="zh-CN" w:bidi="ar-SA"/>
        </w:rPr>
      </w:pPr>
    </w:p>
    <w:tbl>
      <w:tblPr>
        <w:tblStyle w:val="37"/>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39FC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63579B5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lang w:val="en-US" w:eastAsia="zh-CN"/>
              </w:rPr>
            </w:pPr>
            <w:r>
              <w:rPr>
                <w:rFonts w:hint="default"/>
                <w:color w:val="auto"/>
                <w:sz w:val="24"/>
                <w:szCs w:val="24"/>
              </w:rPr>
              <w:br w:type="page"/>
            </w:r>
            <w:r>
              <w:rPr>
                <w:rFonts w:hint="eastAsia" w:ascii="宋体" w:hAnsi="宋体" w:eastAsia="宋体" w:cs="宋体"/>
                <w:b/>
                <w:color w:val="auto"/>
                <w:sz w:val="24"/>
                <w:szCs w:val="24"/>
                <w:lang w:val="en-US" w:eastAsia="zh-CN"/>
              </w:rPr>
              <w:t>序号</w:t>
            </w:r>
          </w:p>
        </w:tc>
        <w:tc>
          <w:tcPr>
            <w:tcW w:w="2835" w:type="dxa"/>
            <w:vAlign w:val="center"/>
          </w:tcPr>
          <w:p w14:paraId="2B854B42">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磋商文件</w:t>
            </w:r>
            <w:r>
              <w:rPr>
                <w:rFonts w:hint="eastAsia" w:ascii="宋体" w:hAnsi="宋体" w:eastAsia="宋体" w:cs="宋体"/>
                <w:b/>
                <w:color w:val="auto"/>
                <w:sz w:val="24"/>
                <w:szCs w:val="24"/>
              </w:rPr>
              <w:t>商务要求</w:t>
            </w:r>
          </w:p>
        </w:tc>
        <w:tc>
          <w:tcPr>
            <w:tcW w:w="2552" w:type="dxa"/>
            <w:vAlign w:val="center"/>
          </w:tcPr>
          <w:p w14:paraId="33676DAF">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响应文件</w:t>
            </w:r>
            <w:r>
              <w:rPr>
                <w:rFonts w:hint="eastAsia" w:ascii="宋体" w:hAnsi="宋体" w:eastAsia="宋体" w:cs="宋体"/>
                <w:b/>
                <w:color w:val="auto"/>
                <w:sz w:val="24"/>
                <w:szCs w:val="24"/>
              </w:rPr>
              <w:t>商务应答</w:t>
            </w:r>
          </w:p>
        </w:tc>
        <w:tc>
          <w:tcPr>
            <w:tcW w:w="1516" w:type="dxa"/>
            <w:vAlign w:val="center"/>
          </w:tcPr>
          <w:p w14:paraId="72C9B43A">
            <w:pPr>
              <w:keepNext w:val="0"/>
              <w:keepLines w:val="0"/>
              <w:suppressLineNumbers w:val="0"/>
              <w:wordWrap w:val="0"/>
              <w:spacing w:before="0" w:beforeAutospacing="0" w:after="0" w:afterAutospacing="0"/>
              <w:ind w:left="0" w:right="0"/>
              <w:jc w:val="center"/>
              <w:rPr>
                <w:rFonts w:hint="default"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响应/偏离</w:t>
            </w:r>
          </w:p>
        </w:tc>
        <w:tc>
          <w:tcPr>
            <w:tcW w:w="1516" w:type="dxa"/>
            <w:vAlign w:val="center"/>
          </w:tcPr>
          <w:p w14:paraId="32115BF8">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tc>
      </w:tr>
      <w:tr w14:paraId="1242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1D4EEFD">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w:t>
            </w:r>
          </w:p>
        </w:tc>
        <w:tc>
          <w:tcPr>
            <w:tcW w:w="2835" w:type="dxa"/>
            <w:vAlign w:val="center"/>
          </w:tcPr>
          <w:p w14:paraId="56978C6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2B2E09A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BC2962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621C34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10D55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5ECD6DB">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2835" w:type="dxa"/>
            <w:vAlign w:val="center"/>
          </w:tcPr>
          <w:p w14:paraId="198CAC7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3BA8F72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D4FDEC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D30FAD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219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291F7E6">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2835" w:type="dxa"/>
            <w:vAlign w:val="center"/>
          </w:tcPr>
          <w:p w14:paraId="5ED858A3">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68D02CA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506B3DD6">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0EC9E1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5B7C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BE3089">
            <w:pPr>
              <w:keepNext w:val="0"/>
              <w:keepLines w:val="0"/>
              <w:suppressLineNumbers w:val="0"/>
              <w:wordWrap w:val="0"/>
              <w:spacing w:before="0" w:beforeAutospacing="0" w:after="0" w:afterAutospacing="0"/>
              <w:ind w:left="0" w:right="0"/>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w:t>
            </w:r>
          </w:p>
        </w:tc>
        <w:tc>
          <w:tcPr>
            <w:tcW w:w="2835" w:type="dxa"/>
            <w:vAlign w:val="center"/>
          </w:tcPr>
          <w:p w14:paraId="7B37A13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980D02B">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66868F9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59F550E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bl>
    <w:p w14:paraId="433DA14E">
      <w:pPr>
        <w:spacing w:line="360" w:lineRule="auto"/>
        <w:ind w:firstLine="480" w:firstLineChars="200"/>
        <w:rPr>
          <w:b/>
          <w:bCs/>
          <w:color w:val="auto"/>
          <w:sz w:val="24"/>
          <w:szCs w:val="24"/>
        </w:rPr>
      </w:pPr>
      <w:r>
        <w:rPr>
          <w:rFonts w:hint="eastAsia" w:ascii="宋体" w:hAnsi="宋体"/>
          <w:b w:val="0"/>
          <w:bCs w:val="0"/>
          <w:color w:val="auto"/>
          <w:sz w:val="24"/>
          <w:szCs w:val="24"/>
        </w:rPr>
        <w:t>注：对</w:t>
      </w:r>
      <w:r>
        <w:rPr>
          <w:rFonts w:hint="eastAsia" w:ascii="宋体" w:hAnsi="宋体"/>
          <w:b w:val="0"/>
          <w:bCs w:val="0"/>
          <w:color w:val="auto"/>
          <w:sz w:val="24"/>
          <w:szCs w:val="24"/>
          <w:lang w:eastAsia="zh-CN"/>
        </w:rPr>
        <w:t>磋商文件</w:t>
      </w:r>
      <w:r>
        <w:rPr>
          <w:rFonts w:hint="eastAsia" w:ascii="宋体" w:hAnsi="宋体"/>
          <w:b w:val="0"/>
          <w:bCs w:val="0"/>
          <w:color w:val="auto"/>
          <w:sz w:val="24"/>
          <w:szCs w:val="24"/>
        </w:rPr>
        <w:t>中要求的商务条款逐条响应并详细说明。</w:t>
      </w:r>
    </w:p>
    <w:p w14:paraId="4BA4D4BA">
      <w:pPr>
        <w:rPr>
          <w:color w:val="auto"/>
          <w:sz w:val="24"/>
          <w:szCs w:val="24"/>
        </w:rPr>
      </w:pPr>
    </w:p>
    <w:p w14:paraId="6D024777">
      <w:pPr>
        <w:spacing w:line="360" w:lineRule="auto"/>
        <w:ind w:firstLine="420" w:firstLineChars="175"/>
        <w:rPr>
          <w:rFonts w:ascii="宋体" w:hAnsi="宋体"/>
          <w:color w:val="auto"/>
          <w:sz w:val="24"/>
          <w:szCs w:val="24"/>
        </w:rPr>
      </w:pPr>
      <w:r>
        <w:rPr>
          <w:rFonts w:ascii="宋体" w:hAnsi="宋体"/>
          <w:color w:val="auto"/>
          <w:sz w:val="24"/>
          <w:szCs w:val="24"/>
        </w:rPr>
        <w:t xml:space="preserve">    </w:t>
      </w:r>
    </w:p>
    <w:p w14:paraId="720144CA">
      <w:pPr>
        <w:spacing w:line="360" w:lineRule="auto"/>
        <w:ind w:firstLine="420" w:firstLineChars="175"/>
        <w:rPr>
          <w:rFonts w:hint="eastAsia" w:ascii="宋体" w:hAnsi="宋体" w:cs="Times New Roman"/>
          <w:b/>
          <w:bCs/>
          <w:color w:val="auto"/>
          <w:sz w:val="24"/>
          <w:szCs w:val="24"/>
        </w:rPr>
      </w:pPr>
      <w:r>
        <w:rPr>
          <w:rFonts w:hint="eastAsia" w:ascii="宋体" w:hAnsi="宋体"/>
          <w:color w:val="auto"/>
          <w:sz w:val="24"/>
          <w:szCs w:val="24"/>
        </w:rPr>
        <w:t xml:space="preserve">   </w:t>
      </w:r>
    </w:p>
    <w:p w14:paraId="42C5DFF4">
      <w:pPr>
        <w:pStyle w:val="23"/>
        <w:rPr>
          <w:color w:val="auto"/>
        </w:rPr>
      </w:pPr>
    </w:p>
    <w:p w14:paraId="5C2193B1">
      <w:pPr>
        <w:pStyle w:val="23"/>
        <w:rPr>
          <w:color w:val="auto"/>
        </w:rPr>
      </w:pPr>
    </w:p>
    <w:p w14:paraId="7C5CB2F7">
      <w:pPr>
        <w:pStyle w:val="23"/>
        <w:rPr>
          <w:color w:val="auto"/>
        </w:rPr>
      </w:pPr>
    </w:p>
    <w:p w14:paraId="374C36D9">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lang w:val="en-US" w:eastAsia="zh-CN"/>
        </w:rPr>
        <w:t>投标人</w:t>
      </w:r>
      <w:r>
        <w:rPr>
          <w:rFonts w:hint="eastAsia" w:ascii="宋体" w:hAnsi="宋体" w:cs="宋体"/>
          <w:color w:val="auto"/>
          <w:sz w:val="24"/>
          <w:szCs w:val="24"/>
        </w:rPr>
        <w:t>（单位名称及公章）：____________________________</w:t>
      </w:r>
    </w:p>
    <w:p w14:paraId="275B4811">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rPr>
        <w:t>）：____________________________</w:t>
      </w:r>
    </w:p>
    <w:p w14:paraId="4B0CAE24">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407D0A10">
      <w:pPr>
        <w:widowControl/>
        <w:jc w:val="left"/>
        <w:rPr>
          <w:rFonts w:ascii="宋体" w:hAnsi="宋体" w:cs="宋体"/>
          <w:b/>
          <w:bCs/>
          <w:color w:val="auto"/>
          <w:sz w:val="28"/>
          <w:szCs w:val="28"/>
        </w:rPr>
      </w:pPr>
    </w:p>
    <w:bookmarkEnd w:id="152"/>
    <w:bookmarkEnd w:id="154"/>
    <w:bookmarkEnd w:id="155"/>
    <w:bookmarkEnd w:id="156"/>
    <w:bookmarkEnd w:id="157"/>
    <w:bookmarkEnd w:id="158"/>
    <w:bookmarkEnd w:id="159"/>
    <w:p w14:paraId="62722B5D">
      <w:pPr>
        <w:pStyle w:val="3"/>
        <w:pageBreakBefore/>
        <w:rPr>
          <w:rFonts w:ascii="宋体" w:cs="Times New Roman"/>
          <w:color w:val="auto"/>
          <w:sz w:val="24"/>
          <w:szCs w:val="24"/>
        </w:rPr>
        <w:sectPr>
          <w:pgSz w:w="11906" w:h="16838"/>
          <w:pgMar w:top="1417" w:right="1417" w:bottom="1417" w:left="1417" w:header="1134" w:footer="992" w:gutter="0"/>
          <w:pgNumType w:fmt="decimal"/>
          <w:cols w:space="0" w:num="1"/>
          <w:titlePg/>
          <w:docGrid w:type="lines" w:linePitch="326" w:charSpace="0"/>
        </w:sectPr>
      </w:pPr>
      <w:bookmarkStart w:id="161" w:name="_Toc1408"/>
    </w:p>
    <w:bookmarkEnd w:id="161"/>
    <w:p w14:paraId="60FB4F81">
      <w:pPr>
        <w:pStyle w:val="3"/>
        <w:numPr>
          <w:ilvl w:val="0"/>
          <w:numId w:val="6"/>
        </w:numPr>
        <w:ind w:firstLine="482" w:firstLineChars="150"/>
        <w:jc w:val="center"/>
        <w:rPr>
          <w:rFonts w:hint="eastAsia" w:ascii="Calibri Light" w:hAnsi="Calibri Light" w:eastAsia="宋体" w:cs="Times New Roman"/>
          <w:b/>
          <w:bCs/>
          <w:color w:val="auto"/>
          <w:sz w:val="32"/>
          <w:szCs w:val="32"/>
          <w:lang w:val="en-US" w:eastAsia="zh-CN"/>
        </w:rPr>
      </w:pPr>
      <w:bookmarkStart w:id="162" w:name="_Toc1803"/>
      <w:r>
        <w:rPr>
          <w:rFonts w:hint="eastAsia" w:ascii="Calibri Light" w:hAnsi="Calibri Light" w:eastAsia="宋体" w:cs="Times New Roman"/>
          <w:b/>
          <w:bCs/>
          <w:color w:val="auto"/>
          <w:sz w:val="32"/>
          <w:szCs w:val="32"/>
          <w:lang w:val="en-US" w:eastAsia="zh-CN"/>
        </w:rPr>
        <w:t xml:space="preserve"> 响应方案</w:t>
      </w:r>
    </w:p>
    <w:p w14:paraId="6454BBB6">
      <w:pPr>
        <w:spacing w:line="360" w:lineRule="auto"/>
        <w:ind w:firstLine="482" w:firstLineChars="200"/>
        <w:rPr>
          <w:rFonts w:ascii="宋体" w:cs="Times New Roman"/>
          <w:b/>
          <w:bCs/>
          <w:color w:val="auto"/>
          <w:sz w:val="28"/>
          <w:szCs w:val="24"/>
        </w:rPr>
      </w:pPr>
      <w:r>
        <w:rPr>
          <w:rFonts w:hint="eastAsia" w:ascii="宋体" w:hAnsi="宋体"/>
          <w:b/>
          <w:bCs/>
          <w:color w:val="auto"/>
          <w:sz w:val="24"/>
          <w:szCs w:val="24"/>
        </w:rPr>
        <w:t>按照磋商文件的要求编制的</w:t>
      </w:r>
      <w:r>
        <w:rPr>
          <w:rFonts w:hint="eastAsia" w:ascii="宋体" w:hAnsi="宋体"/>
          <w:b/>
          <w:bCs/>
          <w:color w:val="auto"/>
          <w:sz w:val="24"/>
          <w:szCs w:val="24"/>
          <w:lang w:eastAsia="zh-CN"/>
        </w:rPr>
        <w:t>响应方案</w:t>
      </w:r>
      <w:r>
        <w:rPr>
          <w:rFonts w:hint="eastAsia" w:ascii="宋体" w:hAnsi="宋体"/>
          <w:b/>
          <w:bCs/>
          <w:color w:val="auto"/>
          <w:sz w:val="24"/>
          <w:szCs w:val="24"/>
        </w:rPr>
        <w:t>说明书，</w:t>
      </w:r>
      <w:r>
        <w:rPr>
          <w:rFonts w:hint="eastAsia" w:ascii="宋体" w:hAnsi="宋体"/>
          <w:b/>
          <w:bCs/>
          <w:color w:val="auto"/>
          <w:sz w:val="24"/>
          <w:szCs w:val="24"/>
          <w:lang w:eastAsia="zh-CN"/>
        </w:rPr>
        <w:t>响应方案</w:t>
      </w:r>
      <w:r>
        <w:rPr>
          <w:rFonts w:hint="eastAsia" w:ascii="宋体" w:hAnsi="宋体"/>
          <w:b/>
          <w:bCs/>
          <w:color w:val="auto"/>
          <w:sz w:val="24"/>
          <w:szCs w:val="24"/>
        </w:rPr>
        <w:t>由供应商自行编写，无具体格式，包含但不限于以下内容：</w:t>
      </w:r>
    </w:p>
    <w:p w14:paraId="2FB0E7F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bookmarkStart w:id="163" w:name="_Toc26541342"/>
      <w:bookmarkStart w:id="164" w:name="_Toc23258631"/>
      <w:bookmarkStart w:id="165" w:name="_Toc484198844"/>
      <w:bookmarkStart w:id="166" w:name="_Toc528240834"/>
      <w:bookmarkStart w:id="167" w:name="_Toc19543360"/>
      <w:r>
        <w:rPr>
          <w:rFonts w:hint="eastAsia" w:ascii="宋体" w:hAnsi="宋体" w:eastAsia="宋体" w:cs="宋体"/>
          <w:sz w:val="24"/>
          <w:szCs w:val="24"/>
          <w:lang w:val="en-US" w:eastAsia="zh-CN"/>
        </w:rPr>
        <w:t>1.日常设备管理方案；</w:t>
      </w:r>
    </w:p>
    <w:p w14:paraId="21330CF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2.日常运行方案；</w:t>
      </w:r>
    </w:p>
    <w:p w14:paraId="04A8244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风险管控和应急预案</w:t>
      </w:r>
      <w:r>
        <w:rPr>
          <w:rFonts w:hint="eastAsia" w:ascii="宋体" w:hAnsi="宋体" w:eastAsia="宋体" w:cs="宋体"/>
          <w:sz w:val="24"/>
          <w:szCs w:val="24"/>
          <w:lang w:val="en-US" w:eastAsia="zh-CN"/>
        </w:rPr>
        <w:t>；</w:t>
      </w:r>
    </w:p>
    <w:p w14:paraId="755A935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4.项目团队；</w:t>
      </w:r>
    </w:p>
    <w:p w14:paraId="6A4FDA9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5.用户评价；</w:t>
      </w:r>
    </w:p>
    <w:p w14:paraId="1BDA71F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6.业绩；</w:t>
      </w:r>
    </w:p>
    <w:p w14:paraId="7FD8AA1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szCs w:val="24"/>
          <w:lang w:val="en-US" w:eastAsia="zh-CN"/>
        </w:rPr>
        <w:t>7.</w:t>
      </w:r>
      <w:r>
        <w:rPr>
          <w:rFonts w:hint="eastAsia" w:ascii="宋体" w:hAnsi="宋体" w:eastAsia="宋体" w:cs="宋体"/>
          <w:color w:val="auto"/>
          <w:sz w:val="24"/>
          <w:lang w:val="en-US" w:eastAsia="zh-CN"/>
        </w:rPr>
        <w:t>供应商认为需提供的其他证明材料</w:t>
      </w:r>
      <w:r>
        <w:rPr>
          <w:rFonts w:hint="eastAsia" w:ascii="宋体" w:hAnsi="宋体" w:cs="宋体"/>
          <w:color w:val="auto"/>
          <w:sz w:val="24"/>
          <w:lang w:val="en-US" w:eastAsia="zh-CN"/>
        </w:rPr>
        <w:t>；</w:t>
      </w:r>
    </w:p>
    <w:p w14:paraId="7A92BFA8">
      <w:pPr>
        <w:spacing w:line="360" w:lineRule="auto"/>
        <w:ind w:firstLine="720" w:firstLineChars="300"/>
        <w:rPr>
          <w:rFonts w:ascii="宋体" w:hAnsi="宋体" w:cs="Times New Roman"/>
          <w:color w:val="auto"/>
          <w:sz w:val="24"/>
          <w:szCs w:val="24"/>
        </w:rPr>
      </w:pPr>
      <w:r>
        <w:rPr>
          <w:rFonts w:hint="eastAsia" w:ascii="宋体" w:hAnsi="宋体" w:eastAsia="宋体" w:cs="宋体"/>
          <w:color w:val="auto"/>
          <w:sz w:val="24"/>
          <w:lang w:val="en-US" w:eastAsia="zh-CN"/>
        </w:rPr>
        <w:t>……</w:t>
      </w:r>
      <w:r>
        <w:rPr>
          <w:rFonts w:ascii="宋体" w:hAnsi="宋体" w:cs="Times New Roman"/>
          <w:color w:val="auto"/>
          <w:sz w:val="24"/>
          <w:szCs w:val="24"/>
        </w:rPr>
        <w:br w:type="page"/>
      </w:r>
    </w:p>
    <w:p w14:paraId="174235AF">
      <w:pPr>
        <w:widowControl/>
        <w:jc w:val="center"/>
        <w:rPr>
          <w:rFonts w:hint="eastAsia" w:ascii="宋体" w:hAnsi="宋体" w:eastAsia="宋体" w:cs="宋体"/>
          <w:b/>
          <w:bCs/>
          <w:color w:val="auto"/>
          <w:sz w:val="28"/>
          <w:szCs w:val="28"/>
        </w:rPr>
      </w:pPr>
      <w:r>
        <w:rPr>
          <w:rFonts w:hint="eastAsia" w:ascii="宋体" w:hAnsi="宋体" w:eastAsia="宋体" w:cs="宋体"/>
          <w:b/>
          <w:bCs/>
          <w:color w:val="auto"/>
          <w:kern w:val="2"/>
          <w:sz w:val="28"/>
          <w:szCs w:val="28"/>
          <w:lang w:val="en-US" w:eastAsia="zh-CN" w:bidi="ar-SA"/>
        </w:rPr>
        <w:t>拟投入人员情况表</w:t>
      </w:r>
      <w:bookmarkEnd w:id="163"/>
      <w:bookmarkEnd w:id="164"/>
      <w:bookmarkEnd w:id="165"/>
      <w:bookmarkEnd w:id="166"/>
    </w:p>
    <w:tbl>
      <w:tblPr>
        <w:tblStyle w:val="37"/>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4DF2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3A647B0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2545ED1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6B91C04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47E4736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6F9AFCA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266F76F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32DA5BC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00F1097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0D8B883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2703C45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0B00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4C9CE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E640D4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AD2F77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BB32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055CD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F7A2C3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74250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B794C5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2F9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0776AE1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A92A8C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B505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56265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C9F552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549A5F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6E3A2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41D5E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455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1FA605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D42D4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F51C3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BC438C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307D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AFABC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46E87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6C8C5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B8C5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668A29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0DCF8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95CB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DF230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0B7A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ECE438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42B88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9926E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0B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DB049E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7ABF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7E7B5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3D5B00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C60F5E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1AB4EC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2D550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F325D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0BA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CEE2E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075EA0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69104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6DD9A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3FE84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B3F93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34E79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40F3C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607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2817EE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052C3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A8EBD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D0D2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23931A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CAA24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0E84A0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86CCB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74C1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841AB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1DAD7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842FB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98956A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34D8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CDE5F5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B6981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828CA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4F5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39132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B0EA0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C16F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76056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4CA809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7E489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0FA74E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B62F6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372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9155B4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6499F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0F9073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456969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7EE18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C6F98D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0E6EA3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35DD4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A1E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25E5F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16E2B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B759F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FA9AD4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F3679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B0EC6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DA4A2E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0CFB2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AF0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21455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99EB8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E9EC6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9A28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0345C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99916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A37FE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25B7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0C1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13E55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470EE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0B6D94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4512DD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FB9B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295E4D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0B2136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51F59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3AE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F217C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A71C7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3E702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5A297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FFBA9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9583E5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50D40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A6B302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177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1102E3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9E8EDD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65A63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60081B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639DE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6B5217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1A7A0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65206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2EF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E749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93B288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16AB05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9B84A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06D06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9366A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0C350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2E1B0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DD0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6DBED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C1865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DB17B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289DF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B902B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07B11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2542B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6A8B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18AEBB5A">
      <w:pPr>
        <w:rPr>
          <w:rFonts w:ascii="Times New Roman" w:hAnsi="Times New Roman" w:cs="Times New Roman"/>
          <w:color w:val="auto"/>
          <w:szCs w:val="22"/>
        </w:rPr>
      </w:pPr>
    </w:p>
    <w:p w14:paraId="2877EFA9">
      <w:pPr>
        <w:adjustRightInd w:val="0"/>
        <w:snapToGrid w:val="0"/>
        <w:spacing w:line="480" w:lineRule="auto"/>
        <w:jc w:val="left"/>
        <w:rPr>
          <w:rFonts w:hint="eastAsia" w:ascii="宋体" w:hAnsi="宋体" w:eastAsia="宋体" w:cs="宋体"/>
          <w:color w:val="auto"/>
          <w:sz w:val="24"/>
          <w:szCs w:val="24"/>
          <w:u w:val="single"/>
        </w:rPr>
      </w:pPr>
      <w:bookmarkStart w:id="168" w:name="_Hlt491572882"/>
      <w:bookmarkEnd w:id="168"/>
      <w:bookmarkStart w:id="169" w:name="_Hlt491765868"/>
      <w:bookmarkEnd w:id="169"/>
      <w:bookmarkStart w:id="170" w:name="_Hlt491765944"/>
      <w:bookmarkEnd w:id="170"/>
      <w:bookmarkStart w:id="171" w:name="_Hlt491573425"/>
      <w:bookmarkEnd w:id="171"/>
      <w:bookmarkStart w:id="172" w:name="_Hlt491766019"/>
      <w:bookmarkEnd w:id="172"/>
      <w:r>
        <w:rPr>
          <w:rFonts w:hint="eastAsia" w:ascii="宋体" w:hAnsi="宋体" w:eastAsia="宋体" w:cs="宋体"/>
          <w:color w:val="auto"/>
          <w:sz w:val="24"/>
          <w:szCs w:val="24"/>
        </w:rPr>
        <w:t>供应商（单位名称及公章）：____________________</w:t>
      </w:r>
    </w:p>
    <w:p w14:paraId="1E79363A">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rPr>
        <w:t>或盖章）：____________________</w:t>
      </w:r>
    </w:p>
    <w:p w14:paraId="1E1F7DE3">
      <w:pPr>
        <w:adjustRightInd w:val="0"/>
        <w:snapToGrid w:val="0"/>
        <w:spacing w:line="480" w:lineRule="auto"/>
        <w:rPr>
          <w:rFonts w:ascii="宋体" w:cs="Times New Roman"/>
          <w:color w:val="auto"/>
        </w:rPr>
      </w:pPr>
      <w:r>
        <w:rPr>
          <w:rFonts w:hint="eastAsia" w:ascii="宋体" w:hAnsi="宋体" w:eastAsia="宋体" w:cs="宋体"/>
          <w:color w:val="auto"/>
          <w:sz w:val="24"/>
          <w:szCs w:val="24"/>
        </w:rPr>
        <w:t>日    期：________年________月________日</w:t>
      </w:r>
    </w:p>
    <w:p w14:paraId="2D6EFE2C">
      <w:pPr>
        <w:rPr>
          <w:rFonts w:ascii="Times New Roman" w:hAnsi="Times New Roman" w:cs="Times New Roman"/>
          <w:color w:val="auto"/>
          <w:sz w:val="24"/>
          <w:szCs w:val="24"/>
        </w:rPr>
      </w:pPr>
    </w:p>
    <w:p w14:paraId="46434E4F">
      <w:pPr>
        <w:spacing w:line="360" w:lineRule="auto"/>
        <w:ind w:firstLine="420" w:firstLineChars="175"/>
        <w:rPr>
          <w:rFonts w:ascii="宋体" w:hAnsi="宋体" w:cs="Times New Roman"/>
          <w:color w:val="auto"/>
          <w:sz w:val="24"/>
          <w:szCs w:val="24"/>
        </w:rPr>
      </w:pPr>
      <w:r>
        <w:rPr>
          <w:rFonts w:ascii="宋体" w:hAnsi="宋体" w:cs="Times New Roman"/>
          <w:color w:val="auto"/>
          <w:sz w:val="24"/>
          <w:szCs w:val="24"/>
        </w:rPr>
        <w:t xml:space="preserve">    </w:t>
      </w:r>
    </w:p>
    <w:p w14:paraId="5968278E">
      <w:pPr>
        <w:pStyle w:val="36"/>
        <w:rPr>
          <w:color w:val="auto"/>
        </w:rPr>
      </w:pPr>
    </w:p>
    <w:p w14:paraId="220EA421">
      <w:pPr>
        <w:spacing w:line="360" w:lineRule="auto"/>
        <w:rPr>
          <w:rFonts w:ascii="宋体" w:hAnsi="宋体" w:cs="宋体"/>
          <w:b/>
          <w:bCs/>
          <w:color w:val="auto"/>
          <w:sz w:val="28"/>
          <w:szCs w:val="28"/>
        </w:rPr>
      </w:pPr>
      <w:r>
        <w:rPr>
          <w:rFonts w:hint="eastAsia" w:ascii="宋体" w:hAnsi="宋体" w:cs="Times New Roman"/>
          <w:color w:val="auto"/>
          <w:sz w:val="24"/>
          <w:szCs w:val="24"/>
        </w:rPr>
        <w:t xml:space="preserve">   </w:t>
      </w:r>
    </w:p>
    <w:p w14:paraId="4C44BD37">
      <w:pPr>
        <w:widowControl/>
        <w:jc w:val="center"/>
        <w:rPr>
          <w:rFonts w:ascii="宋体" w:hAnsi="宋体" w:cs="宋体"/>
          <w:b/>
          <w:bCs/>
          <w:color w:val="auto"/>
          <w:sz w:val="28"/>
          <w:szCs w:val="28"/>
        </w:rPr>
      </w:pPr>
      <w:r>
        <w:rPr>
          <w:rFonts w:hint="eastAsia" w:ascii="宋体" w:hAnsi="宋体" w:cs="宋体"/>
          <w:b/>
          <w:bCs/>
          <w:color w:val="auto"/>
          <w:sz w:val="28"/>
          <w:szCs w:val="28"/>
        </w:rPr>
        <w:t>业绩</w:t>
      </w:r>
      <w:bookmarkEnd w:id="167"/>
    </w:p>
    <w:tbl>
      <w:tblPr>
        <w:tblStyle w:val="37"/>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14B95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874856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7AE15C4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23EA468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235880C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09C05D4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7A9ED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CCBAFA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7EC243F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7527D1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F151F3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7CCA4AF">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7442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F7ED243">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50DA1E7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834BA1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76071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887EC5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5C7FE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944E478">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7875436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6B69A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23020E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ADD26D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5CB8D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DEF5714">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3160A48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F4E132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E64CD7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A526EC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71432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A7FC6DE">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6DB0D65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5A9949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EADE1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29D939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28445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7AEA03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2D7E6F9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FBF662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215272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F2D7F7F">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0E12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7BE88C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48C0A1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069DF2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92F3EB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EB1D82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218E3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C058AA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7A8253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79ABFA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565700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3993A6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8B7C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7F8EEA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5F6A6B8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FFF3FC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9F58F7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22626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058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F4035E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62F956A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37D056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09F769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6362B7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69BA9852">
      <w:pPr>
        <w:tabs>
          <w:tab w:val="left" w:pos="8782"/>
        </w:tabs>
        <w:snapToGrid w:val="0"/>
        <w:spacing w:line="360" w:lineRule="auto"/>
        <w:ind w:firstLine="480" w:firstLineChars="200"/>
        <w:rPr>
          <w:rFonts w:ascii="宋体" w:hAnsi="宋体" w:cs="Times New Roman"/>
          <w:color w:val="auto"/>
          <w:sz w:val="24"/>
          <w:szCs w:val="24"/>
        </w:rPr>
      </w:pPr>
    </w:p>
    <w:p w14:paraId="7787A756">
      <w:pPr>
        <w:tabs>
          <w:tab w:val="left" w:pos="8782"/>
        </w:tabs>
        <w:snapToGrid w:val="0"/>
        <w:spacing w:line="360" w:lineRule="auto"/>
        <w:ind w:firstLine="480" w:firstLineChars="200"/>
        <w:rPr>
          <w:rFonts w:ascii="宋体" w:hAnsi="宋体" w:cs="Times New Roman"/>
          <w:color w:val="auto"/>
          <w:sz w:val="24"/>
          <w:szCs w:val="24"/>
        </w:rPr>
      </w:pPr>
      <w:r>
        <w:rPr>
          <w:rFonts w:hint="eastAsia" w:ascii="宋体" w:hAnsi="宋体" w:cs="Times New Roman"/>
          <w:color w:val="auto"/>
          <w:sz w:val="24"/>
          <w:szCs w:val="24"/>
        </w:rPr>
        <w:t>注：1.投标人应如实列出以上情况，如有隐瞒，一经查实将导致其报价申请被拒绝。</w:t>
      </w:r>
    </w:p>
    <w:p w14:paraId="48B52603">
      <w:pPr>
        <w:tabs>
          <w:tab w:val="left" w:pos="8782"/>
        </w:tabs>
        <w:snapToGrid w:val="0"/>
        <w:spacing w:line="360" w:lineRule="auto"/>
        <w:ind w:firstLine="960" w:firstLineChars="400"/>
        <w:rPr>
          <w:rFonts w:ascii="宋体" w:hAnsi="宋体" w:cs="Times New Roman"/>
          <w:color w:val="auto"/>
          <w:sz w:val="24"/>
          <w:szCs w:val="24"/>
        </w:rPr>
      </w:pPr>
      <w:r>
        <w:rPr>
          <w:rFonts w:hint="eastAsia" w:ascii="宋体" w:hAnsi="宋体" w:cs="Times New Roman"/>
          <w:color w:val="auto"/>
          <w:sz w:val="24"/>
          <w:szCs w:val="24"/>
        </w:rPr>
        <w:t>2.投标人应提供双方签订的合同（合同复印件加盖公章装订在</w:t>
      </w:r>
      <w:r>
        <w:rPr>
          <w:rFonts w:hint="eastAsia" w:ascii="宋体" w:hAnsi="宋体" w:cs="Times New Roman"/>
          <w:color w:val="auto"/>
          <w:sz w:val="24"/>
          <w:szCs w:val="24"/>
          <w:lang w:eastAsia="zh-CN"/>
        </w:rPr>
        <w:t>响应文件</w:t>
      </w:r>
      <w:r>
        <w:rPr>
          <w:rFonts w:hint="eastAsia" w:ascii="宋体" w:hAnsi="宋体" w:cs="Times New Roman"/>
          <w:color w:val="auto"/>
          <w:sz w:val="24"/>
          <w:szCs w:val="24"/>
        </w:rPr>
        <w:t xml:space="preserve">中）。 </w:t>
      </w:r>
    </w:p>
    <w:p w14:paraId="5D921290">
      <w:pPr>
        <w:pStyle w:val="23"/>
        <w:rPr>
          <w:color w:val="auto"/>
        </w:rPr>
      </w:pPr>
    </w:p>
    <w:p w14:paraId="50226294">
      <w:pPr>
        <w:pStyle w:val="23"/>
        <w:rPr>
          <w:color w:val="auto"/>
        </w:rPr>
      </w:pPr>
    </w:p>
    <w:p w14:paraId="538EE712">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5412AB2E">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rPr>
        <w:t>或盖章）：____________________</w:t>
      </w:r>
    </w:p>
    <w:p w14:paraId="46CE2820">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5B366748">
      <w:pPr>
        <w:pStyle w:val="36"/>
        <w:rPr>
          <w:rFonts w:hint="eastAsia" w:ascii="宋体" w:hAnsi="宋体" w:eastAsia="宋体" w:cs="宋体"/>
          <w:color w:val="auto"/>
          <w:sz w:val="24"/>
          <w:szCs w:val="24"/>
        </w:rPr>
      </w:pPr>
    </w:p>
    <w:p w14:paraId="1FCE1A38">
      <w:pPr>
        <w:pStyle w:val="36"/>
        <w:rPr>
          <w:rFonts w:hint="eastAsia" w:ascii="宋体" w:hAnsi="宋体" w:eastAsia="宋体" w:cs="宋体"/>
          <w:color w:val="auto"/>
          <w:sz w:val="24"/>
          <w:szCs w:val="24"/>
        </w:rPr>
      </w:pPr>
    </w:p>
    <w:p w14:paraId="0E271A50">
      <w:pPr>
        <w:pStyle w:val="36"/>
        <w:rPr>
          <w:rFonts w:hint="eastAsia" w:ascii="宋体" w:hAnsi="宋体" w:eastAsia="宋体" w:cs="宋体"/>
          <w:color w:val="auto"/>
          <w:sz w:val="24"/>
          <w:szCs w:val="24"/>
        </w:rPr>
      </w:pPr>
    </w:p>
    <w:bookmarkEnd w:id="162"/>
    <w:p w14:paraId="4848ADB2">
      <w:pPr>
        <w:pStyle w:val="3"/>
        <w:numPr>
          <w:ilvl w:val="0"/>
          <w:numId w:val="6"/>
        </w:numPr>
        <w:ind w:firstLine="482" w:firstLineChars="150"/>
        <w:jc w:val="center"/>
        <w:rPr>
          <w:rFonts w:hint="eastAsia" w:ascii="Calibri Light" w:hAnsi="Calibri Light" w:eastAsia="宋体" w:cs="Times New Roman"/>
          <w:b/>
          <w:bCs/>
          <w:color w:val="auto"/>
          <w:sz w:val="32"/>
          <w:szCs w:val="32"/>
          <w:lang w:val="en-US" w:eastAsia="zh-CN"/>
        </w:rPr>
      </w:pPr>
      <w:bookmarkStart w:id="173" w:name="_Toc536429342"/>
      <w:bookmarkStart w:id="174" w:name="_Toc536202333"/>
      <w:bookmarkStart w:id="175" w:name="_Toc536429395"/>
      <w:bookmarkStart w:id="176" w:name="_Toc536202402"/>
      <w:bookmarkStart w:id="177" w:name="_Toc10667"/>
      <w:bookmarkStart w:id="178" w:name="_Toc19543363"/>
      <w:bookmarkStart w:id="179" w:name="_Toc24683"/>
      <w:r>
        <w:rPr>
          <w:rFonts w:hint="eastAsia" w:ascii="Calibri Light" w:hAnsi="Calibri Light" w:eastAsia="宋体" w:cs="Times New Roman"/>
          <w:b/>
          <w:bCs/>
          <w:color w:val="auto"/>
          <w:sz w:val="32"/>
          <w:szCs w:val="32"/>
          <w:lang w:val="en-US" w:eastAsia="zh-CN"/>
        </w:rPr>
        <w:t xml:space="preserve"> 供应商承诺书</w:t>
      </w:r>
      <w:bookmarkEnd w:id="173"/>
      <w:bookmarkEnd w:id="174"/>
      <w:bookmarkEnd w:id="175"/>
      <w:bookmarkEnd w:id="176"/>
      <w:bookmarkEnd w:id="177"/>
      <w:bookmarkEnd w:id="178"/>
      <w:bookmarkEnd w:id="179"/>
    </w:p>
    <w:p w14:paraId="6708B4AD">
      <w:pPr>
        <w:widowControl/>
        <w:spacing w:line="480" w:lineRule="exact"/>
        <w:jc w:val="center"/>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政府采购供应商拒绝政府采购领域商业贿赂承诺书</w:t>
      </w:r>
    </w:p>
    <w:p w14:paraId="20B83FED">
      <w:pPr>
        <w:widowControl/>
        <w:spacing w:line="240" w:lineRule="exact"/>
        <w:ind w:firstLine="420" w:firstLineChars="200"/>
        <w:jc w:val="left"/>
        <w:rPr>
          <w:rFonts w:cs="仿宋" w:asciiTheme="minorEastAsia" w:hAnsiTheme="minorEastAsia" w:eastAsiaTheme="minorEastAsia"/>
          <w:bCs/>
          <w:color w:val="auto"/>
          <w:kern w:val="0"/>
        </w:rPr>
      </w:pPr>
    </w:p>
    <w:p w14:paraId="234F429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28825C57">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5D77E8B1">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3528B211">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132AD795">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不采取“围标、陪标”等商业欺诈手段获得政府采购</w:t>
      </w:r>
      <w:r>
        <w:rPr>
          <w:rFonts w:hint="eastAsia" w:cs="仿宋" w:asciiTheme="minorEastAsia" w:hAnsiTheme="minorEastAsia" w:eastAsiaTheme="minorEastAsia"/>
          <w:bCs/>
          <w:color w:val="auto"/>
          <w:kern w:val="0"/>
          <w:sz w:val="24"/>
          <w:szCs w:val="28"/>
          <w:lang w:eastAsia="zh-CN"/>
        </w:rPr>
        <w:t>订单</w:t>
      </w:r>
      <w:r>
        <w:rPr>
          <w:rFonts w:hint="eastAsia" w:cs="仿宋" w:asciiTheme="minorEastAsia" w:hAnsiTheme="minorEastAsia" w:eastAsiaTheme="minorEastAsia"/>
          <w:bCs/>
          <w:color w:val="auto"/>
          <w:kern w:val="0"/>
          <w:sz w:val="24"/>
          <w:szCs w:val="28"/>
        </w:rPr>
        <w:t xml:space="preserve">。 </w:t>
      </w:r>
    </w:p>
    <w:p w14:paraId="521DED69">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6E44D3DD">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6.不再提供</w:t>
      </w:r>
      <w:r>
        <w:rPr>
          <w:rFonts w:hint="eastAsia" w:cs="仿宋" w:asciiTheme="minorEastAsia" w:hAnsiTheme="minorEastAsia" w:eastAsiaTheme="minorEastAsia"/>
          <w:bCs/>
          <w:color w:val="auto"/>
          <w:kern w:val="0"/>
          <w:sz w:val="24"/>
          <w:szCs w:val="28"/>
        </w:rPr>
        <w:t xml:space="preserve">商品和服务时“偷梁换柱、以次充好”损害采购人的合法权益。 </w:t>
      </w:r>
    </w:p>
    <w:p w14:paraId="48E5BD5D">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不与采购人、招标代理机构政府采购评审专家</w:t>
      </w:r>
      <w:r>
        <w:rPr>
          <w:rFonts w:hint="eastAsia" w:cs="仿宋" w:asciiTheme="minorEastAsia" w:hAnsiTheme="minorEastAsia" w:eastAsiaTheme="minorEastAsia"/>
          <w:bCs/>
          <w:color w:val="auto"/>
          <w:kern w:val="0"/>
          <w:sz w:val="24"/>
          <w:szCs w:val="28"/>
          <w:lang w:eastAsia="zh-CN"/>
        </w:rPr>
        <w:t>或其他</w:t>
      </w:r>
      <w:r>
        <w:rPr>
          <w:rFonts w:hint="eastAsia" w:cs="仿宋" w:asciiTheme="minorEastAsia" w:hAnsiTheme="minorEastAsia" w:eastAsiaTheme="minorEastAsia"/>
          <w:bCs/>
          <w:color w:val="auto"/>
          <w:kern w:val="0"/>
          <w:sz w:val="24"/>
          <w:szCs w:val="28"/>
        </w:rPr>
        <w:t xml:space="preserve">供应商恶意串通，进行质疑和投诉，维护政府采购市场秩序。 </w:t>
      </w:r>
    </w:p>
    <w:p w14:paraId="0FA123E6">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22997206">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lang w:eastAsia="zh-CN"/>
        </w:rPr>
        <w:t>9.</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0B79A761">
      <w:pPr>
        <w:widowControl/>
        <w:spacing w:line="440" w:lineRule="exact"/>
        <w:ind w:firstLine="960" w:firstLineChars="400"/>
        <w:rPr>
          <w:rFonts w:cs="仿宋" w:asciiTheme="minorEastAsia" w:hAnsiTheme="minorEastAsia" w:eastAsiaTheme="minorEastAsia"/>
          <w:bCs/>
          <w:color w:val="auto"/>
          <w:kern w:val="0"/>
          <w:sz w:val="24"/>
          <w:szCs w:val="28"/>
        </w:rPr>
      </w:pPr>
    </w:p>
    <w:p w14:paraId="2AAD41CB">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15D7C95B">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仿宋" w:asciiTheme="minorEastAsia" w:hAnsiTheme="minorEastAsia" w:eastAsiaTheme="minorEastAsia"/>
          <w:bCs/>
          <w:color w:val="auto"/>
          <w:kern w:val="0"/>
          <w:sz w:val="24"/>
          <w:szCs w:val="28"/>
        </w:rPr>
        <w:t xml:space="preserve">） </w:t>
      </w:r>
    </w:p>
    <w:p w14:paraId="6315BC02">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0C1F4C7A">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w:t>
      </w:r>
    </w:p>
    <w:p w14:paraId="0623BE46">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　 </w:t>
      </w:r>
    </w:p>
    <w:p w14:paraId="1F6E2F5F">
      <w:pPr>
        <w:widowControl/>
        <w:spacing w:line="340" w:lineRule="exact"/>
        <w:rPr>
          <w:rFonts w:cs="仿宋" w:asciiTheme="minorEastAsia" w:hAnsiTheme="minorEastAsia" w:eastAsiaTheme="minorEastAsia"/>
          <w:bCs/>
          <w:color w:val="auto"/>
          <w:kern w:val="0"/>
          <w:sz w:val="24"/>
          <w:szCs w:val="28"/>
        </w:rPr>
      </w:pPr>
    </w:p>
    <w:p w14:paraId="78EFCF77">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4E9D0B7E">
      <w:pPr>
        <w:widowControl/>
        <w:spacing w:line="640" w:lineRule="exact"/>
        <w:jc w:val="center"/>
        <w:rPr>
          <w:rFonts w:cs="仿宋" w:asciiTheme="minorEastAsia" w:hAnsiTheme="minorEastAsia" w:eastAsiaTheme="minorEastAsia"/>
          <w:bCs/>
          <w:color w:val="auto"/>
          <w:sz w:val="36"/>
          <w:szCs w:val="40"/>
        </w:rPr>
      </w:pPr>
    </w:p>
    <w:p w14:paraId="42A93745">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242A0A89">
      <w:pPr>
        <w:widowControl/>
        <w:jc w:val="left"/>
        <w:rPr>
          <w:rFonts w:cs="仿宋" w:asciiTheme="minorEastAsia" w:hAnsiTheme="minorEastAsia" w:eastAsiaTheme="minorEastAsia"/>
          <w:bCs/>
          <w:color w:val="auto"/>
          <w:kern w:val="0"/>
          <w:sz w:val="32"/>
          <w:szCs w:val="32"/>
        </w:rPr>
      </w:pPr>
    </w:p>
    <w:p w14:paraId="6CEA2D5B">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327A739B">
      <w:pPr>
        <w:widowControl/>
        <w:shd w:val="clear" w:color="auto" w:fill="FFFFFF"/>
        <w:spacing w:before="100" w:beforeAutospacing="1" w:after="100" w:afterAutospacing="1" w:line="400" w:lineRule="exact"/>
        <w:jc w:val="center"/>
        <w:rPr>
          <w:rFonts w:cs="仿宋" w:asciiTheme="minorEastAsia" w:hAnsiTheme="minorEastAsia" w:eastAsiaTheme="minorEastAsia"/>
          <w:b/>
          <w:color w:val="auto"/>
          <w:kern w:val="0"/>
          <w:sz w:val="24"/>
          <w:szCs w:val="24"/>
        </w:rPr>
      </w:pPr>
      <w:r>
        <w:rPr>
          <w:rFonts w:hint="eastAsia" w:cs="仿宋" w:asciiTheme="minorEastAsia" w:hAnsiTheme="minorEastAsia" w:eastAsiaTheme="minorEastAsia"/>
          <w:b/>
          <w:color w:val="auto"/>
          <w:kern w:val="0"/>
          <w:sz w:val="32"/>
          <w:szCs w:val="32"/>
        </w:rPr>
        <w:t>承诺书Ⅱ</w:t>
      </w:r>
    </w:p>
    <w:p w14:paraId="27044D4C">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78C8A776">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10BED37B">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4958270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33819B5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2041BB9F">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3081BA1">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0ABCC37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w:t>
      </w:r>
      <w:r>
        <w:rPr>
          <w:rFonts w:hint="eastAsia" w:cs="仿宋" w:asciiTheme="minorEastAsia" w:hAnsiTheme="minorEastAsia" w:eastAsiaTheme="minorEastAsia"/>
          <w:bCs/>
          <w:color w:val="auto"/>
          <w:kern w:val="0"/>
          <w:sz w:val="24"/>
          <w:szCs w:val="28"/>
          <w:lang w:eastAsia="zh-CN"/>
        </w:rPr>
        <w:t>资格证明文件</w:t>
      </w:r>
      <w:r>
        <w:rPr>
          <w:rFonts w:hint="eastAsia" w:cs="仿宋" w:asciiTheme="minorEastAsia" w:hAnsiTheme="minorEastAsia" w:eastAsiaTheme="minorEastAsia"/>
          <w:bCs/>
          <w:color w:val="auto"/>
          <w:kern w:val="0"/>
          <w:sz w:val="24"/>
          <w:szCs w:val="28"/>
        </w:rPr>
        <w:t>及业绩证明是真实的、有效的，如有隐瞒实情，愿承担一切责任及后果。</w:t>
      </w:r>
    </w:p>
    <w:p w14:paraId="51025D58">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05BA8109">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45001619">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03459AE0">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0DFC1989">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（盖章）</w:t>
      </w:r>
    </w:p>
    <w:p w14:paraId="5EE0D3BF">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仿宋" w:asciiTheme="minorEastAsia" w:hAnsiTheme="minorEastAsia" w:eastAsiaTheme="minorEastAsia"/>
          <w:bCs/>
          <w:color w:val="auto"/>
          <w:kern w:val="0"/>
          <w:sz w:val="24"/>
          <w:szCs w:val="28"/>
        </w:rPr>
        <w:t>）</w:t>
      </w:r>
    </w:p>
    <w:p w14:paraId="00D3ED0F">
      <w:pPr>
        <w:widowControl/>
        <w:shd w:val="clear" w:color="auto" w:fill="FFFFFF"/>
        <w:spacing w:line="440" w:lineRule="exact"/>
        <w:ind w:firstLine="2152" w:firstLineChars="897"/>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日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358DF921">
      <w:pPr>
        <w:pStyle w:val="3"/>
        <w:adjustRightInd w:val="0"/>
        <w:spacing w:line="416" w:lineRule="atLeast"/>
        <w:textAlignment w:val="baseline"/>
        <w:rPr>
          <w:rFonts w:ascii="宋体" w:hAnsi="宋体" w:cs="宋体"/>
          <w:color w:val="auto"/>
        </w:rPr>
      </w:pPr>
      <w:bookmarkStart w:id="180" w:name="_Toc536202334"/>
      <w:bookmarkStart w:id="181" w:name="_Toc536429396"/>
      <w:bookmarkStart w:id="182" w:name="_Toc25514"/>
      <w:bookmarkStart w:id="183" w:name="_Toc536429343"/>
      <w:bookmarkStart w:id="184" w:name="_Toc536202403"/>
    </w:p>
    <w:bookmarkEnd w:id="0"/>
    <w:bookmarkEnd w:id="180"/>
    <w:bookmarkEnd w:id="181"/>
    <w:bookmarkEnd w:id="182"/>
    <w:bookmarkEnd w:id="183"/>
    <w:bookmarkEnd w:id="184"/>
    <w:p w14:paraId="0BC16123">
      <w:pPr>
        <w:widowControl/>
        <w:jc w:val="left"/>
        <w:rPr>
          <w:color w:val="auto"/>
          <w:sz w:val="24"/>
          <w:szCs w:val="28"/>
        </w:rPr>
      </w:pPr>
    </w:p>
    <w:p w14:paraId="7FE361F0">
      <w:pPr>
        <w:pStyle w:val="13"/>
        <w:rPr>
          <w:color w:val="auto"/>
          <w:sz w:val="24"/>
          <w:szCs w:val="28"/>
        </w:rPr>
      </w:pPr>
    </w:p>
    <w:p w14:paraId="1576FC1C">
      <w:pPr>
        <w:rPr>
          <w:color w:val="auto"/>
          <w:sz w:val="24"/>
          <w:szCs w:val="28"/>
        </w:rPr>
      </w:pPr>
    </w:p>
    <w:p w14:paraId="73658C54">
      <w:pPr>
        <w:pStyle w:val="13"/>
        <w:rPr>
          <w:color w:val="auto"/>
          <w:sz w:val="24"/>
          <w:szCs w:val="28"/>
        </w:rPr>
        <w:sectPr>
          <w:footerReference r:id="rId23" w:type="first"/>
          <w:footerReference r:id="rId22" w:type="default"/>
          <w:pgSz w:w="11906" w:h="16838"/>
          <w:pgMar w:top="1417" w:right="1417" w:bottom="1417" w:left="1417" w:header="1134" w:footer="992" w:gutter="0"/>
          <w:pgNumType w:fmt="decimal"/>
          <w:cols w:space="0" w:num="1"/>
          <w:titlePg/>
          <w:docGrid w:type="lines" w:linePitch="326" w:charSpace="0"/>
        </w:sectPr>
      </w:pPr>
    </w:p>
    <w:p w14:paraId="55B54D7C">
      <w:pPr>
        <w:rPr>
          <w:color w:val="auto"/>
        </w:rPr>
      </w:pPr>
    </w:p>
    <w:p w14:paraId="441A1A26">
      <w:pPr>
        <w:pStyle w:val="23"/>
        <w:rPr>
          <w:color w:val="auto"/>
        </w:rPr>
      </w:pPr>
    </w:p>
    <w:p w14:paraId="634C6F00">
      <w:pPr>
        <w:pStyle w:val="23"/>
        <w:rPr>
          <w:color w:val="auto"/>
        </w:rPr>
      </w:pPr>
    </w:p>
    <w:p w14:paraId="2A8C8A55">
      <w:pPr>
        <w:pStyle w:val="23"/>
        <w:rPr>
          <w:color w:val="auto"/>
        </w:rPr>
      </w:pPr>
    </w:p>
    <w:p w14:paraId="2F94EC01">
      <w:pPr>
        <w:pStyle w:val="23"/>
        <w:rPr>
          <w:color w:val="auto"/>
        </w:rPr>
      </w:pPr>
    </w:p>
    <w:p w14:paraId="4BF9BEC6">
      <w:pPr>
        <w:pStyle w:val="23"/>
        <w:rPr>
          <w:color w:val="auto"/>
        </w:rPr>
      </w:pPr>
    </w:p>
    <w:p w14:paraId="55D72411">
      <w:pPr>
        <w:pStyle w:val="23"/>
        <w:rPr>
          <w:color w:val="auto"/>
        </w:rPr>
      </w:pPr>
    </w:p>
    <w:p w14:paraId="584DCC14">
      <w:pPr>
        <w:pStyle w:val="23"/>
        <w:rPr>
          <w:color w:val="auto"/>
        </w:rPr>
      </w:pPr>
    </w:p>
    <w:p w14:paraId="0A8681BF">
      <w:pPr>
        <w:pStyle w:val="23"/>
        <w:rPr>
          <w:color w:val="auto"/>
        </w:rPr>
      </w:pPr>
    </w:p>
    <w:p w14:paraId="25E519CC">
      <w:pPr>
        <w:pStyle w:val="23"/>
        <w:rPr>
          <w:color w:val="auto"/>
        </w:rPr>
      </w:pPr>
    </w:p>
    <w:p w14:paraId="5D41C4D9">
      <w:pPr>
        <w:pStyle w:val="23"/>
        <w:rPr>
          <w:color w:val="auto"/>
        </w:rPr>
      </w:pPr>
    </w:p>
    <w:p w14:paraId="613FFF72">
      <w:pPr>
        <w:pStyle w:val="23"/>
        <w:rPr>
          <w:color w:val="auto"/>
        </w:rPr>
      </w:pPr>
    </w:p>
    <w:p w14:paraId="275696FF">
      <w:pPr>
        <w:pStyle w:val="23"/>
        <w:rPr>
          <w:color w:val="auto"/>
        </w:rPr>
      </w:pPr>
    </w:p>
    <w:p w14:paraId="747328EC">
      <w:pPr>
        <w:pStyle w:val="23"/>
        <w:rPr>
          <w:color w:val="auto"/>
        </w:rPr>
      </w:pPr>
    </w:p>
    <w:p w14:paraId="14ED85EA">
      <w:pPr>
        <w:pStyle w:val="23"/>
        <w:rPr>
          <w:color w:val="auto"/>
        </w:rPr>
      </w:pPr>
    </w:p>
    <w:p w14:paraId="4ECB54D3">
      <w:pPr>
        <w:pStyle w:val="23"/>
        <w:rPr>
          <w:color w:val="auto"/>
        </w:rPr>
      </w:pPr>
    </w:p>
    <w:p w14:paraId="3A8FB055">
      <w:pPr>
        <w:pStyle w:val="23"/>
        <w:rPr>
          <w:color w:val="auto"/>
        </w:rPr>
      </w:pPr>
    </w:p>
    <w:p w14:paraId="1FCFA26D">
      <w:pPr>
        <w:pStyle w:val="23"/>
        <w:rPr>
          <w:color w:val="auto"/>
        </w:rPr>
      </w:pPr>
    </w:p>
    <w:p w14:paraId="14389AD9">
      <w:pPr>
        <w:pStyle w:val="23"/>
        <w:rPr>
          <w:color w:val="auto"/>
        </w:rPr>
      </w:pPr>
    </w:p>
    <w:p w14:paraId="6637F67A">
      <w:pPr>
        <w:pStyle w:val="23"/>
        <w:rPr>
          <w:color w:val="auto"/>
        </w:rPr>
      </w:pPr>
    </w:p>
    <w:p w14:paraId="0B8EDF8F">
      <w:pPr>
        <w:pStyle w:val="23"/>
        <w:rPr>
          <w:color w:val="auto"/>
        </w:rPr>
      </w:pPr>
    </w:p>
    <w:p w14:paraId="49481398">
      <w:pPr>
        <w:pStyle w:val="23"/>
        <w:rPr>
          <w:color w:val="auto"/>
        </w:rPr>
      </w:pPr>
    </w:p>
    <w:p w14:paraId="2BE3A8FB">
      <w:pPr>
        <w:pStyle w:val="23"/>
        <w:rPr>
          <w:color w:val="auto"/>
        </w:rPr>
      </w:pPr>
    </w:p>
    <w:p w14:paraId="5102736D">
      <w:pPr>
        <w:pStyle w:val="23"/>
        <w:rPr>
          <w:color w:val="auto"/>
        </w:rPr>
      </w:pPr>
    </w:p>
    <w:p w14:paraId="7FE1F6AA">
      <w:pPr>
        <w:pStyle w:val="23"/>
        <w:rPr>
          <w:color w:val="auto"/>
        </w:rPr>
      </w:pPr>
    </w:p>
    <w:p w14:paraId="26007521">
      <w:pPr>
        <w:pStyle w:val="23"/>
        <w:rPr>
          <w:color w:val="auto"/>
        </w:rPr>
      </w:pPr>
    </w:p>
    <w:p w14:paraId="0D7286EF">
      <w:pPr>
        <w:pStyle w:val="23"/>
        <w:rPr>
          <w:color w:val="auto"/>
        </w:rPr>
      </w:pPr>
    </w:p>
    <w:p w14:paraId="3571CCC4">
      <w:pPr>
        <w:pStyle w:val="23"/>
        <w:rPr>
          <w:color w:val="auto"/>
        </w:rPr>
      </w:pPr>
    </w:p>
    <w:p w14:paraId="76264DD2">
      <w:pPr>
        <w:pStyle w:val="23"/>
        <w:rPr>
          <w:color w:val="auto"/>
        </w:rPr>
      </w:pPr>
    </w:p>
    <w:p w14:paraId="576B8621">
      <w:pPr>
        <w:pStyle w:val="23"/>
        <w:rPr>
          <w:color w:val="auto"/>
        </w:rPr>
      </w:pPr>
    </w:p>
    <w:p w14:paraId="1CAA8907">
      <w:pPr>
        <w:pStyle w:val="23"/>
        <w:rPr>
          <w:color w:val="auto"/>
        </w:rPr>
      </w:pPr>
    </w:p>
    <w:p w14:paraId="2B000E7F">
      <w:pPr>
        <w:pStyle w:val="23"/>
        <w:rPr>
          <w:color w:val="auto"/>
        </w:rPr>
      </w:pPr>
    </w:p>
    <w:p w14:paraId="6F52FD39">
      <w:pPr>
        <w:pStyle w:val="23"/>
        <w:rPr>
          <w:color w:val="auto"/>
        </w:rPr>
      </w:pPr>
    </w:p>
    <w:p w14:paraId="4B55678F">
      <w:pPr>
        <w:pStyle w:val="23"/>
        <w:rPr>
          <w:color w:val="auto"/>
        </w:rPr>
      </w:pPr>
    </w:p>
    <w:p w14:paraId="3872BCA0">
      <w:pPr>
        <w:pStyle w:val="23"/>
        <w:rPr>
          <w:color w:val="auto"/>
        </w:rPr>
      </w:pPr>
    </w:p>
    <w:p w14:paraId="5EC0FC03">
      <w:pPr>
        <w:pStyle w:val="23"/>
        <w:rPr>
          <w:color w:val="auto"/>
        </w:rPr>
      </w:pPr>
    </w:p>
    <w:p w14:paraId="3274ECF2">
      <w:pPr>
        <w:pStyle w:val="23"/>
        <w:rPr>
          <w:color w:val="auto"/>
        </w:rPr>
      </w:pPr>
    </w:p>
    <w:p w14:paraId="4C56B419">
      <w:pPr>
        <w:pStyle w:val="23"/>
        <w:rPr>
          <w:color w:val="auto"/>
        </w:rPr>
      </w:pPr>
    </w:p>
    <w:p w14:paraId="22931383">
      <w:pPr>
        <w:pStyle w:val="23"/>
        <w:rPr>
          <w:color w:val="auto"/>
        </w:rPr>
      </w:pPr>
    </w:p>
    <w:p w14:paraId="0AC0CEA5">
      <w:pPr>
        <w:pStyle w:val="23"/>
        <w:rPr>
          <w:color w:val="auto"/>
        </w:rPr>
      </w:pPr>
    </w:p>
    <w:p w14:paraId="1DF3D37B">
      <w:pPr>
        <w:pStyle w:val="23"/>
        <w:rPr>
          <w:color w:val="auto"/>
        </w:rPr>
      </w:pPr>
    </w:p>
    <w:p w14:paraId="6B5C9121">
      <w:pPr>
        <w:pStyle w:val="23"/>
        <w:rPr>
          <w:color w:val="auto"/>
        </w:rPr>
      </w:pPr>
    </w:p>
    <w:p w14:paraId="57726280">
      <w:pPr>
        <w:pStyle w:val="23"/>
        <w:rPr>
          <w:color w:val="auto"/>
        </w:rPr>
      </w:pPr>
    </w:p>
    <w:p w14:paraId="2E90CDA9">
      <w:pPr>
        <w:pStyle w:val="23"/>
        <w:rPr>
          <w:color w:val="auto"/>
        </w:rPr>
      </w:pPr>
      <w:r>
        <w:rPr>
          <w:rFonts w:hint="eastAsia"/>
          <w:color w:val="auto"/>
        </w:rPr>
        <w:drawing>
          <wp:anchor distT="0" distB="0" distL="114300" distR="114300" simplePos="0" relativeHeight="251667456" behindDoc="0" locked="0" layoutInCell="1" allowOverlap="1">
            <wp:simplePos x="0" y="0"/>
            <wp:positionH relativeFrom="column">
              <wp:posOffset>2541270</wp:posOffset>
            </wp:positionH>
            <wp:positionV relativeFrom="paragraph">
              <wp:posOffset>72390</wp:posOffset>
            </wp:positionV>
            <wp:extent cx="420370" cy="304800"/>
            <wp:effectExtent l="0" t="0" r="17780" b="0"/>
            <wp:wrapNone/>
            <wp:docPr id="15" name="图片 15"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_尚昊 标"/>
                    <pic:cNvPicPr>
                      <a:picLocks noChangeAspect="1"/>
                    </pic:cNvPicPr>
                  </pic:nvPicPr>
                  <pic:blipFill>
                    <a:blip r:embed="rId27"/>
                    <a:stretch>
                      <a:fillRect/>
                    </a:stretch>
                  </pic:blipFill>
                  <pic:spPr>
                    <a:xfrm>
                      <a:off x="0" y="0"/>
                      <a:ext cx="420370" cy="304800"/>
                    </a:xfrm>
                    <a:prstGeom prst="rect">
                      <a:avLst/>
                    </a:prstGeom>
                  </pic:spPr>
                </pic:pic>
              </a:graphicData>
            </a:graphic>
          </wp:anchor>
        </w:drawing>
      </w:r>
    </w:p>
    <w:p w14:paraId="6EE0302A">
      <w:pPr>
        <w:spacing w:line="440" w:lineRule="exact"/>
        <w:rPr>
          <w:color w:val="auto"/>
          <w:sz w:val="32"/>
          <w:szCs w:val="32"/>
        </w:rPr>
      </w:pPr>
      <w:r>
        <w:rPr>
          <w:rFonts w:hint="eastAsia"/>
          <w:color w:val="auto"/>
          <w:sz w:val="32"/>
          <w:szCs w:val="32"/>
        </w:rPr>
        <w:t>安康尚昊招标代理有限公司</w:t>
      </w:r>
    </w:p>
    <w:p w14:paraId="174A4B8B">
      <w:pPr>
        <w:spacing w:line="440" w:lineRule="exact"/>
        <w:jc w:val="center"/>
        <w:rPr>
          <w:color w:val="auto"/>
          <w:sz w:val="32"/>
          <w:szCs w:val="32"/>
        </w:rPr>
      </w:pPr>
      <w:r>
        <w:rPr>
          <w:rFonts w:hint="eastAsia"/>
          <w:color w:val="auto"/>
          <w:sz w:val="32"/>
          <w:szCs w:val="3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pt;width:423pt;z-index:251663360;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PvSF8bsAQAA2QMAAA4AAABkcnMvZTJvRG9jLnhtbK1TS44TMRDd&#10;I3EHy3vSnaDwaaUziwnDBkEk4AAV25225J9cnnRyCS6AxA5WLNlzmxmOQdmdycCwyYJeuMvlqlf1&#10;nsuLi701bKciau9aPp3UnCknvNRu2/KPH66evOAMEzgJxjvV8oNCfrF8/GgxhEbNfO+NVJERiMNm&#10;CC3vUwpNVaHolQWc+KAcHXY+Wki0jdtKRhgI3ZpqVtfPqsFHGaIXCpG8q/GQHxHjOYC+67RQKy+u&#10;rXJpRI3KQCJK2OuAfFm67Tol0ruuQ5WYaTkxTWWlImRv8lotF9BsI4Rei2MLcE4LDzhZ0I6KnqBW&#10;kIBdR/0PlNUievRdmghvq5FIUYRYTOsH2rzvIajChaTGcBId/x+seLtbR6Zly+ecObB04beff9x8&#10;+vrr5xdab79/Y/Ms0hCwodhLt47HHYZ1zIz3XbT5T1zYvgh7OAmr9okJcs6fPp9Na9Jc3J1V94kh&#10;YnqtvGXZaLnRLnOGBnZvMFExCr0LyW7j2EBz+7KeZzygCezo5sm0gVig25Zk9EbLK21MTsG43Vya&#10;yHaQp6B8mRMB/xWWq6wA+zGuHI3z0SuQr5xk6RBIH0fPgucerJKcGUWvKFsECE0Cbc6JpNLGUQdZ&#10;1lHIbG28PBR9i59uvPR4nM48Un/uS/b9i1z+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cKp9jT&#10;AAAABgEAAA8AAAAAAAAAAQAgAAAAIgAAAGRycy9kb3ducmV2LnhtbFBLAQIUABQAAAAIAIdO4kD7&#10;0hfG7AEAANkDAAAOAAAAAAAAAAEAIAAAACIBAABkcnMvZTJvRG9jLnhtbFBLBQYAAAAABgAGAFkB&#10;AACABQAAAAA=&#10;">
                <v:fill on="f" focussize="0,0"/>
                <v:stroke weight="1.5pt" color="#000000" joinstyle="round"/>
                <v:imagedata o:title=""/>
                <o:lock v:ext="edit" aspectratio="f"/>
              </v:line>
            </w:pict>
          </mc:Fallback>
        </mc:AlternateContent>
      </w:r>
    </w:p>
    <w:p w14:paraId="5CE5FBE2">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982331336"/>
        </w:rPr>
        <w:t xml:space="preserve">地    </w:t>
      </w:r>
      <w:r>
        <w:rPr>
          <w:rFonts w:hint="eastAsia" w:hAnsi="宋体"/>
          <w:color w:val="auto"/>
          <w:spacing w:val="0"/>
          <w:kern w:val="0"/>
          <w:sz w:val="24"/>
          <w:szCs w:val="24"/>
          <w:fitText w:val="1050" w:id="982331336"/>
        </w:rPr>
        <w:t>址</w:t>
      </w:r>
      <w:r>
        <w:rPr>
          <w:rFonts w:hint="eastAsia" w:hAnsi="宋体"/>
          <w:color w:val="auto"/>
          <w:spacing w:val="-6"/>
          <w:sz w:val="24"/>
          <w:szCs w:val="24"/>
        </w:rPr>
        <w:t>：安康市高新区高新观澜8幢2单元801室</w:t>
      </w:r>
    </w:p>
    <w:p w14:paraId="46984E72">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1"/>
        </w:rPr>
        <w:t xml:space="preserve">邮    </w:t>
      </w:r>
      <w:r>
        <w:rPr>
          <w:rFonts w:hint="eastAsia" w:hAnsi="宋体"/>
          <w:color w:val="auto"/>
          <w:spacing w:val="0"/>
          <w:kern w:val="0"/>
          <w:sz w:val="24"/>
          <w:szCs w:val="24"/>
          <w:fitText w:val="1050" w:id="1"/>
        </w:rPr>
        <w:t>编</w:t>
      </w:r>
      <w:r>
        <w:rPr>
          <w:rFonts w:hint="eastAsia" w:hAnsi="宋体"/>
          <w:color w:val="auto"/>
          <w:sz w:val="24"/>
          <w:szCs w:val="24"/>
        </w:rPr>
        <w:t>：725000</w:t>
      </w:r>
    </w:p>
    <w:p w14:paraId="2CD4ECBB">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2"/>
        </w:rPr>
        <w:t xml:space="preserve">电    </w:t>
      </w:r>
      <w:r>
        <w:rPr>
          <w:rFonts w:hint="eastAsia" w:hAnsi="宋体"/>
          <w:color w:val="auto"/>
          <w:spacing w:val="0"/>
          <w:kern w:val="0"/>
          <w:sz w:val="24"/>
          <w:szCs w:val="24"/>
          <w:fitText w:val="1050" w:id="2"/>
        </w:rPr>
        <w:t>话</w:t>
      </w:r>
      <w:r>
        <w:rPr>
          <w:rFonts w:hint="eastAsia" w:hAnsi="宋体"/>
          <w:color w:val="auto"/>
          <w:sz w:val="24"/>
          <w:szCs w:val="24"/>
        </w:rPr>
        <w:t>：13991519725</w:t>
      </w:r>
    </w:p>
    <w:p w14:paraId="231E3C60">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3"/>
        </w:rPr>
        <w:t>公司名</w:t>
      </w:r>
      <w:r>
        <w:rPr>
          <w:rFonts w:hint="eastAsia" w:hAnsi="宋体"/>
          <w:color w:val="auto"/>
          <w:spacing w:val="0"/>
          <w:kern w:val="0"/>
          <w:sz w:val="24"/>
          <w:szCs w:val="24"/>
          <w:fitText w:val="1050" w:id="3"/>
        </w:rPr>
        <w:t>称</w:t>
      </w:r>
      <w:r>
        <w:rPr>
          <w:rFonts w:hint="eastAsia" w:hAnsi="宋体"/>
          <w:color w:val="auto"/>
          <w:sz w:val="24"/>
          <w:szCs w:val="24"/>
        </w:rPr>
        <w:t>：安康尚昊招标代理有限公司</w:t>
      </w:r>
    </w:p>
    <w:p w14:paraId="778E3551">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4"/>
        </w:rPr>
        <w:t>开户银</w:t>
      </w:r>
      <w:r>
        <w:rPr>
          <w:rFonts w:hint="eastAsia" w:hAnsi="宋体"/>
          <w:color w:val="auto"/>
          <w:spacing w:val="0"/>
          <w:kern w:val="0"/>
          <w:sz w:val="24"/>
          <w:szCs w:val="24"/>
          <w:fitText w:val="1050" w:id="4"/>
        </w:rPr>
        <w:t>行</w:t>
      </w:r>
      <w:r>
        <w:rPr>
          <w:rFonts w:hint="eastAsia" w:hAnsi="宋体"/>
          <w:color w:val="auto"/>
          <w:sz w:val="24"/>
          <w:szCs w:val="24"/>
        </w:rPr>
        <w:t>：中国建设银行股份有限公司安康分行营业部</w:t>
      </w:r>
    </w:p>
    <w:p w14:paraId="225C68A5">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5"/>
        </w:rPr>
        <w:t xml:space="preserve">账    </w:t>
      </w:r>
      <w:r>
        <w:rPr>
          <w:rFonts w:hint="eastAsia" w:hAnsi="宋体"/>
          <w:color w:val="auto"/>
          <w:spacing w:val="0"/>
          <w:kern w:val="0"/>
          <w:sz w:val="24"/>
          <w:szCs w:val="24"/>
          <w:fitText w:val="1050" w:id="5"/>
        </w:rPr>
        <w:t>号</w:t>
      </w:r>
      <w:r>
        <w:rPr>
          <w:rFonts w:hint="eastAsia" w:hAnsi="宋体"/>
          <w:color w:val="auto"/>
          <w:sz w:val="24"/>
          <w:szCs w:val="24"/>
        </w:rPr>
        <w:t>：</w:t>
      </w:r>
      <w:r>
        <w:rPr>
          <w:rFonts w:hint="eastAsia" w:ascii="宋体" w:hAnsi="宋体" w:cs="宋体"/>
          <w:color w:val="auto"/>
          <w:sz w:val="24"/>
          <w:szCs w:val="28"/>
        </w:rPr>
        <w:t>61050166371100000492</w:t>
      </w:r>
      <w:r>
        <w:rPr>
          <w:rFonts w:hint="eastAsia" w:hAnsi="宋体"/>
          <w:color w:val="auto"/>
          <w:sz w:val="24"/>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pt;width:423pt;z-index:251662336;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MgqWErsAQAA2QMAAA4AAABkcnMvZTJvRG9jLnhtbK1TvY4TMRDu&#10;kXgHyz3ZTdAFWGVzxYWjQRAJeICJ7c1a8p88vmzyErwAEh1UlPS8DcdjMPbmcnA0KdjCOx7PfDPf&#10;5/Hicm8N26mI2ruWTyc1Z8oJL7XbtvzD++snzznDBE6C8U61/KCQXy4fP1oMoVEz33sjVWQE4rAZ&#10;Qsv7lEJTVSh6ZQEnPihHh52PFhJt47aSEQZCt6aa1fW8GnyUIXqhEMm7Gg/5ETGeA+i7Tgu18uLG&#10;KpdG1KgMJKKEvQ7Il6XbrlMive06VImZlhPTVFYqQvYmr9VyAc02Qui1OLYA57TwgJMF7ajoCWoF&#10;CdhN1P9AWS2iR9+lifC2GokURYjFtH6gzbsegipcSGoMJ9Hx/8GKN7t1ZFq2fM6ZA0sXfvvp+8+P&#10;X379+Ezr7bevbJ5FGgI2FHvl1vG4w7COmfG+izb/iQvbF2EPJ2HVPjFBzounz2bTmjQXd2fVfWKI&#10;mF4pb1k2Wm60y5yhgd1rTFSMQu9Csts4NtDcvqgvMh7QBHZ082TaQCzQbUsyeqPltTYmp2Dcbq5M&#10;ZDvIU1C+zImA/wrLVVaA/RhXjsb56BXIl06ydAikj6NnwXMPVknOjKJXlC0ChCaBNudEUmnjqIMs&#10;6yhktjZeHoq+xU83Xno8TmceqT/3Jfv+RS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i+1gLT&#10;AAAABgEAAA8AAAAAAAAAAQAgAAAAIgAAAGRycy9kb3ducmV2LnhtbFBLAQIUABQAAAAIAIdO4kDI&#10;KlhK7AEAANkDAAAOAAAAAAAAAAEAIAAAACIBAABkcnMvZTJvRG9jLnhtbFBLBQYAAAAABgAGAFkB&#10;AACABQAAAAA=&#10;">
                <v:fill on="f" focussize="0,0"/>
                <v:stroke weight="1.5pt" color="#000000" joinstyle="round"/>
                <v:imagedata o:title=""/>
                <o:lock v:ext="edit" aspectratio="f"/>
              </v:line>
            </w:pict>
          </mc:Fallback>
        </mc:AlternateContent>
      </w:r>
    </w:p>
    <w:p w14:paraId="7F5DF640">
      <w:pPr>
        <w:pStyle w:val="105"/>
        <w:ind w:firstLine="420"/>
        <w:rPr>
          <w:color w:val="auto"/>
        </w:rPr>
      </w:pPr>
    </w:p>
    <w:p w14:paraId="5FEB9266">
      <w:pPr>
        <w:spacing w:line="20" w:lineRule="exact"/>
        <w:rPr>
          <w:color w:val="auto"/>
        </w:rPr>
      </w:pPr>
    </w:p>
    <w:sectPr>
      <w:footerReference r:id="rId25" w:type="first"/>
      <w:footerReference r:id="rId24" w:type="default"/>
      <w:pgSz w:w="11906" w:h="16838"/>
      <w:pgMar w:top="1417" w:right="1417" w:bottom="1417" w:left="1417" w:header="1134" w:footer="992" w:gutter="0"/>
      <w:pgNumType w:fmt="decimal"/>
      <w:cols w:space="0"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24FF5">
    <w:pPr>
      <w:pStyle w:val="23"/>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840F3">
    <w:pPr>
      <w:pStyle w:val="23"/>
      <w:tabs>
        <w:tab w:val="center" w:pos="4819"/>
        <w:tab w:val="left" w:pos="7440"/>
      </w:tabs>
    </w:pPr>
    <w:r>
      <w:tab/>
    </w:r>
  </w:p>
  <w:p w14:paraId="02AE3B45">
    <w:pPr>
      <w:pStyle w:val="23"/>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FBBB0">
    <w:pPr>
      <w:pStyle w:val="23"/>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4FA00">
    <w:pPr>
      <w:pStyle w:val="23"/>
      <w:tabs>
        <w:tab w:val="center" w:pos="4819"/>
        <w:tab w:val="left" w:pos="744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55</w:t>
                    </w:r>
                    <w:r>
                      <w:t>页</w:t>
                    </w:r>
                  </w:p>
                </w:txbxContent>
              </v:textbox>
            </v:shape>
          </w:pict>
        </mc:Fallback>
      </mc:AlternateContent>
    </w:r>
    <w:r>
      <w:tab/>
    </w:r>
  </w:p>
  <w:p w14:paraId="33E3155F">
    <w:pPr>
      <w:pStyle w:val="23"/>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E1057">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D958">
    <w:pPr>
      <w:pStyle w:val="23"/>
      <w:tabs>
        <w:tab w:val="center" w:pos="4819"/>
        <w:tab w:val="left" w:pos="744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2DD5A">
                          <w:pPr>
                            <w:pStyle w:val="23"/>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F2DD5A">
                    <w:pPr>
                      <w:pStyle w:val="23"/>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55</w:t>
                    </w:r>
                    <w:r>
                      <w:t>页</w:t>
                    </w:r>
                  </w:p>
                </w:txbxContent>
              </v:textbox>
            </v:shape>
          </w:pict>
        </mc:Fallback>
      </mc:AlternateContent>
    </w:r>
    <w:r>
      <w:tab/>
    </w:r>
  </w:p>
  <w:p w14:paraId="633E4CC6">
    <w:pPr>
      <w:pStyle w:val="23"/>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94820">
    <w:pPr>
      <w:pStyle w:val="2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64C6E">
                          <w:pPr>
                            <w:pStyle w:val="23"/>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164C6E">
                    <w:pPr>
                      <w:pStyle w:val="23"/>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55</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25870">
    <w:pPr>
      <w:pStyle w:val="2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38AB9">
                          <w:pPr>
                            <w:pStyle w:val="23"/>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0D38AB9">
                    <w:pPr>
                      <w:pStyle w:val="23"/>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F0EDE">
    <w:pPr>
      <w:pStyle w:val="23"/>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1EB00">
                          <w:pPr>
                            <w:pStyle w:val="23"/>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DC1EB00">
                    <w:pPr>
                      <w:pStyle w:val="23"/>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55</w:t>
                    </w:r>
                    <w:r>
                      <w:t>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348B4">
    <w:pPr>
      <w:pStyle w:val="23"/>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34D15">
                          <w:pPr>
                            <w:pStyle w:val="23"/>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A834D15">
                    <w:pPr>
                      <w:pStyle w:val="23"/>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54</w:t>
                    </w:r>
                    <w:r>
                      <w:t xml:space="preserve"> 页</w:t>
                    </w:r>
                  </w:p>
                </w:txbxContent>
              </v:textbox>
            </v:shape>
          </w:pict>
        </mc:Fallback>
      </mc:AlternateContent>
    </w:r>
    <w:r>
      <w:tab/>
    </w:r>
  </w:p>
  <w:p w14:paraId="4FFD91C8">
    <w:pPr>
      <w:pStyle w:val="23"/>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EA6CF">
    <w:pPr>
      <w:pStyle w:val="23"/>
      <w:tabs>
        <w:tab w:val="center" w:pos="4819"/>
        <w:tab w:val="left" w:pos="7440"/>
      </w:tabs>
      <w:jc w:val="center"/>
      <w:rPr>
        <w:rFonts w:ascii="宋体"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4CD83">
                          <w:pPr>
                            <w:pStyle w:val="23"/>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7F4CD83">
                    <w:pPr>
                      <w:pStyle w:val="23"/>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55</w:t>
                    </w:r>
                    <w:r>
                      <w:t>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12AE7">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2B644C">
                          <w:pPr>
                            <w:pStyle w:val="23"/>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B2B644C">
                    <w:pPr>
                      <w:pStyle w:val="23"/>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55</w:t>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CEF9C">
    <w:pPr>
      <w:pStyle w:val="23"/>
      <w:tabs>
        <w:tab w:val="center" w:pos="4819"/>
        <w:tab w:val="left" w:pos="7440"/>
      </w:tabs>
    </w:pPr>
    <w:r>
      <w:tab/>
    </w:r>
  </w:p>
  <w:p w14:paraId="35EDC209">
    <w:pPr>
      <w:pStyle w:val="23"/>
      <w:ind w:right="360"/>
      <w:jc w:val="center"/>
      <w:rPr>
        <w:rFonts w:ascii="宋体" w:cs="Times New Roma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1DE06">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6A87D">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安康市中医医院</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157BC">
    <w:pPr>
      <w:pStyle w:val="24"/>
      <w:pBdr>
        <w:bottom w:val="none" w:color="auto" w:sz="0" w:space="1"/>
      </w:pBd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0D4AE">
    <w:pPr>
      <w:pStyle w:val="24"/>
      <w:pBdr>
        <w:bottom w:val="none" w:color="auto" w:sz="0" w:space="1"/>
      </w:pBdr>
      <w:jc w:val="both"/>
      <w:rPr>
        <w:rFonts w:hint="eastAsia" w:eastAsia="宋体"/>
        <w:lang w:eastAsia="zh-CN"/>
      </w:rPr>
    </w:pPr>
    <w:r>
      <w:rPr>
        <w:rFonts w:hint="eastAsia" w:ascii="宋体" w:hAnsi="宋体" w:cs="宋体"/>
        <w:sz w:val="21"/>
        <w:szCs w:val="21"/>
        <w:u w:val="single"/>
      </w:rPr>
      <w:t>项目名称：</w:t>
    </w:r>
    <w:r>
      <w:rPr>
        <w:rFonts w:hint="eastAsia" w:ascii="宋体" w:hAnsi="宋体" w:cs="宋体"/>
        <w:sz w:val="21"/>
        <w:szCs w:val="21"/>
        <w:u w:val="single"/>
        <w:lang w:eastAsia="zh-CN"/>
      </w:rPr>
      <w:t>安康市中医医院电力系统安全管理维保服务项目</w:t>
    </w:r>
    <w:r>
      <w:rPr>
        <w:rFonts w:hint="eastAsia" w:ascii="宋体" w:hAnsi="宋体" w:cs="宋体"/>
        <w:sz w:val="21"/>
        <w:szCs w:val="21"/>
        <w:u w:val="single"/>
      </w:rPr>
      <w:t xml:space="preserve">          项目编号：</w:t>
    </w:r>
    <w:r>
      <w:rPr>
        <w:rFonts w:hint="eastAsia" w:ascii="宋体" w:hAnsi="宋体" w:cs="宋体"/>
        <w:sz w:val="21"/>
        <w:szCs w:val="21"/>
        <w:u w:val="single"/>
        <w:lang w:eastAsia="zh-CN"/>
      </w:rPr>
      <w:t>AKSH2026-ZCS-104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84241">
    <w:pPr>
      <w:pStyle w:val="24"/>
      <w:pBdr>
        <w:bottom w:val="none" w:color="auto" w:sz="0" w:space="1"/>
      </w:pBdr>
      <w:jc w:val="both"/>
      <w:rPr>
        <w:rFonts w:ascii="宋体" w:hAnsi="宋体" w:cs="宋体"/>
        <w:sz w:val="21"/>
        <w:szCs w:val="21"/>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80F15">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安康市中医医院电力系统安全管理维保服务项目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项目编号：AKSH2026-ZCS-104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F2215">
    <w:pPr>
      <w:pStyle w:val="24"/>
      <w:pBdr>
        <w:bottom w:val="none" w:color="auto" w:sz="0" w:space="1"/>
      </w:pBdr>
      <w:jc w:val="both"/>
      <w:rPr>
        <w:rFonts w:ascii="宋体" w:hAnsi="宋体" w:cs="宋体"/>
        <w:sz w:val="21"/>
        <w:szCs w:val="21"/>
        <w:u w:val="single"/>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安康市中医医院电力系统安全管理维保服务项目</w:t>
    </w:r>
    <w:r>
      <w:rPr>
        <w:rFonts w:hint="eastAsia" w:ascii="宋体" w:hAnsi="宋体" w:cs="宋体"/>
        <w:sz w:val="20"/>
        <w:szCs w:val="20"/>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项目编号：AKSH2026-ZCS-104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2A6EC">
    <w:pPr>
      <w:pStyle w:val="24"/>
      <w:pBdr>
        <w:bottom w:val="none" w:color="auto" w:sz="0" w:space="1"/>
      </w:pBdr>
      <w:ind w:firstLine="0" w:firstLineChars="0"/>
      <w:jc w:val="both"/>
      <w:rPr>
        <w:rFonts w:hint="default"/>
        <w:sz w:val="16"/>
        <w:szCs w:val="16"/>
        <w:lang w:val="en-US"/>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安康市中医医院电力系统安全管理维保服务项目</w:t>
    </w:r>
    <w:r>
      <w:rPr>
        <w:rFonts w:hint="eastAsia" w:ascii="宋体" w:hAnsi="宋体" w:cs="宋体"/>
        <w:sz w:val="20"/>
        <w:szCs w:val="20"/>
        <w:u w:val="single"/>
        <w:lang w:val="en-US" w:eastAsia="zh-CN"/>
      </w:rPr>
      <w:t xml:space="preserve">           </w:t>
    </w:r>
    <w:r>
      <w:rPr>
        <w:rFonts w:hint="eastAsia" w:ascii="宋体" w:hAnsi="宋体" w:cs="宋体"/>
        <w:sz w:val="21"/>
        <w:szCs w:val="21"/>
        <w:u w:val="single"/>
        <w:lang w:val="en-US" w:eastAsia="zh-CN"/>
      </w:rPr>
      <w:t xml:space="preserve">项目编号：AKSH2026-ZCS-104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D1403">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安康市中医医院电力系统安全管理维保服务项目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项目编号：AKSH2026-ZCS-104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74D64">
    <w:pPr>
      <w:pStyle w:val="24"/>
      <w:pBdr>
        <w:bottom w:val="none" w:color="auto" w:sz="0" w:space="1"/>
      </w:pBdr>
      <w:jc w:val="both"/>
      <w:rPr>
        <w:rFonts w:hint="eastAsia" w:eastAsia="宋体"/>
        <w:lang w:eastAsia="zh-CN"/>
      </w:rPr>
    </w:pPr>
    <w:bookmarkStart w:id="185" w:name="OLE_LINK2"/>
    <w:r>
      <w:rPr>
        <w:rFonts w:hint="eastAsia" w:ascii="宋体" w:hAnsi="宋体" w:cs="宋体"/>
        <w:sz w:val="20"/>
        <w:szCs w:val="20"/>
        <w:u w:val="single"/>
      </w:rPr>
      <w:t>项目名称：</w:t>
    </w:r>
    <w:r>
      <w:rPr>
        <w:rFonts w:hint="eastAsia" w:ascii="宋体" w:hAnsi="宋体" w:cs="宋体"/>
        <w:sz w:val="20"/>
        <w:szCs w:val="20"/>
        <w:u w:val="single"/>
        <w:lang w:eastAsia="zh-CN"/>
      </w:rPr>
      <w:t>安康市中医医院电力系统安全管理维保服务项目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项目编号：AKSH2026-ZCS-104           </w:t>
    </w:r>
    <w:bookmarkEnd w:id="18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9E72C7A"/>
    <w:multiLevelType w:val="singleLevel"/>
    <w:tmpl w:val="29E72C7A"/>
    <w:lvl w:ilvl="0" w:tentative="0">
      <w:start w:val="4"/>
      <w:numFmt w:val="chineseCounting"/>
      <w:suff w:val="space"/>
      <w:lvlText w:val="第%1章"/>
      <w:lvlJc w:val="left"/>
      <w:rPr>
        <w:rFonts w:hint="eastAsia"/>
      </w:rPr>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4">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5">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forms" w:enforcement="1" w:cryptProviderType="rsaFull" w:cryptAlgorithmClass="hash" w:cryptAlgorithmType="typeAny" w:cryptAlgorithmSid="4" w:cryptSpinCount="0" w:hash="xZ7Awm3vTyytlp7SWKM8xHNZKwo=" w:salt="DiyIyxfvqfPp5geYYvVVkA=="/>
  <w:defaultTabStop w:val="420"/>
  <w:doNotHyphenateCaps/>
  <w:drawingGridHorizontalSpacing w:val="21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3D89"/>
    <w:rsid w:val="00004BA7"/>
    <w:rsid w:val="00005B32"/>
    <w:rsid w:val="00010EA2"/>
    <w:rsid w:val="00015CE5"/>
    <w:rsid w:val="0001630B"/>
    <w:rsid w:val="00016924"/>
    <w:rsid w:val="000215F9"/>
    <w:rsid w:val="0002193F"/>
    <w:rsid w:val="000251B2"/>
    <w:rsid w:val="000354E9"/>
    <w:rsid w:val="00040CAE"/>
    <w:rsid w:val="0005257D"/>
    <w:rsid w:val="0005463B"/>
    <w:rsid w:val="00056A18"/>
    <w:rsid w:val="0006270F"/>
    <w:rsid w:val="0006767E"/>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22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44B3"/>
    <w:rsid w:val="003C4988"/>
    <w:rsid w:val="003D37C1"/>
    <w:rsid w:val="003D50DD"/>
    <w:rsid w:val="003D7E3F"/>
    <w:rsid w:val="003E65D8"/>
    <w:rsid w:val="003E6F20"/>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45A5B"/>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035"/>
    <w:rsid w:val="00642F93"/>
    <w:rsid w:val="006657C9"/>
    <w:rsid w:val="006739A1"/>
    <w:rsid w:val="00675301"/>
    <w:rsid w:val="00676150"/>
    <w:rsid w:val="0068208A"/>
    <w:rsid w:val="006852A3"/>
    <w:rsid w:val="00686E29"/>
    <w:rsid w:val="00691EC3"/>
    <w:rsid w:val="00696FBA"/>
    <w:rsid w:val="006A2AC7"/>
    <w:rsid w:val="006A2D96"/>
    <w:rsid w:val="006A3734"/>
    <w:rsid w:val="006B38D0"/>
    <w:rsid w:val="006C4563"/>
    <w:rsid w:val="006D079F"/>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94C43"/>
    <w:rsid w:val="007A16A6"/>
    <w:rsid w:val="007A2512"/>
    <w:rsid w:val="007A36C0"/>
    <w:rsid w:val="007A69BE"/>
    <w:rsid w:val="007B2B77"/>
    <w:rsid w:val="007B6B64"/>
    <w:rsid w:val="007B6BCF"/>
    <w:rsid w:val="007B6D05"/>
    <w:rsid w:val="007C18C2"/>
    <w:rsid w:val="007C1CAA"/>
    <w:rsid w:val="007C7DEA"/>
    <w:rsid w:val="007D00DF"/>
    <w:rsid w:val="007E3909"/>
    <w:rsid w:val="007E552D"/>
    <w:rsid w:val="007E7467"/>
    <w:rsid w:val="007F01CC"/>
    <w:rsid w:val="007F20B0"/>
    <w:rsid w:val="007F33CE"/>
    <w:rsid w:val="007F7861"/>
    <w:rsid w:val="008004E4"/>
    <w:rsid w:val="0080581E"/>
    <w:rsid w:val="0081303D"/>
    <w:rsid w:val="00816B21"/>
    <w:rsid w:val="00821D41"/>
    <w:rsid w:val="008234BC"/>
    <w:rsid w:val="00824069"/>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2EB"/>
    <w:rsid w:val="00870EAE"/>
    <w:rsid w:val="008710F1"/>
    <w:rsid w:val="00876563"/>
    <w:rsid w:val="008839DC"/>
    <w:rsid w:val="00885D6D"/>
    <w:rsid w:val="008866C0"/>
    <w:rsid w:val="00887D1E"/>
    <w:rsid w:val="00891290"/>
    <w:rsid w:val="008962A7"/>
    <w:rsid w:val="00897D92"/>
    <w:rsid w:val="008A0975"/>
    <w:rsid w:val="008A367A"/>
    <w:rsid w:val="008B2891"/>
    <w:rsid w:val="008B3BC3"/>
    <w:rsid w:val="008B7CA5"/>
    <w:rsid w:val="008C08F3"/>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07506"/>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3AE7"/>
    <w:rsid w:val="00954CF1"/>
    <w:rsid w:val="00956521"/>
    <w:rsid w:val="00962505"/>
    <w:rsid w:val="00964B6E"/>
    <w:rsid w:val="0096516F"/>
    <w:rsid w:val="0096641E"/>
    <w:rsid w:val="00967538"/>
    <w:rsid w:val="0097045D"/>
    <w:rsid w:val="0097134B"/>
    <w:rsid w:val="009729CB"/>
    <w:rsid w:val="00983FAD"/>
    <w:rsid w:val="0098589A"/>
    <w:rsid w:val="009859B0"/>
    <w:rsid w:val="0099232E"/>
    <w:rsid w:val="009935A5"/>
    <w:rsid w:val="009A4A76"/>
    <w:rsid w:val="009A6B98"/>
    <w:rsid w:val="009A77A9"/>
    <w:rsid w:val="009B5F0C"/>
    <w:rsid w:val="009C0F48"/>
    <w:rsid w:val="009C28C6"/>
    <w:rsid w:val="009C52D9"/>
    <w:rsid w:val="009C65C7"/>
    <w:rsid w:val="009D4358"/>
    <w:rsid w:val="009D657F"/>
    <w:rsid w:val="009D6BDA"/>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AE9"/>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3826"/>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22A7"/>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C4D0A"/>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6BF8"/>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3730A5"/>
    <w:rsid w:val="01396E1E"/>
    <w:rsid w:val="013A223F"/>
    <w:rsid w:val="0141481B"/>
    <w:rsid w:val="01525A0A"/>
    <w:rsid w:val="01536131"/>
    <w:rsid w:val="01630F53"/>
    <w:rsid w:val="016A454D"/>
    <w:rsid w:val="016D50E6"/>
    <w:rsid w:val="017D3840"/>
    <w:rsid w:val="018E640A"/>
    <w:rsid w:val="01920D21"/>
    <w:rsid w:val="01AC2FBF"/>
    <w:rsid w:val="01AC3A93"/>
    <w:rsid w:val="01AD1AAE"/>
    <w:rsid w:val="01D86994"/>
    <w:rsid w:val="01DA363D"/>
    <w:rsid w:val="01EE19B6"/>
    <w:rsid w:val="01F90F7C"/>
    <w:rsid w:val="01FD1152"/>
    <w:rsid w:val="01FF3BC3"/>
    <w:rsid w:val="020600F6"/>
    <w:rsid w:val="02064B47"/>
    <w:rsid w:val="022D433C"/>
    <w:rsid w:val="023C7D0C"/>
    <w:rsid w:val="023F763D"/>
    <w:rsid w:val="02590F24"/>
    <w:rsid w:val="025F2B88"/>
    <w:rsid w:val="02854F8C"/>
    <w:rsid w:val="028A67B7"/>
    <w:rsid w:val="02906142"/>
    <w:rsid w:val="02BA4D88"/>
    <w:rsid w:val="02BA6C1F"/>
    <w:rsid w:val="02C56FBB"/>
    <w:rsid w:val="02CB14A4"/>
    <w:rsid w:val="02D06F2C"/>
    <w:rsid w:val="02D3498C"/>
    <w:rsid w:val="02D37EB0"/>
    <w:rsid w:val="02D533B3"/>
    <w:rsid w:val="02DA1F3A"/>
    <w:rsid w:val="02E57ADC"/>
    <w:rsid w:val="02F105A8"/>
    <w:rsid w:val="02F61685"/>
    <w:rsid w:val="02FA17E2"/>
    <w:rsid w:val="02FD5BFC"/>
    <w:rsid w:val="02FE73C3"/>
    <w:rsid w:val="02FF5E45"/>
    <w:rsid w:val="030A0C9E"/>
    <w:rsid w:val="03123218"/>
    <w:rsid w:val="033755DF"/>
    <w:rsid w:val="03442ED4"/>
    <w:rsid w:val="03484E92"/>
    <w:rsid w:val="034C725D"/>
    <w:rsid w:val="035717DD"/>
    <w:rsid w:val="0358398D"/>
    <w:rsid w:val="03720CB3"/>
    <w:rsid w:val="037E5DCB"/>
    <w:rsid w:val="03963471"/>
    <w:rsid w:val="03990B73"/>
    <w:rsid w:val="039E0CF5"/>
    <w:rsid w:val="03A27284"/>
    <w:rsid w:val="03B677F7"/>
    <w:rsid w:val="03C10C9F"/>
    <w:rsid w:val="03C921C1"/>
    <w:rsid w:val="03CA29C7"/>
    <w:rsid w:val="03FD053E"/>
    <w:rsid w:val="040B7728"/>
    <w:rsid w:val="0411533A"/>
    <w:rsid w:val="042A0462"/>
    <w:rsid w:val="04357D70"/>
    <w:rsid w:val="04536164"/>
    <w:rsid w:val="0459572E"/>
    <w:rsid w:val="048355D3"/>
    <w:rsid w:val="04B17441"/>
    <w:rsid w:val="04CA56C9"/>
    <w:rsid w:val="04CB26A7"/>
    <w:rsid w:val="04CD0688"/>
    <w:rsid w:val="04CD34EE"/>
    <w:rsid w:val="04D502BA"/>
    <w:rsid w:val="04DF1A8A"/>
    <w:rsid w:val="04DF4866"/>
    <w:rsid w:val="04E92E36"/>
    <w:rsid w:val="04F06D3D"/>
    <w:rsid w:val="04FF39AD"/>
    <w:rsid w:val="050047DB"/>
    <w:rsid w:val="050438CD"/>
    <w:rsid w:val="050E77DB"/>
    <w:rsid w:val="052B0940"/>
    <w:rsid w:val="053973B5"/>
    <w:rsid w:val="05402991"/>
    <w:rsid w:val="05455EA5"/>
    <w:rsid w:val="054E1CE0"/>
    <w:rsid w:val="05600E1D"/>
    <w:rsid w:val="056C728C"/>
    <w:rsid w:val="057A7F6E"/>
    <w:rsid w:val="05CA380B"/>
    <w:rsid w:val="05D137D6"/>
    <w:rsid w:val="05D71396"/>
    <w:rsid w:val="05E73C3B"/>
    <w:rsid w:val="05FA123D"/>
    <w:rsid w:val="05FB4E02"/>
    <w:rsid w:val="05FF224E"/>
    <w:rsid w:val="060454DB"/>
    <w:rsid w:val="06110D47"/>
    <w:rsid w:val="063F6A07"/>
    <w:rsid w:val="064055CE"/>
    <w:rsid w:val="065110EC"/>
    <w:rsid w:val="065A46B0"/>
    <w:rsid w:val="065B3B93"/>
    <w:rsid w:val="066D1D57"/>
    <w:rsid w:val="06AE0265"/>
    <w:rsid w:val="06B12629"/>
    <w:rsid w:val="06BD3616"/>
    <w:rsid w:val="06BE0952"/>
    <w:rsid w:val="06BE30D0"/>
    <w:rsid w:val="06C21663"/>
    <w:rsid w:val="06CD112D"/>
    <w:rsid w:val="06DC7813"/>
    <w:rsid w:val="06E56C12"/>
    <w:rsid w:val="06E81FA4"/>
    <w:rsid w:val="070B3D9D"/>
    <w:rsid w:val="07224610"/>
    <w:rsid w:val="072B0A4F"/>
    <w:rsid w:val="07322345"/>
    <w:rsid w:val="073278A0"/>
    <w:rsid w:val="073E5E68"/>
    <w:rsid w:val="07433EF7"/>
    <w:rsid w:val="07610E7C"/>
    <w:rsid w:val="07621A18"/>
    <w:rsid w:val="076808B4"/>
    <w:rsid w:val="077166EC"/>
    <w:rsid w:val="077965D0"/>
    <w:rsid w:val="07836EDF"/>
    <w:rsid w:val="07892C9E"/>
    <w:rsid w:val="07997C89"/>
    <w:rsid w:val="07A9711F"/>
    <w:rsid w:val="07B241D3"/>
    <w:rsid w:val="07DF3D76"/>
    <w:rsid w:val="07E15B19"/>
    <w:rsid w:val="07E562BD"/>
    <w:rsid w:val="07EB0E6D"/>
    <w:rsid w:val="07FC0B21"/>
    <w:rsid w:val="07FC0D88"/>
    <w:rsid w:val="0808754A"/>
    <w:rsid w:val="08145F16"/>
    <w:rsid w:val="082B7863"/>
    <w:rsid w:val="08366DA4"/>
    <w:rsid w:val="083C153C"/>
    <w:rsid w:val="08404F36"/>
    <w:rsid w:val="08452820"/>
    <w:rsid w:val="087D1536"/>
    <w:rsid w:val="08915791"/>
    <w:rsid w:val="089E6E52"/>
    <w:rsid w:val="089F7EAE"/>
    <w:rsid w:val="08B16FB6"/>
    <w:rsid w:val="08CD6DD7"/>
    <w:rsid w:val="08D96F58"/>
    <w:rsid w:val="08DA2D14"/>
    <w:rsid w:val="08E53CD3"/>
    <w:rsid w:val="08E74CA6"/>
    <w:rsid w:val="08E95814"/>
    <w:rsid w:val="090360D7"/>
    <w:rsid w:val="090A42F6"/>
    <w:rsid w:val="092266DC"/>
    <w:rsid w:val="09271A18"/>
    <w:rsid w:val="0949327F"/>
    <w:rsid w:val="094D1E21"/>
    <w:rsid w:val="09560FD7"/>
    <w:rsid w:val="095D32ED"/>
    <w:rsid w:val="097A7578"/>
    <w:rsid w:val="097D251D"/>
    <w:rsid w:val="099106B6"/>
    <w:rsid w:val="09913C41"/>
    <w:rsid w:val="09A17C56"/>
    <w:rsid w:val="09A432A2"/>
    <w:rsid w:val="09A52E1C"/>
    <w:rsid w:val="09A9060C"/>
    <w:rsid w:val="09B07E99"/>
    <w:rsid w:val="09C30A93"/>
    <w:rsid w:val="09CF513B"/>
    <w:rsid w:val="09E25AD9"/>
    <w:rsid w:val="09E779CE"/>
    <w:rsid w:val="09EA213D"/>
    <w:rsid w:val="0A010578"/>
    <w:rsid w:val="0A0976BB"/>
    <w:rsid w:val="0A1C5246"/>
    <w:rsid w:val="0A1E12A6"/>
    <w:rsid w:val="0A2D0142"/>
    <w:rsid w:val="0A3E3F88"/>
    <w:rsid w:val="0A493205"/>
    <w:rsid w:val="0A527FA8"/>
    <w:rsid w:val="0A672A35"/>
    <w:rsid w:val="0A706A46"/>
    <w:rsid w:val="0A891706"/>
    <w:rsid w:val="0A982836"/>
    <w:rsid w:val="0A9C61F8"/>
    <w:rsid w:val="0ABA57A8"/>
    <w:rsid w:val="0AC32834"/>
    <w:rsid w:val="0AEE50E0"/>
    <w:rsid w:val="0AFC5610"/>
    <w:rsid w:val="0B14133A"/>
    <w:rsid w:val="0B2F31E8"/>
    <w:rsid w:val="0B565626"/>
    <w:rsid w:val="0B5D1A85"/>
    <w:rsid w:val="0B5D1E36"/>
    <w:rsid w:val="0B651A2B"/>
    <w:rsid w:val="0BB5243F"/>
    <w:rsid w:val="0BB772BD"/>
    <w:rsid w:val="0BCF1A6D"/>
    <w:rsid w:val="0BD460C1"/>
    <w:rsid w:val="0BED26A5"/>
    <w:rsid w:val="0BEE4F68"/>
    <w:rsid w:val="0BEF7DA3"/>
    <w:rsid w:val="0BF91A7F"/>
    <w:rsid w:val="0BFB3BB6"/>
    <w:rsid w:val="0C0A394D"/>
    <w:rsid w:val="0C200572"/>
    <w:rsid w:val="0C3D5924"/>
    <w:rsid w:val="0C4A5A7C"/>
    <w:rsid w:val="0C5F0865"/>
    <w:rsid w:val="0C605AD8"/>
    <w:rsid w:val="0C7B690B"/>
    <w:rsid w:val="0C807692"/>
    <w:rsid w:val="0C9B2B46"/>
    <w:rsid w:val="0CA81750"/>
    <w:rsid w:val="0CB5191B"/>
    <w:rsid w:val="0CB6728F"/>
    <w:rsid w:val="0CC53C5B"/>
    <w:rsid w:val="0CD65E68"/>
    <w:rsid w:val="0CE360B2"/>
    <w:rsid w:val="0CEA0E58"/>
    <w:rsid w:val="0CEF0CD8"/>
    <w:rsid w:val="0CFD25BD"/>
    <w:rsid w:val="0D1F6213"/>
    <w:rsid w:val="0D2F47F4"/>
    <w:rsid w:val="0D452987"/>
    <w:rsid w:val="0D62596E"/>
    <w:rsid w:val="0D6C19EE"/>
    <w:rsid w:val="0D7B32BC"/>
    <w:rsid w:val="0D922D8C"/>
    <w:rsid w:val="0D933F5C"/>
    <w:rsid w:val="0D9F4D10"/>
    <w:rsid w:val="0DA46170"/>
    <w:rsid w:val="0DA800E4"/>
    <w:rsid w:val="0DB112C2"/>
    <w:rsid w:val="0DB25485"/>
    <w:rsid w:val="0DC7526D"/>
    <w:rsid w:val="0DCB40A1"/>
    <w:rsid w:val="0DE7465B"/>
    <w:rsid w:val="0DEA1BCB"/>
    <w:rsid w:val="0E005C7A"/>
    <w:rsid w:val="0E0C42FA"/>
    <w:rsid w:val="0E1409F6"/>
    <w:rsid w:val="0E381521"/>
    <w:rsid w:val="0E4D3106"/>
    <w:rsid w:val="0E7F7FCB"/>
    <w:rsid w:val="0E9C75AF"/>
    <w:rsid w:val="0EA91CC7"/>
    <w:rsid w:val="0EC875FE"/>
    <w:rsid w:val="0EDC5D28"/>
    <w:rsid w:val="0EE235F9"/>
    <w:rsid w:val="0EE36E7C"/>
    <w:rsid w:val="0EFD2AF6"/>
    <w:rsid w:val="0F03025E"/>
    <w:rsid w:val="0F1A17DC"/>
    <w:rsid w:val="0F1C13DE"/>
    <w:rsid w:val="0F323BCC"/>
    <w:rsid w:val="0F537409"/>
    <w:rsid w:val="0F79260C"/>
    <w:rsid w:val="0F987E27"/>
    <w:rsid w:val="0FA66BBA"/>
    <w:rsid w:val="0FA95318"/>
    <w:rsid w:val="0FAE784A"/>
    <w:rsid w:val="0FBB76E3"/>
    <w:rsid w:val="0FBE7AE4"/>
    <w:rsid w:val="0FC41FA8"/>
    <w:rsid w:val="0FC66DA3"/>
    <w:rsid w:val="0FC72972"/>
    <w:rsid w:val="0FD536AF"/>
    <w:rsid w:val="0FE77623"/>
    <w:rsid w:val="100D394F"/>
    <w:rsid w:val="100E0796"/>
    <w:rsid w:val="10122E9C"/>
    <w:rsid w:val="10123CEB"/>
    <w:rsid w:val="10204FBD"/>
    <w:rsid w:val="102C6780"/>
    <w:rsid w:val="10372E26"/>
    <w:rsid w:val="103966FB"/>
    <w:rsid w:val="103A4EAF"/>
    <w:rsid w:val="10460CC2"/>
    <w:rsid w:val="104F3B50"/>
    <w:rsid w:val="106C132D"/>
    <w:rsid w:val="108E6DDE"/>
    <w:rsid w:val="109B61CD"/>
    <w:rsid w:val="10A6243E"/>
    <w:rsid w:val="10AB38B0"/>
    <w:rsid w:val="10D17073"/>
    <w:rsid w:val="10D80231"/>
    <w:rsid w:val="10DD209D"/>
    <w:rsid w:val="10FF1E8F"/>
    <w:rsid w:val="110A4333"/>
    <w:rsid w:val="110D2C89"/>
    <w:rsid w:val="11241768"/>
    <w:rsid w:val="112C7AF5"/>
    <w:rsid w:val="1180102E"/>
    <w:rsid w:val="119963B1"/>
    <w:rsid w:val="11B361D3"/>
    <w:rsid w:val="11BB4D58"/>
    <w:rsid w:val="11BB6630"/>
    <w:rsid w:val="11BF4CAB"/>
    <w:rsid w:val="11C7593B"/>
    <w:rsid w:val="11D861DF"/>
    <w:rsid w:val="11EC57E6"/>
    <w:rsid w:val="11EF6F34"/>
    <w:rsid w:val="12134735"/>
    <w:rsid w:val="1217313B"/>
    <w:rsid w:val="122E2D61"/>
    <w:rsid w:val="125D40AE"/>
    <w:rsid w:val="126B7053"/>
    <w:rsid w:val="12793BBE"/>
    <w:rsid w:val="127A31E0"/>
    <w:rsid w:val="127E28E2"/>
    <w:rsid w:val="127F1866"/>
    <w:rsid w:val="12802B6B"/>
    <w:rsid w:val="128C33F4"/>
    <w:rsid w:val="12A957E0"/>
    <w:rsid w:val="12E070F9"/>
    <w:rsid w:val="131C06AC"/>
    <w:rsid w:val="133A4EB7"/>
    <w:rsid w:val="13441D7E"/>
    <w:rsid w:val="1345554B"/>
    <w:rsid w:val="13487675"/>
    <w:rsid w:val="13491142"/>
    <w:rsid w:val="135618C9"/>
    <w:rsid w:val="136B6621"/>
    <w:rsid w:val="137447B2"/>
    <w:rsid w:val="13830E2C"/>
    <w:rsid w:val="138D11BC"/>
    <w:rsid w:val="138E1A23"/>
    <w:rsid w:val="13992EB6"/>
    <w:rsid w:val="139D2FCC"/>
    <w:rsid w:val="13AF1F58"/>
    <w:rsid w:val="13C61B7D"/>
    <w:rsid w:val="13CB5FFB"/>
    <w:rsid w:val="13D84C83"/>
    <w:rsid w:val="13DD49EF"/>
    <w:rsid w:val="13EA285B"/>
    <w:rsid w:val="14074063"/>
    <w:rsid w:val="140D7D73"/>
    <w:rsid w:val="14116779"/>
    <w:rsid w:val="141379A2"/>
    <w:rsid w:val="1417248E"/>
    <w:rsid w:val="142468C7"/>
    <w:rsid w:val="143321B1"/>
    <w:rsid w:val="143B2E41"/>
    <w:rsid w:val="143C08C2"/>
    <w:rsid w:val="143C5260"/>
    <w:rsid w:val="147F6DAD"/>
    <w:rsid w:val="14941290"/>
    <w:rsid w:val="149C20CC"/>
    <w:rsid w:val="14A12650"/>
    <w:rsid w:val="14AA5673"/>
    <w:rsid w:val="14AF4B49"/>
    <w:rsid w:val="14B41673"/>
    <w:rsid w:val="14C64FA3"/>
    <w:rsid w:val="14CD1555"/>
    <w:rsid w:val="14E868B9"/>
    <w:rsid w:val="14F13F0D"/>
    <w:rsid w:val="14F75772"/>
    <w:rsid w:val="14F838A9"/>
    <w:rsid w:val="14FF6402"/>
    <w:rsid w:val="150C5718"/>
    <w:rsid w:val="151B6B0E"/>
    <w:rsid w:val="152359C3"/>
    <w:rsid w:val="15273101"/>
    <w:rsid w:val="153E2DB6"/>
    <w:rsid w:val="15420170"/>
    <w:rsid w:val="155354C2"/>
    <w:rsid w:val="15550B09"/>
    <w:rsid w:val="155550C1"/>
    <w:rsid w:val="15576ACE"/>
    <w:rsid w:val="155A58F4"/>
    <w:rsid w:val="155B3298"/>
    <w:rsid w:val="155E33C0"/>
    <w:rsid w:val="15655DA6"/>
    <w:rsid w:val="1568217F"/>
    <w:rsid w:val="15761223"/>
    <w:rsid w:val="15784E47"/>
    <w:rsid w:val="15804BC3"/>
    <w:rsid w:val="158C14E9"/>
    <w:rsid w:val="158D6F6A"/>
    <w:rsid w:val="159517A5"/>
    <w:rsid w:val="159A07FF"/>
    <w:rsid w:val="15A00DC2"/>
    <w:rsid w:val="15A74B21"/>
    <w:rsid w:val="15DC4AEB"/>
    <w:rsid w:val="15E23CA8"/>
    <w:rsid w:val="15EE0289"/>
    <w:rsid w:val="15FA6095"/>
    <w:rsid w:val="161271C4"/>
    <w:rsid w:val="161A5018"/>
    <w:rsid w:val="164200CB"/>
    <w:rsid w:val="164F7029"/>
    <w:rsid w:val="166127C6"/>
    <w:rsid w:val="16696E4E"/>
    <w:rsid w:val="166B3507"/>
    <w:rsid w:val="166C32BB"/>
    <w:rsid w:val="16A37A9D"/>
    <w:rsid w:val="16AF0347"/>
    <w:rsid w:val="16C2284B"/>
    <w:rsid w:val="16CB423B"/>
    <w:rsid w:val="16D73437"/>
    <w:rsid w:val="16FC471D"/>
    <w:rsid w:val="17062F69"/>
    <w:rsid w:val="170767D7"/>
    <w:rsid w:val="17084E70"/>
    <w:rsid w:val="17381F07"/>
    <w:rsid w:val="17423544"/>
    <w:rsid w:val="17450DD5"/>
    <w:rsid w:val="1750480D"/>
    <w:rsid w:val="17562080"/>
    <w:rsid w:val="17575561"/>
    <w:rsid w:val="17650515"/>
    <w:rsid w:val="17656B71"/>
    <w:rsid w:val="1779199A"/>
    <w:rsid w:val="177D3FFD"/>
    <w:rsid w:val="177D6416"/>
    <w:rsid w:val="17907B2D"/>
    <w:rsid w:val="179944DC"/>
    <w:rsid w:val="17A06173"/>
    <w:rsid w:val="17B217D1"/>
    <w:rsid w:val="17B56054"/>
    <w:rsid w:val="17C22E6D"/>
    <w:rsid w:val="17C4240D"/>
    <w:rsid w:val="17C50FB3"/>
    <w:rsid w:val="17C5460C"/>
    <w:rsid w:val="17D662EB"/>
    <w:rsid w:val="17D908F6"/>
    <w:rsid w:val="17DA4A5F"/>
    <w:rsid w:val="17DF536C"/>
    <w:rsid w:val="17EA0C48"/>
    <w:rsid w:val="17F760DF"/>
    <w:rsid w:val="18120EEB"/>
    <w:rsid w:val="18186614"/>
    <w:rsid w:val="18194096"/>
    <w:rsid w:val="182B207F"/>
    <w:rsid w:val="182B6938"/>
    <w:rsid w:val="183C0DD2"/>
    <w:rsid w:val="183D0E38"/>
    <w:rsid w:val="18403F55"/>
    <w:rsid w:val="1841587E"/>
    <w:rsid w:val="18496DE3"/>
    <w:rsid w:val="18630E03"/>
    <w:rsid w:val="186408C9"/>
    <w:rsid w:val="186F3E63"/>
    <w:rsid w:val="187857E7"/>
    <w:rsid w:val="187A2E35"/>
    <w:rsid w:val="187B19AA"/>
    <w:rsid w:val="18811F09"/>
    <w:rsid w:val="188321C6"/>
    <w:rsid w:val="18921717"/>
    <w:rsid w:val="1892798E"/>
    <w:rsid w:val="18A25EE0"/>
    <w:rsid w:val="18A474FD"/>
    <w:rsid w:val="18BE00A7"/>
    <w:rsid w:val="18D21BDA"/>
    <w:rsid w:val="18FD1C93"/>
    <w:rsid w:val="190D3CF6"/>
    <w:rsid w:val="190E1B7D"/>
    <w:rsid w:val="191477B1"/>
    <w:rsid w:val="192E4386"/>
    <w:rsid w:val="192F739D"/>
    <w:rsid w:val="19391C6C"/>
    <w:rsid w:val="193A1B55"/>
    <w:rsid w:val="194303E2"/>
    <w:rsid w:val="1999328D"/>
    <w:rsid w:val="19B7492C"/>
    <w:rsid w:val="19C169D0"/>
    <w:rsid w:val="19D10924"/>
    <w:rsid w:val="19DC5DE9"/>
    <w:rsid w:val="19E42EEC"/>
    <w:rsid w:val="19ED4F8F"/>
    <w:rsid w:val="19FC4F49"/>
    <w:rsid w:val="19FD67E3"/>
    <w:rsid w:val="1A1E247D"/>
    <w:rsid w:val="1A206E13"/>
    <w:rsid w:val="1A324F2D"/>
    <w:rsid w:val="1A352323"/>
    <w:rsid w:val="1A462475"/>
    <w:rsid w:val="1A574945"/>
    <w:rsid w:val="1A5A58C9"/>
    <w:rsid w:val="1A754C02"/>
    <w:rsid w:val="1A815666"/>
    <w:rsid w:val="1A907657"/>
    <w:rsid w:val="1AA30DFE"/>
    <w:rsid w:val="1AC06A39"/>
    <w:rsid w:val="1ACC4F36"/>
    <w:rsid w:val="1AD96DDF"/>
    <w:rsid w:val="1AF11218"/>
    <w:rsid w:val="1AF44A0B"/>
    <w:rsid w:val="1AF844CE"/>
    <w:rsid w:val="1AFC0863"/>
    <w:rsid w:val="1AFD0956"/>
    <w:rsid w:val="1B115D3C"/>
    <w:rsid w:val="1B1D0EA1"/>
    <w:rsid w:val="1B1E0896"/>
    <w:rsid w:val="1B24030F"/>
    <w:rsid w:val="1B397028"/>
    <w:rsid w:val="1B483F91"/>
    <w:rsid w:val="1B520060"/>
    <w:rsid w:val="1B5E3E72"/>
    <w:rsid w:val="1B614048"/>
    <w:rsid w:val="1B807337"/>
    <w:rsid w:val="1B836663"/>
    <w:rsid w:val="1B943AD9"/>
    <w:rsid w:val="1BA36B65"/>
    <w:rsid w:val="1BA47C58"/>
    <w:rsid w:val="1BB80F43"/>
    <w:rsid w:val="1BC170B5"/>
    <w:rsid w:val="1BC5039F"/>
    <w:rsid w:val="1BC63CDD"/>
    <w:rsid w:val="1BC85289"/>
    <w:rsid w:val="1BDC02C0"/>
    <w:rsid w:val="1BEB4B83"/>
    <w:rsid w:val="1BF0529D"/>
    <w:rsid w:val="1C282642"/>
    <w:rsid w:val="1C365FDC"/>
    <w:rsid w:val="1C380FA2"/>
    <w:rsid w:val="1C446BE5"/>
    <w:rsid w:val="1C6C70DC"/>
    <w:rsid w:val="1C6D0873"/>
    <w:rsid w:val="1C915866"/>
    <w:rsid w:val="1C92426F"/>
    <w:rsid w:val="1CA26A88"/>
    <w:rsid w:val="1CDF4341"/>
    <w:rsid w:val="1CEE3FDE"/>
    <w:rsid w:val="1CFA16FF"/>
    <w:rsid w:val="1D07422E"/>
    <w:rsid w:val="1D142596"/>
    <w:rsid w:val="1D256C6A"/>
    <w:rsid w:val="1D305121"/>
    <w:rsid w:val="1D385997"/>
    <w:rsid w:val="1D3C25C0"/>
    <w:rsid w:val="1D4A3A1E"/>
    <w:rsid w:val="1D584F32"/>
    <w:rsid w:val="1D5E31C4"/>
    <w:rsid w:val="1D604FC2"/>
    <w:rsid w:val="1D673AB8"/>
    <w:rsid w:val="1D6B0D1C"/>
    <w:rsid w:val="1D6D0123"/>
    <w:rsid w:val="1D7025D9"/>
    <w:rsid w:val="1D724537"/>
    <w:rsid w:val="1D73098A"/>
    <w:rsid w:val="1D7942D2"/>
    <w:rsid w:val="1D7C0366"/>
    <w:rsid w:val="1D804DF1"/>
    <w:rsid w:val="1D812873"/>
    <w:rsid w:val="1D8D5C15"/>
    <w:rsid w:val="1D946A32"/>
    <w:rsid w:val="1DA31A6F"/>
    <w:rsid w:val="1DAF4B38"/>
    <w:rsid w:val="1DB22E46"/>
    <w:rsid w:val="1DB51F23"/>
    <w:rsid w:val="1DC65199"/>
    <w:rsid w:val="1DC835AB"/>
    <w:rsid w:val="1DD82683"/>
    <w:rsid w:val="1DE40399"/>
    <w:rsid w:val="1DE55082"/>
    <w:rsid w:val="1DEB7A42"/>
    <w:rsid w:val="1DF11C2D"/>
    <w:rsid w:val="1DF97E9A"/>
    <w:rsid w:val="1E1259E5"/>
    <w:rsid w:val="1E262080"/>
    <w:rsid w:val="1E2C1FC5"/>
    <w:rsid w:val="1E322697"/>
    <w:rsid w:val="1E3A7AA3"/>
    <w:rsid w:val="1E421B94"/>
    <w:rsid w:val="1E422931"/>
    <w:rsid w:val="1E57048B"/>
    <w:rsid w:val="1E5A1C2F"/>
    <w:rsid w:val="1E5E18A6"/>
    <w:rsid w:val="1E7B3D90"/>
    <w:rsid w:val="1E832DAB"/>
    <w:rsid w:val="1E865B1A"/>
    <w:rsid w:val="1E9858BE"/>
    <w:rsid w:val="1EA0654E"/>
    <w:rsid w:val="1EA374D2"/>
    <w:rsid w:val="1EA44F54"/>
    <w:rsid w:val="1EBA70F8"/>
    <w:rsid w:val="1EC2624D"/>
    <w:rsid w:val="1EC331FD"/>
    <w:rsid w:val="1F1C6804"/>
    <w:rsid w:val="1F1F3A24"/>
    <w:rsid w:val="1F205BD4"/>
    <w:rsid w:val="1F206854"/>
    <w:rsid w:val="1F244EC9"/>
    <w:rsid w:val="1F2D6E0F"/>
    <w:rsid w:val="1F3A2C21"/>
    <w:rsid w:val="1F3D3E4E"/>
    <w:rsid w:val="1F5A3842"/>
    <w:rsid w:val="1F6659C8"/>
    <w:rsid w:val="1F690A75"/>
    <w:rsid w:val="1F7977EE"/>
    <w:rsid w:val="1F895E51"/>
    <w:rsid w:val="1F9F1011"/>
    <w:rsid w:val="1FA060F1"/>
    <w:rsid w:val="1FA073B6"/>
    <w:rsid w:val="1FA712FF"/>
    <w:rsid w:val="1FB12B7F"/>
    <w:rsid w:val="1FF266BE"/>
    <w:rsid w:val="20025D99"/>
    <w:rsid w:val="200A2C27"/>
    <w:rsid w:val="202645B9"/>
    <w:rsid w:val="203159E0"/>
    <w:rsid w:val="203A68C1"/>
    <w:rsid w:val="2054435F"/>
    <w:rsid w:val="206225DB"/>
    <w:rsid w:val="20670906"/>
    <w:rsid w:val="206E56D0"/>
    <w:rsid w:val="206E7A43"/>
    <w:rsid w:val="20731CCC"/>
    <w:rsid w:val="207C25DC"/>
    <w:rsid w:val="208E24F6"/>
    <w:rsid w:val="20A11517"/>
    <w:rsid w:val="20C06E4B"/>
    <w:rsid w:val="20C3636D"/>
    <w:rsid w:val="20D25569"/>
    <w:rsid w:val="20E03EA8"/>
    <w:rsid w:val="20EA2C10"/>
    <w:rsid w:val="20ED38FC"/>
    <w:rsid w:val="20FF7332"/>
    <w:rsid w:val="21053439"/>
    <w:rsid w:val="210C2AEE"/>
    <w:rsid w:val="21186BD7"/>
    <w:rsid w:val="211D78B0"/>
    <w:rsid w:val="212154AC"/>
    <w:rsid w:val="212C10FB"/>
    <w:rsid w:val="212E72D0"/>
    <w:rsid w:val="213E32F0"/>
    <w:rsid w:val="214731DE"/>
    <w:rsid w:val="2149131F"/>
    <w:rsid w:val="2149340F"/>
    <w:rsid w:val="214E43E5"/>
    <w:rsid w:val="215166AA"/>
    <w:rsid w:val="21561F3F"/>
    <w:rsid w:val="21600B88"/>
    <w:rsid w:val="219F5007"/>
    <w:rsid w:val="21AD61D1"/>
    <w:rsid w:val="21B53414"/>
    <w:rsid w:val="21D544E9"/>
    <w:rsid w:val="21DB29F7"/>
    <w:rsid w:val="21E5038E"/>
    <w:rsid w:val="21E8206B"/>
    <w:rsid w:val="21EA14F4"/>
    <w:rsid w:val="21FF50C2"/>
    <w:rsid w:val="221C0A03"/>
    <w:rsid w:val="222B101D"/>
    <w:rsid w:val="223E6CF8"/>
    <w:rsid w:val="2243364A"/>
    <w:rsid w:val="224E045E"/>
    <w:rsid w:val="225B2B45"/>
    <w:rsid w:val="226823A3"/>
    <w:rsid w:val="227C1E95"/>
    <w:rsid w:val="22873935"/>
    <w:rsid w:val="229226B8"/>
    <w:rsid w:val="22A73267"/>
    <w:rsid w:val="22AF5BBC"/>
    <w:rsid w:val="22C677C0"/>
    <w:rsid w:val="22CD1033"/>
    <w:rsid w:val="22DD3C85"/>
    <w:rsid w:val="22DD5403"/>
    <w:rsid w:val="22E25187"/>
    <w:rsid w:val="22EB3FC4"/>
    <w:rsid w:val="232102B1"/>
    <w:rsid w:val="236E03B0"/>
    <w:rsid w:val="23740A0F"/>
    <w:rsid w:val="23773046"/>
    <w:rsid w:val="237813DD"/>
    <w:rsid w:val="23827050"/>
    <w:rsid w:val="238A31D0"/>
    <w:rsid w:val="23921869"/>
    <w:rsid w:val="239E3959"/>
    <w:rsid w:val="23A012D9"/>
    <w:rsid w:val="23A25387"/>
    <w:rsid w:val="23A44173"/>
    <w:rsid w:val="23B1689B"/>
    <w:rsid w:val="23B42767"/>
    <w:rsid w:val="23B452A1"/>
    <w:rsid w:val="23CC074A"/>
    <w:rsid w:val="23E303FA"/>
    <w:rsid w:val="23EA577B"/>
    <w:rsid w:val="23EB5574"/>
    <w:rsid w:val="23EE53EE"/>
    <w:rsid w:val="23F911BA"/>
    <w:rsid w:val="23FE56CB"/>
    <w:rsid w:val="240B1533"/>
    <w:rsid w:val="241B4A8E"/>
    <w:rsid w:val="24283062"/>
    <w:rsid w:val="242B39CD"/>
    <w:rsid w:val="242C61E4"/>
    <w:rsid w:val="242D3C66"/>
    <w:rsid w:val="242D516F"/>
    <w:rsid w:val="243335F1"/>
    <w:rsid w:val="245247ED"/>
    <w:rsid w:val="2454750D"/>
    <w:rsid w:val="24575A93"/>
    <w:rsid w:val="248B67FD"/>
    <w:rsid w:val="248F6CA6"/>
    <w:rsid w:val="24B86128"/>
    <w:rsid w:val="24BF3406"/>
    <w:rsid w:val="24D0746E"/>
    <w:rsid w:val="24D97602"/>
    <w:rsid w:val="24EC5DD1"/>
    <w:rsid w:val="24EF7C0C"/>
    <w:rsid w:val="24FE5B05"/>
    <w:rsid w:val="2508212D"/>
    <w:rsid w:val="25166DC0"/>
    <w:rsid w:val="251D6DF2"/>
    <w:rsid w:val="252B038C"/>
    <w:rsid w:val="252E1698"/>
    <w:rsid w:val="25533A48"/>
    <w:rsid w:val="25543DDA"/>
    <w:rsid w:val="255F7AD2"/>
    <w:rsid w:val="2562439C"/>
    <w:rsid w:val="256D4FBD"/>
    <w:rsid w:val="25710A7A"/>
    <w:rsid w:val="257E016B"/>
    <w:rsid w:val="25826736"/>
    <w:rsid w:val="25873D4C"/>
    <w:rsid w:val="258B7426"/>
    <w:rsid w:val="259B76C0"/>
    <w:rsid w:val="25AA58E4"/>
    <w:rsid w:val="25B52A47"/>
    <w:rsid w:val="25C10491"/>
    <w:rsid w:val="25C46D47"/>
    <w:rsid w:val="25E074E7"/>
    <w:rsid w:val="25E258B6"/>
    <w:rsid w:val="25EE4017"/>
    <w:rsid w:val="25F63B93"/>
    <w:rsid w:val="25F767DC"/>
    <w:rsid w:val="25F97290"/>
    <w:rsid w:val="2601616B"/>
    <w:rsid w:val="260512EE"/>
    <w:rsid w:val="261E020C"/>
    <w:rsid w:val="26223B26"/>
    <w:rsid w:val="26241D26"/>
    <w:rsid w:val="2627224F"/>
    <w:rsid w:val="262B372C"/>
    <w:rsid w:val="262F241A"/>
    <w:rsid w:val="263317DE"/>
    <w:rsid w:val="263E08AF"/>
    <w:rsid w:val="263E274C"/>
    <w:rsid w:val="265B0A5D"/>
    <w:rsid w:val="266360FF"/>
    <w:rsid w:val="266A6A94"/>
    <w:rsid w:val="266C4868"/>
    <w:rsid w:val="26862B41"/>
    <w:rsid w:val="26960BDD"/>
    <w:rsid w:val="269C0568"/>
    <w:rsid w:val="269D762C"/>
    <w:rsid w:val="26A10A3D"/>
    <w:rsid w:val="26AA7CF2"/>
    <w:rsid w:val="26C976F8"/>
    <w:rsid w:val="26E563DD"/>
    <w:rsid w:val="26EF72E5"/>
    <w:rsid w:val="26FC4A2E"/>
    <w:rsid w:val="270B0E4A"/>
    <w:rsid w:val="27114CA3"/>
    <w:rsid w:val="27180E6A"/>
    <w:rsid w:val="271E393C"/>
    <w:rsid w:val="271E669F"/>
    <w:rsid w:val="27333A9E"/>
    <w:rsid w:val="273D5A6D"/>
    <w:rsid w:val="274023D4"/>
    <w:rsid w:val="274253D5"/>
    <w:rsid w:val="274C4E88"/>
    <w:rsid w:val="274E038B"/>
    <w:rsid w:val="2750388E"/>
    <w:rsid w:val="275D2BA4"/>
    <w:rsid w:val="27663E92"/>
    <w:rsid w:val="276D74EC"/>
    <w:rsid w:val="276F6A21"/>
    <w:rsid w:val="277B2154"/>
    <w:rsid w:val="2788146A"/>
    <w:rsid w:val="278A534F"/>
    <w:rsid w:val="27C128C8"/>
    <w:rsid w:val="27D163B4"/>
    <w:rsid w:val="27EC60E8"/>
    <w:rsid w:val="27F4659B"/>
    <w:rsid w:val="28002089"/>
    <w:rsid w:val="280542B6"/>
    <w:rsid w:val="280D4F46"/>
    <w:rsid w:val="281C1B43"/>
    <w:rsid w:val="281C4CDA"/>
    <w:rsid w:val="281D775F"/>
    <w:rsid w:val="282B36F9"/>
    <w:rsid w:val="28375A3F"/>
    <w:rsid w:val="28506677"/>
    <w:rsid w:val="28520495"/>
    <w:rsid w:val="28657E0B"/>
    <w:rsid w:val="28713562"/>
    <w:rsid w:val="287813D0"/>
    <w:rsid w:val="287A7AF8"/>
    <w:rsid w:val="28901C9C"/>
    <w:rsid w:val="2893739E"/>
    <w:rsid w:val="28A46793"/>
    <w:rsid w:val="28A813E1"/>
    <w:rsid w:val="28B92E20"/>
    <w:rsid w:val="28B93CEB"/>
    <w:rsid w:val="28CF57EE"/>
    <w:rsid w:val="28DD58B0"/>
    <w:rsid w:val="28E02A8F"/>
    <w:rsid w:val="28E1683E"/>
    <w:rsid w:val="28F97D4B"/>
    <w:rsid w:val="29125D60"/>
    <w:rsid w:val="29272F53"/>
    <w:rsid w:val="292B1C11"/>
    <w:rsid w:val="29311825"/>
    <w:rsid w:val="293E7836"/>
    <w:rsid w:val="29437541"/>
    <w:rsid w:val="29454C43"/>
    <w:rsid w:val="294D4A3C"/>
    <w:rsid w:val="29591B52"/>
    <w:rsid w:val="2960365F"/>
    <w:rsid w:val="29614573"/>
    <w:rsid w:val="29A7676B"/>
    <w:rsid w:val="29C73F17"/>
    <w:rsid w:val="29CC4423"/>
    <w:rsid w:val="29D10A88"/>
    <w:rsid w:val="29DA2F38"/>
    <w:rsid w:val="29F6324E"/>
    <w:rsid w:val="2A01667B"/>
    <w:rsid w:val="2A020879"/>
    <w:rsid w:val="2A1A46E9"/>
    <w:rsid w:val="2A1C6E6B"/>
    <w:rsid w:val="2A2A2452"/>
    <w:rsid w:val="2A3717F0"/>
    <w:rsid w:val="2A3A4256"/>
    <w:rsid w:val="2A441BE1"/>
    <w:rsid w:val="2A4836B1"/>
    <w:rsid w:val="2A4A0382"/>
    <w:rsid w:val="2A7541F8"/>
    <w:rsid w:val="2A851BD9"/>
    <w:rsid w:val="2A863893"/>
    <w:rsid w:val="2A9248E5"/>
    <w:rsid w:val="2A932720"/>
    <w:rsid w:val="2A946DF4"/>
    <w:rsid w:val="2A9A1CF1"/>
    <w:rsid w:val="2A9D2C76"/>
    <w:rsid w:val="2AA02867"/>
    <w:rsid w:val="2AB357E7"/>
    <w:rsid w:val="2AC9578D"/>
    <w:rsid w:val="2ACA60C4"/>
    <w:rsid w:val="2ACC5C5A"/>
    <w:rsid w:val="2AD0584D"/>
    <w:rsid w:val="2ADE4D64"/>
    <w:rsid w:val="2AF04F6E"/>
    <w:rsid w:val="2AF61758"/>
    <w:rsid w:val="2B000827"/>
    <w:rsid w:val="2B0E422E"/>
    <w:rsid w:val="2B342C9E"/>
    <w:rsid w:val="2B395AE8"/>
    <w:rsid w:val="2B420288"/>
    <w:rsid w:val="2B421328"/>
    <w:rsid w:val="2B4D2E1A"/>
    <w:rsid w:val="2B563729"/>
    <w:rsid w:val="2B5E1033"/>
    <w:rsid w:val="2B641D7F"/>
    <w:rsid w:val="2B6D3C7A"/>
    <w:rsid w:val="2B786D85"/>
    <w:rsid w:val="2B827A70"/>
    <w:rsid w:val="2B857DC7"/>
    <w:rsid w:val="2B955445"/>
    <w:rsid w:val="2BA95732"/>
    <w:rsid w:val="2BAF763B"/>
    <w:rsid w:val="2BB23B01"/>
    <w:rsid w:val="2BB32D41"/>
    <w:rsid w:val="2BC069D0"/>
    <w:rsid w:val="2BC26022"/>
    <w:rsid w:val="2BC367B8"/>
    <w:rsid w:val="2BE30D8F"/>
    <w:rsid w:val="2BE46810"/>
    <w:rsid w:val="2BE960EF"/>
    <w:rsid w:val="2C071A15"/>
    <w:rsid w:val="2C0B44D1"/>
    <w:rsid w:val="2C0B64AA"/>
    <w:rsid w:val="2C2B3683"/>
    <w:rsid w:val="2C2D3420"/>
    <w:rsid w:val="2C372A17"/>
    <w:rsid w:val="2C3818FC"/>
    <w:rsid w:val="2C486535"/>
    <w:rsid w:val="2C55584A"/>
    <w:rsid w:val="2C7B4E8C"/>
    <w:rsid w:val="2C842D34"/>
    <w:rsid w:val="2C871C5D"/>
    <w:rsid w:val="2C9446A0"/>
    <w:rsid w:val="2CA04D25"/>
    <w:rsid w:val="2CB01DDA"/>
    <w:rsid w:val="2CBC42DB"/>
    <w:rsid w:val="2CCF1C91"/>
    <w:rsid w:val="2CD6709D"/>
    <w:rsid w:val="2CDC4DCF"/>
    <w:rsid w:val="2CE73722"/>
    <w:rsid w:val="2CED77C1"/>
    <w:rsid w:val="2CF617E0"/>
    <w:rsid w:val="2CFD14DB"/>
    <w:rsid w:val="2D16631A"/>
    <w:rsid w:val="2D1E6D44"/>
    <w:rsid w:val="2D4C5A5E"/>
    <w:rsid w:val="2D5A4743"/>
    <w:rsid w:val="2D6C2100"/>
    <w:rsid w:val="2D762BBA"/>
    <w:rsid w:val="2D7D7F0E"/>
    <w:rsid w:val="2D834DF9"/>
    <w:rsid w:val="2D9263A7"/>
    <w:rsid w:val="2D944CD1"/>
    <w:rsid w:val="2DB476A8"/>
    <w:rsid w:val="2DBB723B"/>
    <w:rsid w:val="2DC37DF1"/>
    <w:rsid w:val="2DCE0619"/>
    <w:rsid w:val="2DCE2518"/>
    <w:rsid w:val="2DD35AE8"/>
    <w:rsid w:val="2DD37B2E"/>
    <w:rsid w:val="2DE463B0"/>
    <w:rsid w:val="2DE64BF5"/>
    <w:rsid w:val="2DE84AF7"/>
    <w:rsid w:val="2DED4EA0"/>
    <w:rsid w:val="2E0D173F"/>
    <w:rsid w:val="2E273547"/>
    <w:rsid w:val="2E307DB7"/>
    <w:rsid w:val="2E3E5270"/>
    <w:rsid w:val="2E601123"/>
    <w:rsid w:val="2E6011D7"/>
    <w:rsid w:val="2E627EA9"/>
    <w:rsid w:val="2E695B55"/>
    <w:rsid w:val="2E9077CD"/>
    <w:rsid w:val="2E961606"/>
    <w:rsid w:val="2EA22E91"/>
    <w:rsid w:val="2EC54F0E"/>
    <w:rsid w:val="2EEC173E"/>
    <w:rsid w:val="2EFE7D6E"/>
    <w:rsid w:val="2F1507D9"/>
    <w:rsid w:val="2F32470A"/>
    <w:rsid w:val="2F486EA2"/>
    <w:rsid w:val="2F747966"/>
    <w:rsid w:val="2F984ABB"/>
    <w:rsid w:val="2FB67708"/>
    <w:rsid w:val="2FC254E7"/>
    <w:rsid w:val="3002294D"/>
    <w:rsid w:val="30534DD6"/>
    <w:rsid w:val="30561692"/>
    <w:rsid w:val="30600479"/>
    <w:rsid w:val="306927FC"/>
    <w:rsid w:val="30702187"/>
    <w:rsid w:val="30843362"/>
    <w:rsid w:val="30986E0D"/>
    <w:rsid w:val="309E4373"/>
    <w:rsid w:val="30AA13BF"/>
    <w:rsid w:val="30CA159C"/>
    <w:rsid w:val="30CD4789"/>
    <w:rsid w:val="30D57C28"/>
    <w:rsid w:val="30DF6CA0"/>
    <w:rsid w:val="30E61DC6"/>
    <w:rsid w:val="30ED32FC"/>
    <w:rsid w:val="30F139DA"/>
    <w:rsid w:val="310061F3"/>
    <w:rsid w:val="31143B11"/>
    <w:rsid w:val="31195802"/>
    <w:rsid w:val="311A5A74"/>
    <w:rsid w:val="312C253A"/>
    <w:rsid w:val="313533BC"/>
    <w:rsid w:val="313E4759"/>
    <w:rsid w:val="314B1C9B"/>
    <w:rsid w:val="315E3BB3"/>
    <w:rsid w:val="31612184"/>
    <w:rsid w:val="317A1163"/>
    <w:rsid w:val="317A4765"/>
    <w:rsid w:val="317B5B3D"/>
    <w:rsid w:val="317D0C73"/>
    <w:rsid w:val="31926D16"/>
    <w:rsid w:val="3194218A"/>
    <w:rsid w:val="31A50EFF"/>
    <w:rsid w:val="31AF2660"/>
    <w:rsid w:val="31AF440F"/>
    <w:rsid w:val="31B444D7"/>
    <w:rsid w:val="31B577A4"/>
    <w:rsid w:val="31BB6926"/>
    <w:rsid w:val="31C33D33"/>
    <w:rsid w:val="31C342A2"/>
    <w:rsid w:val="31C97E3A"/>
    <w:rsid w:val="31E0281A"/>
    <w:rsid w:val="31E71DFA"/>
    <w:rsid w:val="31EC5663"/>
    <w:rsid w:val="31F83438"/>
    <w:rsid w:val="31FC5556"/>
    <w:rsid w:val="32021299"/>
    <w:rsid w:val="32170FF5"/>
    <w:rsid w:val="32356B5E"/>
    <w:rsid w:val="324326C2"/>
    <w:rsid w:val="324E226E"/>
    <w:rsid w:val="32C1086E"/>
    <w:rsid w:val="32D4454C"/>
    <w:rsid w:val="32DA44FC"/>
    <w:rsid w:val="32DD76BC"/>
    <w:rsid w:val="32F341BB"/>
    <w:rsid w:val="32F54E61"/>
    <w:rsid w:val="32FD49B4"/>
    <w:rsid w:val="330001A2"/>
    <w:rsid w:val="33055644"/>
    <w:rsid w:val="332A6927"/>
    <w:rsid w:val="33434A04"/>
    <w:rsid w:val="334713E7"/>
    <w:rsid w:val="33484B1B"/>
    <w:rsid w:val="33541442"/>
    <w:rsid w:val="335C0F0C"/>
    <w:rsid w:val="3363480C"/>
    <w:rsid w:val="338257CE"/>
    <w:rsid w:val="339A10EE"/>
    <w:rsid w:val="33B83624"/>
    <w:rsid w:val="33DA309D"/>
    <w:rsid w:val="33EA4F8B"/>
    <w:rsid w:val="33EF3043"/>
    <w:rsid w:val="33FA13D4"/>
    <w:rsid w:val="34006B60"/>
    <w:rsid w:val="34027E2D"/>
    <w:rsid w:val="34083F6D"/>
    <w:rsid w:val="341A1198"/>
    <w:rsid w:val="34270BD4"/>
    <w:rsid w:val="344A5CAF"/>
    <w:rsid w:val="345D63A4"/>
    <w:rsid w:val="34627AFE"/>
    <w:rsid w:val="34627E84"/>
    <w:rsid w:val="346907A6"/>
    <w:rsid w:val="346C4843"/>
    <w:rsid w:val="34761B3D"/>
    <w:rsid w:val="347C6980"/>
    <w:rsid w:val="34845AB5"/>
    <w:rsid w:val="34861646"/>
    <w:rsid w:val="3486483B"/>
    <w:rsid w:val="34A22AE6"/>
    <w:rsid w:val="34E7529C"/>
    <w:rsid w:val="34E96ADE"/>
    <w:rsid w:val="34EA6BE9"/>
    <w:rsid w:val="34ED2EF3"/>
    <w:rsid w:val="34FB6280"/>
    <w:rsid w:val="35184C6D"/>
    <w:rsid w:val="351C016C"/>
    <w:rsid w:val="351F0B3B"/>
    <w:rsid w:val="353D1B92"/>
    <w:rsid w:val="354143E4"/>
    <w:rsid w:val="35521C81"/>
    <w:rsid w:val="356A2C20"/>
    <w:rsid w:val="35773F4E"/>
    <w:rsid w:val="358259D7"/>
    <w:rsid w:val="358B1967"/>
    <w:rsid w:val="358D3D69"/>
    <w:rsid w:val="35906410"/>
    <w:rsid w:val="35A23D0E"/>
    <w:rsid w:val="35BC70FA"/>
    <w:rsid w:val="35BE61A8"/>
    <w:rsid w:val="35D408E8"/>
    <w:rsid w:val="35D903FF"/>
    <w:rsid w:val="35DB2555"/>
    <w:rsid w:val="35E1119D"/>
    <w:rsid w:val="35EF609A"/>
    <w:rsid w:val="360E3D96"/>
    <w:rsid w:val="361352C6"/>
    <w:rsid w:val="361B1F21"/>
    <w:rsid w:val="361D3657"/>
    <w:rsid w:val="362B1258"/>
    <w:rsid w:val="36475791"/>
    <w:rsid w:val="366E2AEA"/>
    <w:rsid w:val="366F28DB"/>
    <w:rsid w:val="368178C2"/>
    <w:rsid w:val="36890788"/>
    <w:rsid w:val="36897EB8"/>
    <w:rsid w:val="368A2987"/>
    <w:rsid w:val="36906629"/>
    <w:rsid w:val="369301F2"/>
    <w:rsid w:val="369C6124"/>
    <w:rsid w:val="369F5F8F"/>
    <w:rsid w:val="36A056B5"/>
    <w:rsid w:val="36A1205A"/>
    <w:rsid w:val="36A46172"/>
    <w:rsid w:val="36B204FD"/>
    <w:rsid w:val="36CD7058"/>
    <w:rsid w:val="36D22E56"/>
    <w:rsid w:val="36D90673"/>
    <w:rsid w:val="36F154C9"/>
    <w:rsid w:val="36FE0747"/>
    <w:rsid w:val="370666E5"/>
    <w:rsid w:val="373511EA"/>
    <w:rsid w:val="373F25CC"/>
    <w:rsid w:val="374D3D49"/>
    <w:rsid w:val="374E3698"/>
    <w:rsid w:val="375111F8"/>
    <w:rsid w:val="375D0761"/>
    <w:rsid w:val="3776710C"/>
    <w:rsid w:val="37785578"/>
    <w:rsid w:val="378E0F6A"/>
    <w:rsid w:val="379501B2"/>
    <w:rsid w:val="37AB75F3"/>
    <w:rsid w:val="37B77B75"/>
    <w:rsid w:val="37C37A26"/>
    <w:rsid w:val="37DD61FF"/>
    <w:rsid w:val="37F66761"/>
    <w:rsid w:val="37FB2BE8"/>
    <w:rsid w:val="3818637F"/>
    <w:rsid w:val="381C6576"/>
    <w:rsid w:val="383A3644"/>
    <w:rsid w:val="383A69FC"/>
    <w:rsid w:val="383E473E"/>
    <w:rsid w:val="385F1A9D"/>
    <w:rsid w:val="3883540B"/>
    <w:rsid w:val="388614C8"/>
    <w:rsid w:val="38910707"/>
    <w:rsid w:val="389712F2"/>
    <w:rsid w:val="389B393F"/>
    <w:rsid w:val="389E51DD"/>
    <w:rsid w:val="38A30A45"/>
    <w:rsid w:val="38B14F10"/>
    <w:rsid w:val="38B42B1B"/>
    <w:rsid w:val="38D428CC"/>
    <w:rsid w:val="38DD3307"/>
    <w:rsid w:val="38E23DE0"/>
    <w:rsid w:val="38EC0F5C"/>
    <w:rsid w:val="38FF590E"/>
    <w:rsid w:val="390447E4"/>
    <w:rsid w:val="390C2A26"/>
    <w:rsid w:val="390F1C92"/>
    <w:rsid w:val="391C7A54"/>
    <w:rsid w:val="39293DB0"/>
    <w:rsid w:val="39317DFF"/>
    <w:rsid w:val="3932357B"/>
    <w:rsid w:val="393542AD"/>
    <w:rsid w:val="393C0FF6"/>
    <w:rsid w:val="393E44F9"/>
    <w:rsid w:val="39661E3A"/>
    <w:rsid w:val="3968533E"/>
    <w:rsid w:val="397E1D25"/>
    <w:rsid w:val="398630C2"/>
    <w:rsid w:val="399075A1"/>
    <w:rsid w:val="39945775"/>
    <w:rsid w:val="39A03524"/>
    <w:rsid w:val="39A828A4"/>
    <w:rsid w:val="39AA162A"/>
    <w:rsid w:val="39B13AE1"/>
    <w:rsid w:val="39CB2631"/>
    <w:rsid w:val="39D5466D"/>
    <w:rsid w:val="39E901AB"/>
    <w:rsid w:val="39F36619"/>
    <w:rsid w:val="39FC2F9F"/>
    <w:rsid w:val="3A2940F7"/>
    <w:rsid w:val="3A4D0C68"/>
    <w:rsid w:val="3A573895"/>
    <w:rsid w:val="3A5E6443"/>
    <w:rsid w:val="3A6E01EF"/>
    <w:rsid w:val="3A891299"/>
    <w:rsid w:val="3A8D3267"/>
    <w:rsid w:val="3A94095C"/>
    <w:rsid w:val="3A956CA9"/>
    <w:rsid w:val="3A9A5F88"/>
    <w:rsid w:val="3A9B3EA5"/>
    <w:rsid w:val="3A9E0B45"/>
    <w:rsid w:val="3AB20FA2"/>
    <w:rsid w:val="3AB86041"/>
    <w:rsid w:val="3ABD23EC"/>
    <w:rsid w:val="3AC06BF4"/>
    <w:rsid w:val="3AD30754"/>
    <w:rsid w:val="3AD31A4B"/>
    <w:rsid w:val="3AD63FAA"/>
    <w:rsid w:val="3AD82BC6"/>
    <w:rsid w:val="3ADE2921"/>
    <w:rsid w:val="3ADF734B"/>
    <w:rsid w:val="3AE96733"/>
    <w:rsid w:val="3AFE2C6B"/>
    <w:rsid w:val="3B0221C6"/>
    <w:rsid w:val="3B1866F7"/>
    <w:rsid w:val="3B1874C8"/>
    <w:rsid w:val="3B2B2A20"/>
    <w:rsid w:val="3B376687"/>
    <w:rsid w:val="3B3E6939"/>
    <w:rsid w:val="3B4A1AE9"/>
    <w:rsid w:val="3B4F12B2"/>
    <w:rsid w:val="3B6343C3"/>
    <w:rsid w:val="3B730A2C"/>
    <w:rsid w:val="3B77509E"/>
    <w:rsid w:val="3BA46E66"/>
    <w:rsid w:val="3BAB412E"/>
    <w:rsid w:val="3BAC4273"/>
    <w:rsid w:val="3BAE5839"/>
    <w:rsid w:val="3BC73BD4"/>
    <w:rsid w:val="3BCE5AAC"/>
    <w:rsid w:val="3BDB763B"/>
    <w:rsid w:val="3BFB5246"/>
    <w:rsid w:val="3C0A04BB"/>
    <w:rsid w:val="3C3176E4"/>
    <w:rsid w:val="3C3360EC"/>
    <w:rsid w:val="3C3643F9"/>
    <w:rsid w:val="3C3F3B8F"/>
    <w:rsid w:val="3C452831"/>
    <w:rsid w:val="3C5D17C0"/>
    <w:rsid w:val="3C5D5748"/>
    <w:rsid w:val="3C5E539B"/>
    <w:rsid w:val="3C7057AE"/>
    <w:rsid w:val="3C741ABD"/>
    <w:rsid w:val="3C795D45"/>
    <w:rsid w:val="3C841D58"/>
    <w:rsid w:val="3C8A61A4"/>
    <w:rsid w:val="3CA53C3A"/>
    <w:rsid w:val="3CA60B04"/>
    <w:rsid w:val="3CA74A0B"/>
    <w:rsid w:val="3CA97F92"/>
    <w:rsid w:val="3CC1259B"/>
    <w:rsid w:val="3CCA6C49"/>
    <w:rsid w:val="3CE242F0"/>
    <w:rsid w:val="3CEA1C78"/>
    <w:rsid w:val="3CF0119C"/>
    <w:rsid w:val="3CF74EBC"/>
    <w:rsid w:val="3CF852F0"/>
    <w:rsid w:val="3CFB7DA2"/>
    <w:rsid w:val="3D045B29"/>
    <w:rsid w:val="3D3056F4"/>
    <w:rsid w:val="3D37642D"/>
    <w:rsid w:val="3D4B442E"/>
    <w:rsid w:val="3D53112B"/>
    <w:rsid w:val="3D672756"/>
    <w:rsid w:val="3D6D69CE"/>
    <w:rsid w:val="3D8D5B29"/>
    <w:rsid w:val="3D945377"/>
    <w:rsid w:val="3D9C11FA"/>
    <w:rsid w:val="3D9C6FA1"/>
    <w:rsid w:val="3DA962B7"/>
    <w:rsid w:val="3DB13B3B"/>
    <w:rsid w:val="3DBB35BC"/>
    <w:rsid w:val="3DC065C6"/>
    <w:rsid w:val="3DC70F93"/>
    <w:rsid w:val="3DDC0B07"/>
    <w:rsid w:val="3DDC7D8B"/>
    <w:rsid w:val="3DE051EE"/>
    <w:rsid w:val="3DF33233"/>
    <w:rsid w:val="3E0169BD"/>
    <w:rsid w:val="3E16578E"/>
    <w:rsid w:val="3E1675C3"/>
    <w:rsid w:val="3E2E4312"/>
    <w:rsid w:val="3E3D3FF6"/>
    <w:rsid w:val="3E416D36"/>
    <w:rsid w:val="3E5700F6"/>
    <w:rsid w:val="3E5D317C"/>
    <w:rsid w:val="3E7A3FF6"/>
    <w:rsid w:val="3E7B17BF"/>
    <w:rsid w:val="3E802A97"/>
    <w:rsid w:val="3E9E3D62"/>
    <w:rsid w:val="3EB721C8"/>
    <w:rsid w:val="3EBF7C5B"/>
    <w:rsid w:val="3EC7628C"/>
    <w:rsid w:val="3ECA0ADA"/>
    <w:rsid w:val="3EE14631"/>
    <w:rsid w:val="3EE44D3A"/>
    <w:rsid w:val="3EF23B8C"/>
    <w:rsid w:val="3EF4037B"/>
    <w:rsid w:val="3F0355EF"/>
    <w:rsid w:val="3F041152"/>
    <w:rsid w:val="3F197280"/>
    <w:rsid w:val="3F4B496B"/>
    <w:rsid w:val="3F4B6BB2"/>
    <w:rsid w:val="3F7B3FB4"/>
    <w:rsid w:val="3F8A0269"/>
    <w:rsid w:val="3F8A67CD"/>
    <w:rsid w:val="3F8F2C54"/>
    <w:rsid w:val="3F903F59"/>
    <w:rsid w:val="3F91658F"/>
    <w:rsid w:val="3F965E62"/>
    <w:rsid w:val="3FA45178"/>
    <w:rsid w:val="3FA46EF8"/>
    <w:rsid w:val="3FA660FD"/>
    <w:rsid w:val="3FB83E19"/>
    <w:rsid w:val="3FE62D39"/>
    <w:rsid w:val="3FEC6BE3"/>
    <w:rsid w:val="3FF83425"/>
    <w:rsid w:val="400F00E4"/>
    <w:rsid w:val="401D18F6"/>
    <w:rsid w:val="402203F5"/>
    <w:rsid w:val="40223297"/>
    <w:rsid w:val="402657A8"/>
    <w:rsid w:val="4028158A"/>
    <w:rsid w:val="403D4072"/>
    <w:rsid w:val="40477F08"/>
    <w:rsid w:val="40554F9C"/>
    <w:rsid w:val="40574F8A"/>
    <w:rsid w:val="407927B7"/>
    <w:rsid w:val="40AE5034"/>
    <w:rsid w:val="40B35057"/>
    <w:rsid w:val="40BF6BC9"/>
    <w:rsid w:val="40D24565"/>
    <w:rsid w:val="41091371"/>
    <w:rsid w:val="41303C39"/>
    <w:rsid w:val="41364AA2"/>
    <w:rsid w:val="41425B1E"/>
    <w:rsid w:val="414F74CB"/>
    <w:rsid w:val="415B6654"/>
    <w:rsid w:val="41636FFF"/>
    <w:rsid w:val="41662EBF"/>
    <w:rsid w:val="416745BC"/>
    <w:rsid w:val="4168282C"/>
    <w:rsid w:val="41690F03"/>
    <w:rsid w:val="417C2EE6"/>
    <w:rsid w:val="418A3D14"/>
    <w:rsid w:val="41907140"/>
    <w:rsid w:val="41A171BC"/>
    <w:rsid w:val="41A55BC2"/>
    <w:rsid w:val="41B119D5"/>
    <w:rsid w:val="41B13BD3"/>
    <w:rsid w:val="41C46BAD"/>
    <w:rsid w:val="41CC21FF"/>
    <w:rsid w:val="41D12A32"/>
    <w:rsid w:val="41D16AC7"/>
    <w:rsid w:val="41D301C3"/>
    <w:rsid w:val="41D623AF"/>
    <w:rsid w:val="41E06CA1"/>
    <w:rsid w:val="41F6377C"/>
    <w:rsid w:val="420A2AFF"/>
    <w:rsid w:val="420B66EE"/>
    <w:rsid w:val="42186000"/>
    <w:rsid w:val="421B5801"/>
    <w:rsid w:val="422F49B3"/>
    <w:rsid w:val="42301F23"/>
    <w:rsid w:val="42360F62"/>
    <w:rsid w:val="423767ED"/>
    <w:rsid w:val="425213C3"/>
    <w:rsid w:val="425968DE"/>
    <w:rsid w:val="426E68C9"/>
    <w:rsid w:val="42741B9A"/>
    <w:rsid w:val="427E58A6"/>
    <w:rsid w:val="427F7E2D"/>
    <w:rsid w:val="42802614"/>
    <w:rsid w:val="42B01704"/>
    <w:rsid w:val="42C41CE4"/>
    <w:rsid w:val="42CA554C"/>
    <w:rsid w:val="42CC4106"/>
    <w:rsid w:val="42D22B67"/>
    <w:rsid w:val="42DC0E76"/>
    <w:rsid w:val="42DF0DC2"/>
    <w:rsid w:val="42E21D47"/>
    <w:rsid w:val="42E661CE"/>
    <w:rsid w:val="42E92879"/>
    <w:rsid w:val="42EC69CA"/>
    <w:rsid w:val="42EE6E5E"/>
    <w:rsid w:val="42F247CE"/>
    <w:rsid w:val="42FB4A28"/>
    <w:rsid w:val="43081BD1"/>
    <w:rsid w:val="430F3816"/>
    <w:rsid w:val="431F1AE3"/>
    <w:rsid w:val="431F797A"/>
    <w:rsid w:val="43236A0A"/>
    <w:rsid w:val="433858A5"/>
    <w:rsid w:val="43527105"/>
    <w:rsid w:val="436D4954"/>
    <w:rsid w:val="438753A5"/>
    <w:rsid w:val="43891048"/>
    <w:rsid w:val="43920E07"/>
    <w:rsid w:val="43951B04"/>
    <w:rsid w:val="43A24887"/>
    <w:rsid w:val="43B14016"/>
    <w:rsid w:val="43DA20AE"/>
    <w:rsid w:val="43F715ED"/>
    <w:rsid w:val="44000E21"/>
    <w:rsid w:val="440875AB"/>
    <w:rsid w:val="440B6331"/>
    <w:rsid w:val="440D15A1"/>
    <w:rsid w:val="4413593C"/>
    <w:rsid w:val="444B4C5F"/>
    <w:rsid w:val="444E7AB7"/>
    <w:rsid w:val="44655A6C"/>
    <w:rsid w:val="4467168F"/>
    <w:rsid w:val="44766B6D"/>
    <w:rsid w:val="4484797D"/>
    <w:rsid w:val="44864A89"/>
    <w:rsid w:val="44890DFE"/>
    <w:rsid w:val="448F50C0"/>
    <w:rsid w:val="44983838"/>
    <w:rsid w:val="44984355"/>
    <w:rsid w:val="44A8226D"/>
    <w:rsid w:val="44AA08C6"/>
    <w:rsid w:val="44B32010"/>
    <w:rsid w:val="44C84166"/>
    <w:rsid w:val="44EF4A70"/>
    <w:rsid w:val="44FE14DD"/>
    <w:rsid w:val="45011D41"/>
    <w:rsid w:val="452364C9"/>
    <w:rsid w:val="452B7DF8"/>
    <w:rsid w:val="45342FB5"/>
    <w:rsid w:val="454B049A"/>
    <w:rsid w:val="454C0370"/>
    <w:rsid w:val="4550153F"/>
    <w:rsid w:val="455D4659"/>
    <w:rsid w:val="455E7EDC"/>
    <w:rsid w:val="45631ACD"/>
    <w:rsid w:val="45660998"/>
    <w:rsid w:val="458000C7"/>
    <w:rsid w:val="4585213C"/>
    <w:rsid w:val="458B3F95"/>
    <w:rsid w:val="45967A06"/>
    <w:rsid w:val="45AA2F38"/>
    <w:rsid w:val="45B25DBF"/>
    <w:rsid w:val="45B95404"/>
    <w:rsid w:val="45C41CBE"/>
    <w:rsid w:val="45CF1BC3"/>
    <w:rsid w:val="45D67D64"/>
    <w:rsid w:val="45ED4F88"/>
    <w:rsid w:val="45F428E0"/>
    <w:rsid w:val="4601483F"/>
    <w:rsid w:val="46025A85"/>
    <w:rsid w:val="461A266E"/>
    <w:rsid w:val="462E5DF2"/>
    <w:rsid w:val="46323738"/>
    <w:rsid w:val="46401681"/>
    <w:rsid w:val="4648561C"/>
    <w:rsid w:val="464A59BB"/>
    <w:rsid w:val="465530CB"/>
    <w:rsid w:val="4669507C"/>
    <w:rsid w:val="46760020"/>
    <w:rsid w:val="46873754"/>
    <w:rsid w:val="468C2B4D"/>
    <w:rsid w:val="468D05CE"/>
    <w:rsid w:val="46982676"/>
    <w:rsid w:val="46A7659A"/>
    <w:rsid w:val="46D00C57"/>
    <w:rsid w:val="46D06EA9"/>
    <w:rsid w:val="46F956FF"/>
    <w:rsid w:val="470353BB"/>
    <w:rsid w:val="47174AD8"/>
    <w:rsid w:val="47344472"/>
    <w:rsid w:val="474433F3"/>
    <w:rsid w:val="47496783"/>
    <w:rsid w:val="474B1C86"/>
    <w:rsid w:val="47630D4C"/>
    <w:rsid w:val="476A14DB"/>
    <w:rsid w:val="476A5FE9"/>
    <w:rsid w:val="4782435E"/>
    <w:rsid w:val="4790205D"/>
    <w:rsid w:val="479804CC"/>
    <w:rsid w:val="479B7F91"/>
    <w:rsid w:val="47A56E76"/>
    <w:rsid w:val="47AC0A26"/>
    <w:rsid w:val="47B75E90"/>
    <w:rsid w:val="47C03E43"/>
    <w:rsid w:val="47D74267"/>
    <w:rsid w:val="48082BD4"/>
    <w:rsid w:val="483319A6"/>
    <w:rsid w:val="483413B6"/>
    <w:rsid w:val="48383932"/>
    <w:rsid w:val="48490A61"/>
    <w:rsid w:val="48542967"/>
    <w:rsid w:val="4855281B"/>
    <w:rsid w:val="487657D6"/>
    <w:rsid w:val="488E29E8"/>
    <w:rsid w:val="48A57A1A"/>
    <w:rsid w:val="48A95482"/>
    <w:rsid w:val="48D664FA"/>
    <w:rsid w:val="48F510A4"/>
    <w:rsid w:val="49001E86"/>
    <w:rsid w:val="49081412"/>
    <w:rsid w:val="490B081A"/>
    <w:rsid w:val="49172B6D"/>
    <w:rsid w:val="4924150C"/>
    <w:rsid w:val="492A223F"/>
    <w:rsid w:val="49465201"/>
    <w:rsid w:val="494B2817"/>
    <w:rsid w:val="49500C1A"/>
    <w:rsid w:val="495B1646"/>
    <w:rsid w:val="496D50BB"/>
    <w:rsid w:val="49831FB1"/>
    <w:rsid w:val="49834DA9"/>
    <w:rsid w:val="498E1308"/>
    <w:rsid w:val="498E392B"/>
    <w:rsid w:val="49953FD2"/>
    <w:rsid w:val="499E6DEB"/>
    <w:rsid w:val="49A67FEA"/>
    <w:rsid w:val="49B42357"/>
    <w:rsid w:val="49BC3715"/>
    <w:rsid w:val="49BE170B"/>
    <w:rsid w:val="49C60D15"/>
    <w:rsid w:val="49CC282C"/>
    <w:rsid w:val="49CE19A5"/>
    <w:rsid w:val="49D14C7B"/>
    <w:rsid w:val="49EE2E55"/>
    <w:rsid w:val="49F64E88"/>
    <w:rsid w:val="49FE3D2D"/>
    <w:rsid w:val="4A0B5680"/>
    <w:rsid w:val="4A442DE8"/>
    <w:rsid w:val="4A4C3C76"/>
    <w:rsid w:val="4A582F08"/>
    <w:rsid w:val="4A586086"/>
    <w:rsid w:val="4A5B47E7"/>
    <w:rsid w:val="4A5C19ED"/>
    <w:rsid w:val="4A655FC5"/>
    <w:rsid w:val="4A713EF7"/>
    <w:rsid w:val="4A71669A"/>
    <w:rsid w:val="4A990DB8"/>
    <w:rsid w:val="4A9A1CA8"/>
    <w:rsid w:val="4AB30EDE"/>
    <w:rsid w:val="4ACE7349"/>
    <w:rsid w:val="4AE87797"/>
    <w:rsid w:val="4AEA5999"/>
    <w:rsid w:val="4B0A392B"/>
    <w:rsid w:val="4B100A0B"/>
    <w:rsid w:val="4B140282"/>
    <w:rsid w:val="4B315A3D"/>
    <w:rsid w:val="4B341F77"/>
    <w:rsid w:val="4B383175"/>
    <w:rsid w:val="4B3F27FC"/>
    <w:rsid w:val="4B4C4394"/>
    <w:rsid w:val="4B536B77"/>
    <w:rsid w:val="4B58121B"/>
    <w:rsid w:val="4B616322"/>
    <w:rsid w:val="4B791C54"/>
    <w:rsid w:val="4B7B039D"/>
    <w:rsid w:val="4B7D207A"/>
    <w:rsid w:val="4B875EB6"/>
    <w:rsid w:val="4B8D42B7"/>
    <w:rsid w:val="4B8F0711"/>
    <w:rsid w:val="4B982295"/>
    <w:rsid w:val="4B9F639D"/>
    <w:rsid w:val="4BA10E14"/>
    <w:rsid w:val="4BB308C1"/>
    <w:rsid w:val="4BBC3115"/>
    <w:rsid w:val="4BE66A21"/>
    <w:rsid w:val="4C3D761E"/>
    <w:rsid w:val="4C3F21A1"/>
    <w:rsid w:val="4C4658B1"/>
    <w:rsid w:val="4C4B0D80"/>
    <w:rsid w:val="4C657AAE"/>
    <w:rsid w:val="4C660855"/>
    <w:rsid w:val="4C6C226D"/>
    <w:rsid w:val="4C744CC4"/>
    <w:rsid w:val="4C7D1FFD"/>
    <w:rsid w:val="4C83676C"/>
    <w:rsid w:val="4C8A275C"/>
    <w:rsid w:val="4C8C446E"/>
    <w:rsid w:val="4C8C4B93"/>
    <w:rsid w:val="4CA97B54"/>
    <w:rsid w:val="4CC43F81"/>
    <w:rsid w:val="4CC528E0"/>
    <w:rsid w:val="4CC74F06"/>
    <w:rsid w:val="4CD377AA"/>
    <w:rsid w:val="4CE51F37"/>
    <w:rsid w:val="4CF5763E"/>
    <w:rsid w:val="4D027691"/>
    <w:rsid w:val="4D1400D2"/>
    <w:rsid w:val="4D1B6B8E"/>
    <w:rsid w:val="4D1E7969"/>
    <w:rsid w:val="4D234081"/>
    <w:rsid w:val="4D2A0882"/>
    <w:rsid w:val="4D3951FB"/>
    <w:rsid w:val="4D3F7CBF"/>
    <w:rsid w:val="4D473FC5"/>
    <w:rsid w:val="4D4D4DDF"/>
    <w:rsid w:val="4D555A6E"/>
    <w:rsid w:val="4D6D4C62"/>
    <w:rsid w:val="4D84279B"/>
    <w:rsid w:val="4DA65831"/>
    <w:rsid w:val="4DAC647D"/>
    <w:rsid w:val="4DC46301"/>
    <w:rsid w:val="4DCD6596"/>
    <w:rsid w:val="4DEE1040"/>
    <w:rsid w:val="4DEF23EA"/>
    <w:rsid w:val="4DF036EE"/>
    <w:rsid w:val="4DF71CA3"/>
    <w:rsid w:val="4DF807D9"/>
    <w:rsid w:val="4DFE3CC8"/>
    <w:rsid w:val="4E096817"/>
    <w:rsid w:val="4E1230AB"/>
    <w:rsid w:val="4E3450DC"/>
    <w:rsid w:val="4E3F7ECE"/>
    <w:rsid w:val="4E4E418E"/>
    <w:rsid w:val="4E5B79A0"/>
    <w:rsid w:val="4E6B74B7"/>
    <w:rsid w:val="4E7E368F"/>
    <w:rsid w:val="4E8167AD"/>
    <w:rsid w:val="4E8A5331"/>
    <w:rsid w:val="4E93713A"/>
    <w:rsid w:val="4EA902EC"/>
    <w:rsid w:val="4EAD5D22"/>
    <w:rsid w:val="4EAF2828"/>
    <w:rsid w:val="4ED107DE"/>
    <w:rsid w:val="4EDD2163"/>
    <w:rsid w:val="4EDE412D"/>
    <w:rsid w:val="4EE058CB"/>
    <w:rsid w:val="4EF8069D"/>
    <w:rsid w:val="4EFF706A"/>
    <w:rsid w:val="4F0A7123"/>
    <w:rsid w:val="4F0B5C52"/>
    <w:rsid w:val="4F0F2539"/>
    <w:rsid w:val="4F2A3762"/>
    <w:rsid w:val="4F2E0DB1"/>
    <w:rsid w:val="4F360EA8"/>
    <w:rsid w:val="4F42646A"/>
    <w:rsid w:val="4F802128"/>
    <w:rsid w:val="4F871206"/>
    <w:rsid w:val="4F8B568E"/>
    <w:rsid w:val="4FA56238"/>
    <w:rsid w:val="4FA904C1"/>
    <w:rsid w:val="4FD07817"/>
    <w:rsid w:val="4FD41C1D"/>
    <w:rsid w:val="4FD64C5B"/>
    <w:rsid w:val="4FE0099B"/>
    <w:rsid w:val="4FE30C63"/>
    <w:rsid w:val="4FED2322"/>
    <w:rsid w:val="4FFD53C6"/>
    <w:rsid w:val="501040B3"/>
    <w:rsid w:val="50213603"/>
    <w:rsid w:val="50321789"/>
    <w:rsid w:val="50353485"/>
    <w:rsid w:val="503D1B16"/>
    <w:rsid w:val="503E1327"/>
    <w:rsid w:val="50487AB0"/>
    <w:rsid w:val="50795316"/>
    <w:rsid w:val="50812FC2"/>
    <w:rsid w:val="508E47DC"/>
    <w:rsid w:val="5099655E"/>
    <w:rsid w:val="509E1DC6"/>
    <w:rsid w:val="50A90064"/>
    <w:rsid w:val="50AE3F83"/>
    <w:rsid w:val="50CF7A4B"/>
    <w:rsid w:val="50E92709"/>
    <w:rsid w:val="50FD7AEE"/>
    <w:rsid w:val="51145515"/>
    <w:rsid w:val="511A741E"/>
    <w:rsid w:val="51354115"/>
    <w:rsid w:val="5137564E"/>
    <w:rsid w:val="514E0A72"/>
    <w:rsid w:val="51576FE4"/>
    <w:rsid w:val="515D338B"/>
    <w:rsid w:val="51712933"/>
    <w:rsid w:val="519F488C"/>
    <w:rsid w:val="51C5493F"/>
    <w:rsid w:val="51CA5F3D"/>
    <w:rsid w:val="520713EF"/>
    <w:rsid w:val="520923F4"/>
    <w:rsid w:val="520934A3"/>
    <w:rsid w:val="5222282D"/>
    <w:rsid w:val="52257550"/>
    <w:rsid w:val="522762D7"/>
    <w:rsid w:val="52302A27"/>
    <w:rsid w:val="523742BD"/>
    <w:rsid w:val="52450012"/>
    <w:rsid w:val="52547F54"/>
    <w:rsid w:val="5265033A"/>
    <w:rsid w:val="527F07B8"/>
    <w:rsid w:val="528A0778"/>
    <w:rsid w:val="529320FE"/>
    <w:rsid w:val="5296438C"/>
    <w:rsid w:val="52990A97"/>
    <w:rsid w:val="529A6D62"/>
    <w:rsid w:val="529D4EC7"/>
    <w:rsid w:val="529E7DC9"/>
    <w:rsid w:val="52A1157D"/>
    <w:rsid w:val="52AF02BB"/>
    <w:rsid w:val="52DE4780"/>
    <w:rsid w:val="52F43F1F"/>
    <w:rsid w:val="53004672"/>
    <w:rsid w:val="530B2D71"/>
    <w:rsid w:val="530C4EFF"/>
    <w:rsid w:val="530D3EEC"/>
    <w:rsid w:val="53194965"/>
    <w:rsid w:val="532452B2"/>
    <w:rsid w:val="532838FB"/>
    <w:rsid w:val="533237C4"/>
    <w:rsid w:val="53331AF6"/>
    <w:rsid w:val="5333550F"/>
    <w:rsid w:val="534357AA"/>
    <w:rsid w:val="5345477B"/>
    <w:rsid w:val="534E3B3B"/>
    <w:rsid w:val="535B4CF0"/>
    <w:rsid w:val="53693CDD"/>
    <w:rsid w:val="536E2D48"/>
    <w:rsid w:val="53707087"/>
    <w:rsid w:val="538006C3"/>
    <w:rsid w:val="538A5F1E"/>
    <w:rsid w:val="539C576C"/>
    <w:rsid w:val="53AA6453"/>
    <w:rsid w:val="53BA08AE"/>
    <w:rsid w:val="53BA25AE"/>
    <w:rsid w:val="53BC278B"/>
    <w:rsid w:val="53D146C7"/>
    <w:rsid w:val="53D37FAD"/>
    <w:rsid w:val="53D53162"/>
    <w:rsid w:val="5400093A"/>
    <w:rsid w:val="540F6177"/>
    <w:rsid w:val="54103BF9"/>
    <w:rsid w:val="54120B01"/>
    <w:rsid w:val="54140080"/>
    <w:rsid w:val="541859EC"/>
    <w:rsid w:val="541A1B62"/>
    <w:rsid w:val="541A5C08"/>
    <w:rsid w:val="54206F68"/>
    <w:rsid w:val="542D60E1"/>
    <w:rsid w:val="543B6670"/>
    <w:rsid w:val="543C16DA"/>
    <w:rsid w:val="543E150A"/>
    <w:rsid w:val="544A4CD7"/>
    <w:rsid w:val="54503E85"/>
    <w:rsid w:val="546E7D01"/>
    <w:rsid w:val="54760CFA"/>
    <w:rsid w:val="547747B8"/>
    <w:rsid w:val="547F24EC"/>
    <w:rsid w:val="54957D5F"/>
    <w:rsid w:val="54B972CF"/>
    <w:rsid w:val="54BC2A4B"/>
    <w:rsid w:val="54E164AC"/>
    <w:rsid w:val="551B6B41"/>
    <w:rsid w:val="552227BC"/>
    <w:rsid w:val="55230827"/>
    <w:rsid w:val="552968C4"/>
    <w:rsid w:val="553A331E"/>
    <w:rsid w:val="553E2FE6"/>
    <w:rsid w:val="55411377"/>
    <w:rsid w:val="5552752B"/>
    <w:rsid w:val="55671C2C"/>
    <w:rsid w:val="55781EC6"/>
    <w:rsid w:val="55825812"/>
    <w:rsid w:val="55992746"/>
    <w:rsid w:val="55A15285"/>
    <w:rsid w:val="55A41882"/>
    <w:rsid w:val="55A96275"/>
    <w:rsid w:val="55AE7D4E"/>
    <w:rsid w:val="55B31E70"/>
    <w:rsid w:val="55C05B3D"/>
    <w:rsid w:val="55C4667E"/>
    <w:rsid w:val="55C51BA3"/>
    <w:rsid w:val="55C9649C"/>
    <w:rsid w:val="55CC4CE0"/>
    <w:rsid w:val="55DA41BD"/>
    <w:rsid w:val="56063D5E"/>
    <w:rsid w:val="561346BC"/>
    <w:rsid w:val="5625421C"/>
    <w:rsid w:val="562E14F6"/>
    <w:rsid w:val="563C1E65"/>
    <w:rsid w:val="563D5BDD"/>
    <w:rsid w:val="564306A0"/>
    <w:rsid w:val="564E3912"/>
    <w:rsid w:val="564F4128"/>
    <w:rsid w:val="565076BF"/>
    <w:rsid w:val="565B2641"/>
    <w:rsid w:val="565D3B8A"/>
    <w:rsid w:val="56617B1E"/>
    <w:rsid w:val="56625644"/>
    <w:rsid w:val="56884039"/>
    <w:rsid w:val="569B59A6"/>
    <w:rsid w:val="56A62938"/>
    <w:rsid w:val="56B22B23"/>
    <w:rsid w:val="56C94B53"/>
    <w:rsid w:val="56E6209D"/>
    <w:rsid w:val="56EA4326"/>
    <w:rsid w:val="5700697B"/>
    <w:rsid w:val="570D57DF"/>
    <w:rsid w:val="57132F95"/>
    <w:rsid w:val="572664EB"/>
    <w:rsid w:val="572D4E3F"/>
    <w:rsid w:val="572D56F6"/>
    <w:rsid w:val="572F3796"/>
    <w:rsid w:val="5732287F"/>
    <w:rsid w:val="573C5E95"/>
    <w:rsid w:val="573D052D"/>
    <w:rsid w:val="57452597"/>
    <w:rsid w:val="574A2360"/>
    <w:rsid w:val="57606393"/>
    <w:rsid w:val="57733E7E"/>
    <w:rsid w:val="577B69BD"/>
    <w:rsid w:val="57871C26"/>
    <w:rsid w:val="57894A0E"/>
    <w:rsid w:val="57A23F4A"/>
    <w:rsid w:val="57A77F5C"/>
    <w:rsid w:val="57C02302"/>
    <w:rsid w:val="57C63600"/>
    <w:rsid w:val="57D83FAF"/>
    <w:rsid w:val="57E148BE"/>
    <w:rsid w:val="57E8417C"/>
    <w:rsid w:val="581D479D"/>
    <w:rsid w:val="582B03E3"/>
    <w:rsid w:val="582F7230"/>
    <w:rsid w:val="583077A8"/>
    <w:rsid w:val="58315DB1"/>
    <w:rsid w:val="58430210"/>
    <w:rsid w:val="584B2834"/>
    <w:rsid w:val="585838C1"/>
    <w:rsid w:val="58606A21"/>
    <w:rsid w:val="5863214C"/>
    <w:rsid w:val="58663849"/>
    <w:rsid w:val="58717162"/>
    <w:rsid w:val="58857496"/>
    <w:rsid w:val="58A81A34"/>
    <w:rsid w:val="58B96227"/>
    <w:rsid w:val="58E30CBE"/>
    <w:rsid w:val="58ED44C3"/>
    <w:rsid w:val="58FB7FA9"/>
    <w:rsid w:val="5917729E"/>
    <w:rsid w:val="5943175D"/>
    <w:rsid w:val="5947124D"/>
    <w:rsid w:val="59617E35"/>
    <w:rsid w:val="59647B33"/>
    <w:rsid w:val="596C7E01"/>
    <w:rsid w:val="597927F1"/>
    <w:rsid w:val="597F1615"/>
    <w:rsid w:val="59801346"/>
    <w:rsid w:val="599124C8"/>
    <w:rsid w:val="59A47948"/>
    <w:rsid w:val="59B447B9"/>
    <w:rsid w:val="59D423B5"/>
    <w:rsid w:val="59DC43D8"/>
    <w:rsid w:val="5A040EEC"/>
    <w:rsid w:val="5A22286F"/>
    <w:rsid w:val="5A270225"/>
    <w:rsid w:val="5A400973"/>
    <w:rsid w:val="5A685562"/>
    <w:rsid w:val="5A737DB0"/>
    <w:rsid w:val="5A7747D4"/>
    <w:rsid w:val="5A7F451A"/>
    <w:rsid w:val="5A8A0F99"/>
    <w:rsid w:val="5A924D04"/>
    <w:rsid w:val="5AA549B2"/>
    <w:rsid w:val="5AB51DDE"/>
    <w:rsid w:val="5ADC7386"/>
    <w:rsid w:val="5ADF54B5"/>
    <w:rsid w:val="5AF77D8C"/>
    <w:rsid w:val="5B117F79"/>
    <w:rsid w:val="5B215ACE"/>
    <w:rsid w:val="5B21787C"/>
    <w:rsid w:val="5B5104F9"/>
    <w:rsid w:val="5B584E6A"/>
    <w:rsid w:val="5B5D0855"/>
    <w:rsid w:val="5B654DE1"/>
    <w:rsid w:val="5B7D50AA"/>
    <w:rsid w:val="5B817F90"/>
    <w:rsid w:val="5B99417E"/>
    <w:rsid w:val="5BAC4E3A"/>
    <w:rsid w:val="5BBD471D"/>
    <w:rsid w:val="5BC87CA3"/>
    <w:rsid w:val="5BD347B4"/>
    <w:rsid w:val="5BF65C6D"/>
    <w:rsid w:val="5C012B8C"/>
    <w:rsid w:val="5C362AF4"/>
    <w:rsid w:val="5C3B6CBD"/>
    <w:rsid w:val="5C3E4720"/>
    <w:rsid w:val="5C526BB4"/>
    <w:rsid w:val="5C5B3413"/>
    <w:rsid w:val="5C615D0C"/>
    <w:rsid w:val="5C6851C3"/>
    <w:rsid w:val="5C694A3B"/>
    <w:rsid w:val="5C7A5495"/>
    <w:rsid w:val="5C936557"/>
    <w:rsid w:val="5C9B09C7"/>
    <w:rsid w:val="5CAD579C"/>
    <w:rsid w:val="5CB660AB"/>
    <w:rsid w:val="5CB815AE"/>
    <w:rsid w:val="5CC85BD5"/>
    <w:rsid w:val="5CD24D65"/>
    <w:rsid w:val="5CDC5954"/>
    <w:rsid w:val="5CE018DD"/>
    <w:rsid w:val="5CEB5280"/>
    <w:rsid w:val="5D0403A9"/>
    <w:rsid w:val="5D153EC6"/>
    <w:rsid w:val="5D1928CC"/>
    <w:rsid w:val="5D1B01A7"/>
    <w:rsid w:val="5D317F73"/>
    <w:rsid w:val="5D3C6BEF"/>
    <w:rsid w:val="5D4C4020"/>
    <w:rsid w:val="5D530128"/>
    <w:rsid w:val="5D5B7D4A"/>
    <w:rsid w:val="5D602734"/>
    <w:rsid w:val="5D6A35D0"/>
    <w:rsid w:val="5D7209DD"/>
    <w:rsid w:val="5D916F3A"/>
    <w:rsid w:val="5DA46C2D"/>
    <w:rsid w:val="5DB554E1"/>
    <w:rsid w:val="5DBA0DD1"/>
    <w:rsid w:val="5DE233F0"/>
    <w:rsid w:val="5DE52DE2"/>
    <w:rsid w:val="5DE80B25"/>
    <w:rsid w:val="5DF04B2E"/>
    <w:rsid w:val="5E0314BA"/>
    <w:rsid w:val="5E0324CA"/>
    <w:rsid w:val="5E074110"/>
    <w:rsid w:val="5E0854EE"/>
    <w:rsid w:val="5E0B78D6"/>
    <w:rsid w:val="5E214762"/>
    <w:rsid w:val="5E6200F2"/>
    <w:rsid w:val="5E6E3F84"/>
    <w:rsid w:val="5E6F4DA2"/>
    <w:rsid w:val="5E8E1E7B"/>
    <w:rsid w:val="5E933865"/>
    <w:rsid w:val="5E987E55"/>
    <w:rsid w:val="5E9D308B"/>
    <w:rsid w:val="5EAB5261"/>
    <w:rsid w:val="5EAF3C67"/>
    <w:rsid w:val="5EB1181D"/>
    <w:rsid w:val="5EBC03E1"/>
    <w:rsid w:val="5EBF1885"/>
    <w:rsid w:val="5EC23124"/>
    <w:rsid w:val="5EC33BF1"/>
    <w:rsid w:val="5EC52109"/>
    <w:rsid w:val="5ECB0602"/>
    <w:rsid w:val="5EDC6635"/>
    <w:rsid w:val="5EDF242A"/>
    <w:rsid w:val="5EE04437"/>
    <w:rsid w:val="5EEC4CC9"/>
    <w:rsid w:val="5EF03EB9"/>
    <w:rsid w:val="5EF85E29"/>
    <w:rsid w:val="5EFC424F"/>
    <w:rsid w:val="5F0E1A83"/>
    <w:rsid w:val="5F29359B"/>
    <w:rsid w:val="5F387DD8"/>
    <w:rsid w:val="5F3F4450"/>
    <w:rsid w:val="5F610F9A"/>
    <w:rsid w:val="5F6601DC"/>
    <w:rsid w:val="5F712D16"/>
    <w:rsid w:val="5F782C2C"/>
    <w:rsid w:val="5F8416C1"/>
    <w:rsid w:val="5F88611B"/>
    <w:rsid w:val="5F8902CA"/>
    <w:rsid w:val="5F925D02"/>
    <w:rsid w:val="5FA6205D"/>
    <w:rsid w:val="5FA93E7F"/>
    <w:rsid w:val="5FB92779"/>
    <w:rsid w:val="5FBD7E8C"/>
    <w:rsid w:val="5FC72CEE"/>
    <w:rsid w:val="5FD27242"/>
    <w:rsid w:val="5FE17054"/>
    <w:rsid w:val="5FF04AF3"/>
    <w:rsid w:val="6001450E"/>
    <w:rsid w:val="60056797"/>
    <w:rsid w:val="6012222A"/>
    <w:rsid w:val="602B5EDC"/>
    <w:rsid w:val="602C20DD"/>
    <w:rsid w:val="603C0E70"/>
    <w:rsid w:val="60442474"/>
    <w:rsid w:val="60452D1D"/>
    <w:rsid w:val="60472A84"/>
    <w:rsid w:val="604A1623"/>
    <w:rsid w:val="60636B31"/>
    <w:rsid w:val="60687CFB"/>
    <w:rsid w:val="606964BC"/>
    <w:rsid w:val="606A3F3D"/>
    <w:rsid w:val="607B5C80"/>
    <w:rsid w:val="60844AE7"/>
    <w:rsid w:val="60964868"/>
    <w:rsid w:val="609C218E"/>
    <w:rsid w:val="609F63E4"/>
    <w:rsid w:val="60B12374"/>
    <w:rsid w:val="60B12B22"/>
    <w:rsid w:val="60B92304"/>
    <w:rsid w:val="60BD2FE8"/>
    <w:rsid w:val="60BE39C7"/>
    <w:rsid w:val="60CB5CDD"/>
    <w:rsid w:val="60D45B6B"/>
    <w:rsid w:val="60FB571C"/>
    <w:rsid w:val="610E11C8"/>
    <w:rsid w:val="610E2650"/>
    <w:rsid w:val="61177267"/>
    <w:rsid w:val="611C7D9F"/>
    <w:rsid w:val="6142679E"/>
    <w:rsid w:val="61623A9A"/>
    <w:rsid w:val="617519E8"/>
    <w:rsid w:val="6182776A"/>
    <w:rsid w:val="618A7FBC"/>
    <w:rsid w:val="618E3791"/>
    <w:rsid w:val="61B42655"/>
    <w:rsid w:val="61B473D7"/>
    <w:rsid w:val="61C55F03"/>
    <w:rsid w:val="61DC274E"/>
    <w:rsid w:val="61E01520"/>
    <w:rsid w:val="61EB04E9"/>
    <w:rsid w:val="621825F1"/>
    <w:rsid w:val="621D7EEF"/>
    <w:rsid w:val="622F4266"/>
    <w:rsid w:val="622F7878"/>
    <w:rsid w:val="62390CB6"/>
    <w:rsid w:val="623D18BA"/>
    <w:rsid w:val="62462A72"/>
    <w:rsid w:val="624C1ED5"/>
    <w:rsid w:val="6259166C"/>
    <w:rsid w:val="6267095F"/>
    <w:rsid w:val="626A1485"/>
    <w:rsid w:val="626A1B08"/>
    <w:rsid w:val="62846CDE"/>
    <w:rsid w:val="62894684"/>
    <w:rsid w:val="62A42D3A"/>
    <w:rsid w:val="62B95A2A"/>
    <w:rsid w:val="62D00E29"/>
    <w:rsid w:val="62E47B0C"/>
    <w:rsid w:val="62EA6460"/>
    <w:rsid w:val="63030F14"/>
    <w:rsid w:val="63185A08"/>
    <w:rsid w:val="63375355"/>
    <w:rsid w:val="634A2CF1"/>
    <w:rsid w:val="63607EDD"/>
    <w:rsid w:val="637C0957"/>
    <w:rsid w:val="63806113"/>
    <w:rsid w:val="638A3ADA"/>
    <w:rsid w:val="63942F1D"/>
    <w:rsid w:val="639D7CBB"/>
    <w:rsid w:val="63AA400F"/>
    <w:rsid w:val="63D25CA3"/>
    <w:rsid w:val="63D26110"/>
    <w:rsid w:val="63D57637"/>
    <w:rsid w:val="63E477B4"/>
    <w:rsid w:val="63ED6827"/>
    <w:rsid w:val="63F10007"/>
    <w:rsid w:val="64087C2C"/>
    <w:rsid w:val="64137953"/>
    <w:rsid w:val="64432E01"/>
    <w:rsid w:val="6453132F"/>
    <w:rsid w:val="64541E2E"/>
    <w:rsid w:val="6470710A"/>
    <w:rsid w:val="649B6252"/>
    <w:rsid w:val="64A036C7"/>
    <w:rsid w:val="64C22BED"/>
    <w:rsid w:val="64D82908"/>
    <w:rsid w:val="64D91523"/>
    <w:rsid w:val="64DB2E27"/>
    <w:rsid w:val="64EC5F80"/>
    <w:rsid w:val="65067B4F"/>
    <w:rsid w:val="650E0A5D"/>
    <w:rsid w:val="652F708D"/>
    <w:rsid w:val="654B1ECF"/>
    <w:rsid w:val="65585BAA"/>
    <w:rsid w:val="655A76EB"/>
    <w:rsid w:val="65622439"/>
    <w:rsid w:val="656E52FB"/>
    <w:rsid w:val="65811A17"/>
    <w:rsid w:val="658D680B"/>
    <w:rsid w:val="659D4F99"/>
    <w:rsid w:val="65A12770"/>
    <w:rsid w:val="65AC43BC"/>
    <w:rsid w:val="65EC32C5"/>
    <w:rsid w:val="65F841B4"/>
    <w:rsid w:val="65F94B59"/>
    <w:rsid w:val="66035B03"/>
    <w:rsid w:val="660364FC"/>
    <w:rsid w:val="661462F7"/>
    <w:rsid w:val="66150AEC"/>
    <w:rsid w:val="662446C4"/>
    <w:rsid w:val="66495ED8"/>
    <w:rsid w:val="6650158D"/>
    <w:rsid w:val="66535226"/>
    <w:rsid w:val="665A22F4"/>
    <w:rsid w:val="666B5E4F"/>
    <w:rsid w:val="66770CAA"/>
    <w:rsid w:val="668B5CC3"/>
    <w:rsid w:val="66901A75"/>
    <w:rsid w:val="66AA0200"/>
    <w:rsid w:val="66B06886"/>
    <w:rsid w:val="66D238E8"/>
    <w:rsid w:val="66E30E48"/>
    <w:rsid w:val="66FA1C23"/>
    <w:rsid w:val="67010AE3"/>
    <w:rsid w:val="670B371C"/>
    <w:rsid w:val="670F1CAF"/>
    <w:rsid w:val="670F7F24"/>
    <w:rsid w:val="67110EA9"/>
    <w:rsid w:val="67251571"/>
    <w:rsid w:val="672542C6"/>
    <w:rsid w:val="67322B5A"/>
    <w:rsid w:val="67352362"/>
    <w:rsid w:val="67410373"/>
    <w:rsid w:val="67433876"/>
    <w:rsid w:val="676D5D3F"/>
    <w:rsid w:val="677B47B7"/>
    <w:rsid w:val="6783286B"/>
    <w:rsid w:val="678A5539"/>
    <w:rsid w:val="6794124F"/>
    <w:rsid w:val="67AD5132"/>
    <w:rsid w:val="67C373D8"/>
    <w:rsid w:val="67DB42ED"/>
    <w:rsid w:val="67DD4F5A"/>
    <w:rsid w:val="67E62186"/>
    <w:rsid w:val="67EA5309"/>
    <w:rsid w:val="67EE40CD"/>
    <w:rsid w:val="67F035BE"/>
    <w:rsid w:val="67F22715"/>
    <w:rsid w:val="67FD51CC"/>
    <w:rsid w:val="68002120"/>
    <w:rsid w:val="680447AD"/>
    <w:rsid w:val="68075EEC"/>
    <w:rsid w:val="68183231"/>
    <w:rsid w:val="68423799"/>
    <w:rsid w:val="684D1CB0"/>
    <w:rsid w:val="68695ADC"/>
    <w:rsid w:val="687112E4"/>
    <w:rsid w:val="68811569"/>
    <w:rsid w:val="688D5AAB"/>
    <w:rsid w:val="689864E7"/>
    <w:rsid w:val="689F47D3"/>
    <w:rsid w:val="68C27F38"/>
    <w:rsid w:val="68C83A2C"/>
    <w:rsid w:val="68E814B4"/>
    <w:rsid w:val="68F44821"/>
    <w:rsid w:val="68F91EAB"/>
    <w:rsid w:val="690A6A65"/>
    <w:rsid w:val="69121E3A"/>
    <w:rsid w:val="69154D60"/>
    <w:rsid w:val="691D7C84"/>
    <w:rsid w:val="691F4D9F"/>
    <w:rsid w:val="69206401"/>
    <w:rsid w:val="69360996"/>
    <w:rsid w:val="6945507D"/>
    <w:rsid w:val="694655C5"/>
    <w:rsid w:val="694A6DBA"/>
    <w:rsid w:val="69513A22"/>
    <w:rsid w:val="69701C8D"/>
    <w:rsid w:val="69723EB6"/>
    <w:rsid w:val="69732C11"/>
    <w:rsid w:val="699243C0"/>
    <w:rsid w:val="699954C4"/>
    <w:rsid w:val="699D36D6"/>
    <w:rsid w:val="69A7578F"/>
    <w:rsid w:val="69B02560"/>
    <w:rsid w:val="69B779BF"/>
    <w:rsid w:val="69C21B11"/>
    <w:rsid w:val="69CD7FDE"/>
    <w:rsid w:val="69DC2306"/>
    <w:rsid w:val="69F0323B"/>
    <w:rsid w:val="6A07214F"/>
    <w:rsid w:val="6A097C8B"/>
    <w:rsid w:val="6A0B4089"/>
    <w:rsid w:val="6A1E7827"/>
    <w:rsid w:val="6A2E2210"/>
    <w:rsid w:val="6A2F7723"/>
    <w:rsid w:val="6A3655C4"/>
    <w:rsid w:val="6A3A1355"/>
    <w:rsid w:val="6A6F632C"/>
    <w:rsid w:val="6A7E510F"/>
    <w:rsid w:val="6A8120E5"/>
    <w:rsid w:val="6A94006A"/>
    <w:rsid w:val="6A9F44B9"/>
    <w:rsid w:val="6AA9740B"/>
    <w:rsid w:val="6ABB21A6"/>
    <w:rsid w:val="6AC02C0D"/>
    <w:rsid w:val="6ACD532A"/>
    <w:rsid w:val="6ACE0CEA"/>
    <w:rsid w:val="6ACE1BC9"/>
    <w:rsid w:val="6ADB2F03"/>
    <w:rsid w:val="6AE2354A"/>
    <w:rsid w:val="6AE306AA"/>
    <w:rsid w:val="6AEB5722"/>
    <w:rsid w:val="6AF8649D"/>
    <w:rsid w:val="6AFA7A77"/>
    <w:rsid w:val="6AFB24CA"/>
    <w:rsid w:val="6AFF2463"/>
    <w:rsid w:val="6B0874EA"/>
    <w:rsid w:val="6B1D20DD"/>
    <w:rsid w:val="6B1F10AD"/>
    <w:rsid w:val="6B2036C3"/>
    <w:rsid w:val="6B22477C"/>
    <w:rsid w:val="6B2C79E4"/>
    <w:rsid w:val="6B320A31"/>
    <w:rsid w:val="6B3555BC"/>
    <w:rsid w:val="6B491DA4"/>
    <w:rsid w:val="6B594672"/>
    <w:rsid w:val="6B5C220A"/>
    <w:rsid w:val="6B5D28FD"/>
    <w:rsid w:val="6B5E4D2E"/>
    <w:rsid w:val="6B7113D2"/>
    <w:rsid w:val="6B75365C"/>
    <w:rsid w:val="6B8B79FD"/>
    <w:rsid w:val="6BB05F5F"/>
    <w:rsid w:val="6BE116D3"/>
    <w:rsid w:val="6BF07522"/>
    <w:rsid w:val="6BFB5EC7"/>
    <w:rsid w:val="6BFB6DB8"/>
    <w:rsid w:val="6C164AAF"/>
    <w:rsid w:val="6C2A7865"/>
    <w:rsid w:val="6C2C6080"/>
    <w:rsid w:val="6C366319"/>
    <w:rsid w:val="6C506213"/>
    <w:rsid w:val="6C507FC1"/>
    <w:rsid w:val="6C5D5B58"/>
    <w:rsid w:val="6C620EF9"/>
    <w:rsid w:val="6C670665"/>
    <w:rsid w:val="6C6A54FD"/>
    <w:rsid w:val="6C737CFB"/>
    <w:rsid w:val="6C950FE9"/>
    <w:rsid w:val="6C983716"/>
    <w:rsid w:val="6CCB618B"/>
    <w:rsid w:val="6CF02B48"/>
    <w:rsid w:val="6CF6746A"/>
    <w:rsid w:val="6D0668D1"/>
    <w:rsid w:val="6D1055FB"/>
    <w:rsid w:val="6D127D3D"/>
    <w:rsid w:val="6D2178F3"/>
    <w:rsid w:val="6D22461C"/>
    <w:rsid w:val="6D2D03F9"/>
    <w:rsid w:val="6D455BB8"/>
    <w:rsid w:val="6D660588"/>
    <w:rsid w:val="6D802B33"/>
    <w:rsid w:val="6D9767D9"/>
    <w:rsid w:val="6D9E588E"/>
    <w:rsid w:val="6DA94262"/>
    <w:rsid w:val="6DB70CB4"/>
    <w:rsid w:val="6DEE71E8"/>
    <w:rsid w:val="6DF67E77"/>
    <w:rsid w:val="6E094352"/>
    <w:rsid w:val="6E0A2C2C"/>
    <w:rsid w:val="6E135B2D"/>
    <w:rsid w:val="6E4E6307"/>
    <w:rsid w:val="6E520C8F"/>
    <w:rsid w:val="6E540211"/>
    <w:rsid w:val="6E5864AC"/>
    <w:rsid w:val="6E7579F1"/>
    <w:rsid w:val="6E873A42"/>
    <w:rsid w:val="6E92195E"/>
    <w:rsid w:val="6E9D66DB"/>
    <w:rsid w:val="6EA9791B"/>
    <w:rsid w:val="6EAD6321"/>
    <w:rsid w:val="6EC86534"/>
    <w:rsid w:val="6EEC1689"/>
    <w:rsid w:val="6F0C79BF"/>
    <w:rsid w:val="6F1277AF"/>
    <w:rsid w:val="6F1624CD"/>
    <w:rsid w:val="6F19182E"/>
    <w:rsid w:val="6F1C3800"/>
    <w:rsid w:val="6F1E7F02"/>
    <w:rsid w:val="6F3626B6"/>
    <w:rsid w:val="6F3F40AE"/>
    <w:rsid w:val="6F4656AB"/>
    <w:rsid w:val="6F815117"/>
    <w:rsid w:val="6FAD7EFC"/>
    <w:rsid w:val="6FDC6A13"/>
    <w:rsid w:val="70234308"/>
    <w:rsid w:val="702A2DF0"/>
    <w:rsid w:val="703F6560"/>
    <w:rsid w:val="705E5749"/>
    <w:rsid w:val="70650EF5"/>
    <w:rsid w:val="70763D6E"/>
    <w:rsid w:val="708020B9"/>
    <w:rsid w:val="708304A5"/>
    <w:rsid w:val="708F3F4F"/>
    <w:rsid w:val="709541F4"/>
    <w:rsid w:val="709771CD"/>
    <w:rsid w:val="70A64653"/>
    <w:rsid w:val="70B269EA"/>
    <w:rsid w:val="70D96BE4"/>
    <w:rsid w:val="70DA275C"/>
    <w:rsid w:val="70DB30B2"/>
    <w:rsid w:val="70DE3CFE"/>
    <w:rsid w:val="70E1568B"/>
    <w:rsid w:val="70F40DF1"/>
    <w:rsid w:val="70FD13AF"/>
    <w:rsid w:val="71155E1B"/>
    <w:rsid w:val="712447AC"/>
    <w:rsid w:val="71393588"/>
    <w:rsid w:val="714D6812"/>
    <w:rsid w:val="7170308B"/>
    <w:rsid w:val="717A2FBC"/>
    <w:rsid w:val="718E21F2"/>
    <w:rsid w:val="718E63D9"/>
    <w:rsid w:val="71971267"/>
    <w:rsid w:val="71995F66"/>
    <w:rsid w:val="719E503F"/>
    <w:rsid w:val="71A5799C"/>
    <w:rsid w:val="71AB3036"/>
    <w:rsid w:val="71AC3D91"/>
    <w:rsid w:val="71CC455D"/>
    <w:rsid w:val="71D62051"/>
    <w:rsid w:val="71E13469"/>
    <w:rsid w:val="71E65261"/>
    <w:rsid w:val="71E87D6D"/>
    <w:rsid w:val="71FF0740"/>
    <w:rsid w:val="71FF0BB1"/>
    <w:rsid w:val="7238693B"/>
    <w:rsid w:val="723D27EE"/>
    <w:rsid w:val="72534E9D"/>
    <w:rsid w:val="72606A84"/>
    <w:rsid w:val="726409BB"/>
    <w:rsid w:val="726D40E0"/>
    <w:rsid w:val="72804A68"/>
    <w:rsid w:val="72856C67"/>
    <w:rsid w:val="72896FE0"/>
    <w:rsid w:val="728E5F19"/>
    <w:rsid w:val="72907369"/>
    <w:rsid w:val="72A31F40"/>
    <w:rsid w:val="72BA3948"/>
    <w:rsid w:val="72C773DB"/>
    <w:rsid w:val="72E2393D"/>
    <w:rsid w:val="73013FCC"/>
    <w:rsid w:val="73027B3B"/>
    <w:rsid w:val="73047240"/>
    <w:rsid w:val="73085C46"/>
    <w:rsid w:val="73107052"/>
    <w:rsid w:val="7315161C"/>
    <w:rsid w:val="73221F8B"/>
    <w:rsid w:val="73223D39"/>
    <w:rsid w:val="73245D0B"/>
    <w:rsid w:val="73353A6C"/>
    <w:rsid w:val="73357A0F"/>
    <w:rsid w:val="733866F9"/>
    <w:rsid w:val="73547991"/>
    <w:rsid w:val="735B493E"/>
    <w:rsid w:val="736938A6"/>
    <w:rsid w:val="736D75D5"/>
    <w:rsid w:val="737732E3"/>
    <w:rsid w:val="73796EEC"/>
    <w:rsid w:val="73881963"/>
    <w:rsid w:val="738E6C88"/>
    <w:rsid w:val="739169F9"/>
    <w:rsid w:val="739D39C9"/>
    <w:rsid w:val="73A52AED"/>
    <w:rsid w:val="73AB46DB"/>
    <w:rsid w:val="73AD30E0"/>
    <w:rsid w:val="73C43DFB"/>
    <w:rsid w:val="73CD33BB"/>
    <w:rsid w:val="73EB05CF"/>
    <w:rsid w:val="73F25E01"/>
    <w:rsid w:val="73F44C19"/>
    <w:rsid w:val="74031DA5"/>
    <w:rsid w:val="7403497D"/>
    <w:rsid w:val="740C0C71"/>
    <w:rsid w:val="740C6947"/>
    <w:rsid w:val="742D4234"/>
    <w:rsid w:val="74326F65"/>
    <w:rsid w:val="743F4CBA"/>
    <w:rsid w:val="74404DBF"/>
    <w:rsid w:val="744765D2"/>
    <w:rsid w:val="74504A57"/>
    <w:rsid w:val="7473071B"/>
    <w:rsid w:val="7476258E"/>
    <w:rsid w:val="747E452E"/>
    <w:rsid w:val="748A000B"/>
    <w:rsid w:val="7490224A"/>
    <w:rsid w:val="749330FE"/>
    <w:rsid w:val="749331CE"/>
    <w:rsid w:val="74942EB6"/>
    <w:rsid w:val="749B3E5E"/>
    <w:rsid w:val="749E119A"/>
    <w:rsid w:val="74A356E3"/>
    <w:rsid w:val="74A37C5A"/>
    <w:rsid w:val="74AC1B7A"/>
    <w:rsid w:val="74D33EF6"/>
    <w:rsid w:val="74D81279"/>
    <w:rsid w:val="74DC4AE7"/>
    <w:rsid w:val="74DD4D68"/>
    <w:rsid w:val="74E1558B"/>
    <w:rsid w:val="74ED25E3"/>
    <w:rsid w:val="74F26A6B"/>
    <w:rsid w:val="75243D99"/>
    <w:rsid w:val="75247457"/>
    <w:rsid w:val="752C70F1"/>
    <w:rsid w:val="75427AEF"/>
    <w:rsid w:val="754B297D"/>
    <w:rsid w:val="75525581"/>
    <w:rsid w:val="7560709F"/>
    <w:rsid w:val="757356C1"/>
    <w:rsid w:val="75776CC4"/>
    <w:rsid w:val="7585337A"/>
    <w:rsid w:val="758B5965"/>
    <w:rsid w:val="759659DB"/>
    <w:rsid w:val="75A41F9F"/>
    <w:rsid w:val="75B456A9"/>
    <w:rsid w:val="75C03C40"/>
    <w:rsid w:val="75C404DC"/>
    <w:rsid w:val="75C50AA6"/>
    <w:rsid w:val="75D05CCE"/>
    <w:rsid w:val="75D94171"/>
    <w:rsid w:val="75E64D79"/>
    <w:rsid w:val="75EA51DF"/>
    <w:rsid w:val="75EB4A8F"/>
    <w:rsid w:val="76016C28"/>
    <w:rsid w:val="76051776"/>
    <w:rsid w:val="7605782D"/>
    <w:rsid w:val="760B6FB5"/>
    <w:rsid w:val="763B7D07"/>
    <w:rsid w:val="763E532E"/>
    <w:rsid w:val="76435113"/>
    <w:rsid w:val="76522B87"/>
    <w:rsid w:val="766F2EEF"/>
    <w:rsid w:val="76905212"/>
    <w:rsid w:val="769D4442"/>
    <w:rsid w:val="76AF515A"/>
    <w:rsid w:val="76B61F68"/>
    <w:rsid w:val="76CC1292"/>
    <w:rsid w:val="76D54682"/>
    <w:rsid w:val="76FC1094"/>
    <w:rsid w:val="770A5210"/>
    <w:rsid w:val="77210231"/>
    <w:rsid w:val="773D64AD"/>
    <w:rsid w:val="77437CF9"/>
    <w:rsid w:val="775D10E3"/>
    <w:rsid w:val="77723A3F"/>
    <w:rsid w:val="777703EE"/>
    <w:rsid w:val="77816A4D"/>
    <w:rsid w:val="77A33763"/>
    <w:rsid w:val="77B77A99"/>
    <w:rsid w:val="77CB1717"/>
    <w:rsid w:val="77D01510"/>
    <w:rsid w:val="77E2543A"/>
    <w:rsid w:val="77EF4B32"/>
    <w:rsid w:val="78023DEF"/>
    <w:rsid w:val="78203AD8"/>
    <w:rsid w:val="78342545"/>
    <w:rsid w:val="78437924"/>
    <w:rsid w:val="78447F3E"/>
    <w:rsid w:val="78450577"/>
    <w:rsid w:val="78531D63"/>
    <w:rsid w:val="785D6A87"/>
    <w:rsid w:val="78615D56"/>
    <w:rsid w:val="7879213E"/>
    <w:rsid w:val="788B24B4"/>
    <w:rsid w:val="789D304F"/>
    <w:rsid w:val="78A15077"/>
    <w:rsid w:val="78B54873"/>
    <w:rsid w:val="78BC2324"/>
    <w:rsid w:val="78C445BB"/>
    <w:rsid w:val="78C83AD2"/>
    <w:rsid w:val="78D21D5D"/>
    <w:rsid w:val="78DD2BDC"/>
    <w:rsid w:val="78F03A78"/>
    <w:rsid w:val="78F47F26"/>
    <w:rsid w:val="78F50C67"/>
    <w:rsid w:val="790106AE"/>
    <w:rsid w:val="790F0AA9"/>
    <w:rsid w:val="792E51E6"/>
    <w:rsid w:val="79306213"/>
    <w:rsid w:val="79395171"/>
    <w:rsid w:val="79424A2B"/>
    <w:rsid w:val="79516F63"/>
    <w:rsid w:val="79565544"/>
    <w:rsid w:val="795F53B0"/>
    <w:rsid w:val="79614697"/>
    <w:rsid w:val="796660A9"/>
    <w:rsid w:val="796946E1"/>
    <w:rsid w:val="796E1666"/>
    <w:rsid w:val="79777CC2"/>
    <w:rsid w:val="798A5C60"/>
    <w:rsid w:val="798F487B"/>
    <w:rsid w:val="79932EBA"/>
    <w:rsid w:val="79A07515"/>
    <w:rsid w:val="79A9103A"/>
    <w:rsid w:val="79AB36F9"/>
    <w:rsid w:val="79C51CFD"/>
    <w:rsid w:val="79C71FD3"/>
    <w:rsid w:val="79D378DB"/>
    <w:rsid w:val="79D60872"/>
    <w:rsid w:val="79DD1D32"/>
    <w:rsid w:val="79E96BDD"/>
    <w:rsid w:val="79EC4C14"/>
    <w:rsid w:val="79EF06E6"/>
    <w:rsid w:val="79F06745"/>
    <w:rsid w:val="7A00729F"/>
    <w:rsid w:val="7A230972"/>
    <w:rsid w:val="7A3074EF"/>
    <w:rsid w:val="7A402138"/>
    <w:rsid w:val="7A403EB0"/>
    <w:rsid w:val="7A435623"/>
    <w:rsid w:val="7A4A4C3A"/>
    <w:rsid w:val="7A51551F"/>
    <w:rsid w:val="7A5C78B1"/>
    <w:rsid w:val="7A5E3C4E"/>
    <w:rsid w:val="7A733BF4"/>
    <w:rsid w:val="7A74299B"/>
    <w:rsid w:val="7A8C4B1E"/>
    <w:rsid w:val="7AAA2726"/>
    <w:rsid w:val="7AC2652D"/>
    <w:rsid w:val="7AC313F4"/>
    <w:rsid w:val="7ACA5466"/>
    <w:rsid w:val="7AD45C10"/>
    <w:rsid w:val="7AD46261"/>
    <w:rsid w:val="7AD522D5"/>
    <w:rsid w:val="7AE318EE"/>
    <w:rsid w:val="7AF16E13"/>
    <w:rsid w:val="7AFB2BD3"/>
    <w:rsid w:val="7AFF0807"/>
    <w:rsid w:val="7B002BB2"/>
    <w:rsid w:val="7B07175A"/>
    <w:rsid w:val="7B0A6A9B"/>
    <w:rsid w:val="7B0D2818"/>
    <w:rsid w:val="7B18439F"/>
    <w:rsid w:val="7B2D21DE"/>
    <w:rsid w:val="7B3D676B"/>
    <w:rsid w:val="7B5D35F7"/>
    <w:rsid w:val="7B62129C"/>
    <w:rsid w:val="7B912D47"/>
    <w:rsid w:val="7B92467D"/>
    <w:rsid w:val="7B943CCB"/>
    <w:rsid w:val="7B994E29"/>
    <w:rsid w:val="7B9D745B"/>
    <w:rsid w:val="7BAD3F83"/>
    <w:rsid w:val="7BB12C0A"/>
    <w:rsid w:val="7BC96E50"/>
    <w:rsid w:val="7BD24E35"/>
    <w:rsid w:val="7BDA36FA"/>
    <w:rsid w:val="7BDD1145"/>
    <w:rsid w:val="7C005CAF"/>
    <w:rsid w:val="7C055284"/>
    <w:rsid w:val="7C254F1C"/>
    <w:rsid w:val="7C302710"/>
    <w:rsid w:val="7C424F97"/>
    <w:rsid w:val="7C425CF3"/>
    <w:rsid w:val="7C485756"/>
    <w:rsid w:val="7C4C2BF6"/>
    <w:rsid w:val="7C57415F"/>
    <w:rsid w:val="7C57508E"/>
    <w:rsid w:val="7C594D0E"/>
    <w:rsid w:val="7C5D3714"/>
    <w:rsid w:val="7C60651C"/>
    <w:rsid w:val="7C640CBC"/>
    <w:rsid w:val="7C71680F"/>
    <w:rsid w:val="7C796B8F"/>
    <w:rsid w:val="7C812178"/>
    <w:rsid w:val="7CA83B93"/>
    <w:rsid w:val="7CAA7279"/>
    <w:rsid w:val="7CB82DCD"/>
    <w:rsid w:val="7CBC3199"/>
    <w:rsid w:val="7CC72DC3"/>
    <w:rsid w:val="7CCB17CA"/>
    <w:rsid w:val="7CD66DE6"/>
    <w:rsid w:val="7CE57657"/>
    <w:rsid w:val="7D1E37C3"/>
    <w:rsid w:val="7D225A5C"/>
    <w:rsid w:val="7D342FE7"/>
    <w:rsid w:val="7D3A42B0"/>
    <w:rsid w:val="7D3D1E9B"/>
    <w:rsid w:val="7D4F1BCF"/>
    <w:rsid w:val="7D653F46"/>
    <w:rsid w:val="7D6F1CD1"/>
    <w:rsid w:val="7D723F16"/>
    <w:rsid w:val="7D755AD9"/>
    <w:rsid w:val="7D783D6E"/>
    <w:rsid w:val="7D7A5FE9"/>
    <w:rsid w:val="7D896705"/>
    <w:rsid w:val="7D8E26F7"/>
    <w:rsid w:val="7D8E3A4A"/>
    <w:rsid w:val="7D972197"/>
    <w:rsid w:val="7D990F1D"/>
    <w:rsid w:val="7D9A2209"/>
    <w:rsid w:val="7DA9460F"/>
    <w:rsid w:val="7DC51E91"/>
    <w:rsid w:val="7DC73FEB"/>
    <w:rsid w:val="7DC80B9A"/>
    <w:rsid w:val="7DCB29F1"/>
    <w:rsid w:val="7DD47EE4"/>
    <w:rsid w:val="7DE03DE0"/>
    <w:rsid w:val="7DE5055D"/>
    <w:rsid w:val="7DE65FBE"/>
    <w:rsid w:val="7DE762AB"/>
    <w:rsid w:val="7DFF6F70"/>
    <w:rsid w:val="7E0D3F64"/>
    <w:rsid w:val="7E2461C2"/>
    <w:rsid w:val="7E252460"/>
    <w:rsid w:val="7E397349"/>
    <w:rsid w:val="7E3B2283"/>
    <w:rsid w:val="7E425EB3"/>
    <w:rsid w:val="7E50411B"/>
    <w:rsid w:val="7E676FEC"/>
    <w:rsid w:val="7E68119A"/>
    <w:rsid w:val="7E7A2C7B"/>
    <w:rsid w:val="7E826950"/>
    <w:rsid w:val="7E8375DE"/>
    <w:rsid w:val="7E846C8D"/>
    <w:rsid w:val="7E89682B"/>
    <w:rsid w:val="7E8A1B2B"/>
    <w:rsid w:val="7E904003"/>
    <w:rsid w:val="7E9064E4"/>
    <w:rsid w:val="7EA66AB7"/>
    <w:rsid w:val="7EB76F44"/>
    <w:rsid w:val="7EBB18A6"/>
    <w:rsid w:val="7EBC33F7"/>
    <w:rsid w:val="7ED60925"/>
    <w:rsid w:val="7EE24529"/>
    <w:rsid w:val="7EF249D2"/>
    <w:rsid w:val="7EF27612"/>
    <w:rsid w:val="7EFF5CB3"/>
    <w:rsid w:val="7F113622"/>
    <w:rsid w:val="7F1E0D19"/>
    <w:rsid w:val="7F314CA2"/>
    <w:rsid w:val="7F4C1035"/>
    <w:rsid w:val="7F50176F"/>
    <w:rsid w:val="7F5D7BC7"/>
    <w:rsid w:val="7F7057E9"/>
    <w:rsid w:val="7F7405C7"/>
    <w:rsid w:val="7F7F75D9"/>
    <w:rsid w:val="7F8B38CC"/>
    <w:rsid w:val="7FAF6BB9"/>
    <w:rsid w:val="7FBB179D"/>
    <w:rsid w:val="7FBE4DEA"/>
    <w:rsid w:val="7FC45635"/>
    <w:rsid w:val="7FCF43C0"/>
    <w:rsid w:val="7FCF6FF7"/>
    <w:rsid w:val="7FD208D9"/>
    <w:rsid w:val="7FDB4950"/>
    <w:rsid w:val="7FDC1E3F"/>
    <w:rsid w:val="7FDF55E5"/>
    <w:rsid w:val="7FFA2F91"/>
    <w:rsid w:val="7FFF38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50"/>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51"/>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2"/>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3"/>
    <w:semiHidden/>
    <w:unhideWhenUsed/>
    <w:qFormat/>
    <w:uiPriority w:val="0"/>
    <w:pPr>
      <w:keepNext/>
      <w:keepLines/>
      <w:jc w:val="left"/>
      <w:outlineLvl w:val="3"/>
    </w:pPr>
    <w:rPr>
      <w:rFonts w:ascii="Arial" w:hAnsi="Arial" w:cs="Arial"/>
      <w:b/>
      <w:bCs/>
      <w:sz w:val="32"/>
      <w:szCs w:val="32"/>
    </w:rPr>
  </w:style>
  <w:style w:type="paragraph" w:styleId="6">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autoRedefine/>
    <w:qFormat/>
    <w:uiPriority w:val="1"/>
    <w:pPr>
      <w:ind w:left="878"/>
      <w:outlineLvl w:val="5"/>
    </w:pPr>
    <w:rPr>
      <w:rFonts w:ascii="仿宋" w:hAnsi="仿宋" w:eastAsia="仿宋" w:cs="仿宋"/>
      <w:sz w:val="28"/>
      <w:szCs w:val="28"/>
      <w:lang w:val="zh-CN" w:bidi="zh-CN"/>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Theme="minorHAnsi" w:hAnsiTheme="minorHAnsi"/>
      <w:sz w:val="18"/>
      <w:szCs w:val="18"/>
    </w:rPr>
  </w:style>
  <w:style w:type="paragraph" w:styleId="9">
    <w:name w:val="Normal Indent"/>
    <w:basedOn w:val="1"/>
    <w:autoRedefine/>
    <w:qFormat/>
    <w:uiPriority w:val="0"/>
    <w:pPr>
      <w:ind w:firstLine="420"/>
    </w:pPr>
  </w:style>
  <w:style w:type="paragraph" w:styleId="10">
    <w:name w:val="toa heading"/>
    <w:basedOn w:val="1"/>
    <w:next w:val="1"/>
    <w:autoRedefine/>
    <w:unhideWhenUsed/>
    <w:qFormat/>
    <w:uiPriority w:val="0"/>
    <w:pPr>
      <w:spacing w:before="120"/>
    </w:pPr>
    <w:rPr>
      <w:rFonts w:asciiTheme="majorHAnsi" w:hAnsiTheme="majorHAnsi" w:cstheme="majorBidi"/>
      <w:sz w:val="24"/>
    </w:rPr>
  </w:style>
  <w:style w:type="paragraph" w:styleId="11">
    <w:name w:val="annotation text"/>
    <w:basedOn w:val="1"/>
    <w:link w:val="54"/>
    <w:autoRedefine/>
    <w:qFormat/>
    <w:uiPriority w:val="0"/>
    <w:pPr>
      <w:jc w:val="left"/>
    </w:pPr>
    <w:rPr>
      <w:rFonts w:ascii="宋体" w:cs="宋体"/>
      <w:kern w:val="0"/>
      <w:sz w:val="34"/>
      <w:szCs w:val="34"/>
    </w:rPr>
  </w:style>
  <w:style w:type="paragraph" w:styleId="12">
    <w:name w:val="Body Text 3"/>
    <w:basedOn w:val="1"/>
    <w:qFormat/>
    <w:uiPriority w:val="0"/>
    <w:pPr>
      <w:spacing w:line="360" w:lineRule="exact"/>
    </w:pPr>
    <w:rPr>
      <w:sz w:val="28"/>
      <w:szCs w:val="16"/>
    </w:rPr>
  </w:style>
  <w:style w:type="paragraph" w:styleId="13">
    <w:name w:val="Body Text"/>
    <w:basedOn w:val="1"/>
    <w:link w:val="55"/>
    <w:autoRedefine/>
    <w:unhideWhenUsed/>
    <w:qFormat/>
    <w:uiPriority w:val="99"/>
  </w:style>
  <w:style w:type="paragraph" w:styleId="14">
    <w:name w:val="Body Text Indent"/>
    <w:basedOn w:val="1"/>
    <w:link w:val="56"/>
    <w:autoRedefine/>
    <w:qFormat/>
    <w:uiPriority w:val="0"/>
    <w:pPr>
      <w:spacing w:after="120"/>
      <w:ind w:left="420" w:leftChars="200"/>
    </w:pPr>
  </w:style>
  <w:style w:type="paragraph" w:styleId="15">
    <w:name w:val="Block Text"/>
    <w:basedOn w:val="1"/>
    <w:autoRedefine/>
    <w:qFormat/>
    <w:uiPriority w:val="0"/>
    <w:pPr>
      <w:spacing w:after="120"/>
      <w:ind w:left="1440" w:leftChars="700" w:right="700" w:rightChars="700"/>
    </w:pPr>
  </w:style>
  <w:style w:type="paragraph" w:styleId="16">
    <w:name w:val="toc 5"/>
    <w:basedOn w:val="1"/>
    <w:next w:val="1"/>
    <w:autoRedefine/>
    <w:qFormat/>
    <w:uiPriority w:val="0"/>
    <w:pPr>
      <w:ind w:left="840"/>
      <w:jc w:val="left"/>
    </w:pPr>
    <w:rPr>
      <w:rFonts w:asciiTheme="minorHAnsi" w:hAnsiTheme="minorHAnsi"/>
      <w:sz w:val="18"/>
      <w:szCs w:val="18"/>
    </w:rPr>
  </w:style>
  <w:style w:type="paragraph" w:styleId="17">
    <w:name w:val="toc 3"/>
    <w:basedOn w:val="1"/>
    <w:next w:val="1"/>
    <w:autoRedefine/>
    <w:qFormat/>
    <w:uiPriority w:val="0"/>
    <w:pPr>
      <w:ind w:left="420"/>
      <w:jc w:val="left"/>
    </w:pPr>
    <w:rPr>
      <w:rFonts w:asciiTheme="minorHAnsi" w:hAnsiTheme="minorHAnsi"/>
      <w:i/>
      <w:iCs/>
      <w:sz w:val="20"/>
      <w:szCs w:val="20"/>
    </w:rPr>
  </w:style>
  <w:style w:type="paragraph" w:styleId="18">
    <w:name w:val="Plain Text"/>
    <w:basedOn w:val="1"/>
    <w:link w:val="57"/>
    <w:autoRedefine/>
    <w:qFormat/>
    <w:uiPriority w:val="0"/>
    <w:pPr>
      <w:spacing w:line="324" w:lineRule="auto"/>
    </w:pPr>
    <w:rPr>
      <w:rFonts w:ascii="宋体" w:hAnsi="Courier New" w:cs="宋体"/>
    </w:rPr>
  </w:style>
  <w:style w:type="paragraph" w:styleId="19">
    <w:name w:val="toc 8"/>
    <w:basedOn w:val="1"/>
    <w:next w:val="1"/>
    <w:autoRedefine/>
    <w:qFormat/>
    <w:uiPriority w:val="0"/>
    <w:pPr>
      <w:ind w:left="1470"/>
      <w:jc w:val="left"/>
    </w:pPr>
    <w:rPr>
      <w:rFonts w:asciiTheme="minorHAnsi" w:hAnsiTheme="minorHAnsi"/>
      <w:sz w:val="18"/>
      <w:szCs w:val="18"/>
    </w:rPr>
  </w:style>
  <w:style w:type="paragraph" w:styleId="20">
    <w:name w:val="Date"/>
    <w:basedOn w:val="1"/>
    <w:next w:val="1"/>
    <w:link w:val="81"/>
    <w:autoRedefine/>
    <w:qFormat/>
    <w:uiPriority w:val="0"/>
    <w:pPr>
      <w:ind w:left="100" w:leftChars="2500"/>
    </w:pPr>
  </w:style>
  <w:style w:type="paragraph" w:styleId="21">
    <w:name w:val="Body Text Indent 2"/>
    <w:basedOn w:val="1"/>
    <w:link w:val="58"/>
    <w:autoRedefine/>
    <w:qFormat/>
    <w:uiPriority w:val="0"/>
    <w:pPr>
      <w:spacing w:after="120" w:line="480" w:lineRule="auto"/>
      <w:ind w:left="420" w:leftChars="200"/>
    </w:pPr>
  </w:style>
  <w:style w:type="paragraph" w:styleId="22">
    <w:name w:val="Balloon Text"/>
    <w:basedOn w:val="1"/>
    <w:link w:val="59"/>
    <w:autoRedefine/>
    <w:qFormat/>
    <w:uiPriority w:val="0"/>
    <w:rPr>
      <w:sz w:val="18"/>
      <w:szCs w:val="18"/>
    </w:rPr>
  </w:style>
  <w:style w:type="paragraph" w:styleId="23">
    <w:name w:val="footer"/>
    <w:basedOn w:val="1"/>
    <w:link w:val="60"/>
    <w:autoRedefine/>
    <w:unhideWhenUsed/>
    <w:qFormat/>
    <w:uiPriority w:val="99"/>
    <w:pPr>
      <w:tabs>
        <w:tab w:val="center" w:pos="4153"/>
        <w:tab w:val="right" w:pos="8306"/>
      </w:tabs>
      <w:snapToGrid w:val="0"/>
      <w:jc w:val="left"/>
    </w:pPr>
    <w:rPr>
      <w:sz w:val="18"/>
      <w:szCs w:val="18"/>
    </w:rPr>
  </w:style>
  <w:style w:type="paragraph" w:styleId="24">
    <w:name w:val="header"/>
    <w:basedOn w:val="1"/>
    <w:link w:val="61"/>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spacing w:before="120" w:after="120"/>
      <w:jc w:val="left"/>
    </w:pPr>
    <w:rPr>
      <w:rFonts w:asciiTheme="minorHAnsi" w:hAnsiTheme="minorHAnsi"/>
      <w:b/>
      <w:bCs/>
      <w:caps/>
      <w:sz w:val="20"/>
      <w:szCs w:val="20"/>
    </w:rPr>
  </w:style>
  <w:style w:type="paragraph" w:styleId="26">
    <w:name w:val="toc 4"/>
    <w:basedOn w:val="1"/>
    <w:next w:val="1"/>
    <w:autoRedefine/>
    <w:qFormat/>
    <w:uiPriority w:val="0"/>
    <w:pPr>
      <w:ind w:left="630"/>
      <w:jc w:val="left"/>
    </w:pPr>
    <w:rPr>
      <w:rFonts w:asciiTheme="minorHAnsi" w:hAnsiTheme="minorHAnsi"/>
      <w:sz w:val="18"/>
      <w:szCs w:val="18"/>
    </w:rPr>
  </w:style>
  <w:style w:type="paragraph" w:styleId="27">
    <w:name w:val="footnote text"/>
    <w:basedOn w:val="1"/>
    <w:autoRedefine/>
    <w:qFormat/>
    <w:uiPriority w:val="0"/>
    <w:pPr>
      <w:snapToGrid w:val="0"/>
      <w:jc w:val="left"/>
    </w:pPr>
    <w:rPr>
      <w:sz w:val="18"/>
    </w:rPr>
  </w:style>
  <w:style w:type="paragraph" w:styleId="28">
    <w:name w:val="toc 6"/>
    <w:basedOn w:val="1"/>
    <w:next w:val="1"/>
    <w:autoRedefine/>
    <w:qFormat/>
    <w:uiPriority w:val="0"/>
    <w:pPr>
      <w:ind w:left="1050"/>
      <w:jc w:val="left"/>
    </w:pPr>
    <w:rPr>
      <w:rFonts w:asciiTheme="minorHAnsi" w:hAnsiTheme="minorHAnsi"/>
      <w:sz w:val="18"/>
      <w:szCs w:val="18"/>
    </w:rPr>
  </w:style>
  <w:style w:type="paragraph" w:styleId="29">
    <w:name w:val="table of figures"/>
    <w:basedOn w:val="1"/>
    <w:next w:val="1"/>
    <w:qFormat/>
    <w:uiPriority w:val="0"/>
    <w:pPr>
      <w:ind w:leftChars="200" w:hanging="200" w:hangingChars="200"/>
    </w:pPr>
  </w:style>
  <w:style w:type="paragraph" w:styleId="30">
    <w:name w:val="toc 2"/>
    <w:basedOn w:val="1"/>
    <w:next w:val="1"/>
    <w:autoRedefine/>
    <w:qFormat/>
    <w:uiPriority w:val="0"/>
    <w:pPr>
      <w:ind w:left="210"/>
      <w:jc w:val="left"/>
    </w:pPr>
    <w:rPr>
      <w:rFonts w:asciiTheme="minorHAnsi" w:hAnsiTheme="minorHAnsi"/>
      <w:smallCaps/>
      <w:sz w:val="20"/>
      <w:szCs w:val="20"/>
    </w:rPr>
  </w:style>
  <w:style w:type="paragraph" w:styleId="31">
    <w:name w:val="toc 9"/>
    <w:basedOn w:val="1"/>
    <w:next w:val="1"/>
    <w:autoRedefine/>
    <w:qFormat/>
    <w:uiPriority w:val="0"/>
    <w:pPr>
      <w:ind w:left="1680"/>
      <w:jc w:val="left"/>
    </w:pPr>
    <w:rPr>
      <w:rFonts w:asciiTheme="minorHAnsi" w:hAnsiTheme="minorHAnsi"/>
      <w:sz w:val="18"/>
      <w:szCs w:val="18"/>
    </w:rPr>
  </w:style>
  <w:style w:type="paragraph" w:styleId="32">
    <w:name w:val="Body Text 2"/>
    <w:basedOn w:val="1"/>
    <w:link w:val="62"/>
    <w:autoRedefine/>
    <w:qFormat/>
    <w:uiPriority w:val="0"/>
    <w:pPr>
      <w:jc w:val="center"/>
    </w:pPr>
    <w:rPr>
      <w:b/>
      <w:bCs/>
      <w:spacing w:val="-20"/>
      <w:w w:val="130"/>
      <w:sz w:val="48"/>
      <w:szCs w:val="48"/>
    </w:rPr>
  </w:style>
  <w:style w:type="paragraph" w:styleId="33">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4">
    <w:name w:val="annotation subject"/>
    <w:basedOn w:val="11"/>
    <w:next w:val="1"/>
    <w:link w:val="91"/>
    <w:autoRedefine/>
    <w:qFormat/>
    <w:uiPriority w:val="0"/>
    <w:rPr>
      <w:rFonts w:ascii="Calibri" w:cs="Calibri"/>
      <w:b/>
      <w:bCs/>
      <w:kern w:val="2"/>
      <w:sz w:val="21"/>
      <w:szCs w:val="21"/>
    </w:rPr>
  </w:style>
  <w:style w:type="paragraph" w:styleId="35">
    <w:name w:val="Body Text First Indent"/>
    <w:basedOn w:val="13"/>
    <w:autoRedefine/>
    <w:qFormat/>
    <w:uiPriority w:val="0"/>
    <w:pPr>
      <w:ind w:firstLine="420" w:firstLineChars="100"/>
    </w:pPr>
  </w:style>
  <w:style w:type="paragraph" w:styleId="36">
    <w:name w:val="Body Text First Indent 2"/>
    <w:basedOn w:val="14"/>
    <w:autoRedefine/>
    <w:qFormat/>
    <w:uiPriority w:val="99"/>
    <w:pPr>
      <w:tabs>
        <w:tab w:val="left" w:pos="4900"/>
      </w:tabs>
      <w:ind w:firstLine="420" w:firstLineChars="200"/>
    </w:pPr>
  </w:style>
  <w:style w:type="table" w:styleId="38">
    <w:name w:val="Table Grid"/>
    <w:basedOn w:val="3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autoRedefine/>
    <w:qFormat/>
    <w:uiPriority w:val="0"/>
    <w:rPr>
      <w:b/>
      <w:bCs/>
      <w:sz w:val="24"/>
      <w:szCs w:val="24"/>
    </w:rPr>
  </w:style>
  <w:style w:type="character" w:styleId="41">
    <w:name w:val="page number"/>
    <w:basedOn w:val="39"/>
    <w:autoRedefine/>
    <w:qFormat/>
    <w:uiPriority w:val="0"/>
  </w:style>
  <w:style w:type="character" w:styleId="42">
    <w:name w:val="Emphasis"/>
    <w:autoRedefine/>
    <w:qFormat/>
    <w:uiPriority w:val="0"/>
    <w:rPr>
      <w:i/>
      <w:iCs/>
    </w:rPr>
  </w:style>
  <w:style w:type="character" w:styleId="43">
    <w:name w:val="Hyperlink"/>
    <w:autoRedefine/>
    <w:qFormat/>
    <w:uiPriority w:val="99"/>
    <w:rPr>
      <w:color w:val="0000FF"/>
      <w:u w:val="single"/>
    </w:rPr>
  </w:style>
  <w:style w:type="character" w:styleId="44">
    <w:name w:val="annotation reference"/>
    <w:autoRedefine/>
    <w:qFormat/>
    <w:uiPriority w:val="0"/>
    <w:rPr>
      <w:sz w:val="21"/>
      <w:szCs w:val="21"/>
    </w:rPr>
  </w:style>
  <w:style w:type="character" w:styleId="45">
    <w:name w:val="HTML Cite"/>
    <w:autoRedefine/>
    <w:qFormat/>
    <w:uiPriority w:val="0"/>
    <w:rPr>
      <w:sz w:val="24"/>
      <w:szCs w:val="24"/>
    </w:rPr>
  </w:style>
  <w:style w:type="character" w:styleId="46">
    <w:name w:val="footnote reference"/>
    <w:basedOn w:val="39"/>
    <w:autoRedefine/>
    <w:qFormat/>
    <w:uiPriority w:val="0"/>
    <w:rPr>
      <w:vertAlign w:val="superscript"/>
    </w:rPr>
  </w:style>
  <w:style w:type="paragraph" w:customStyle="1" w:styleId="47">
    <w:name w:val="列出段落1"/>
    <w:basedOn w:val="1"/>
    <w:autoRedefine/>
    <w:qFormat/>
    <w:uiPriority w:val="99"/>
    <w:pPr>
      <w:ind w:firstLine="420" w:firstLineChars="200"/>
    </w:pPr>
  </w:style>
  <w:style w:type="paragraph" w:customStyle="1" w:styleId="48">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9">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50">
    <w:name w:val="标题 1 字符"/>
    <w:link w:val="2"/>
    <w:autoRedefine/>
    <w:qFormat/>
    <w:locked/>
    <w:uiPriority w:val="99"/>
    <w:rPr>
      <w:rFonts w:ascii="Calibri" w:hAnsi="Calibri" w:cs="Calibri"/>
      <w:b/>
      <w:bCs/>
      <w:kern w:val="44"/>
      <w:sz w:val="44"/>
      <w:szCs w:val="44"/>
    </w:rPr>
  </w:style>
  <w:style w:type="character" w:customStyle="1" w:styleId="51">
    <w:name w:val="标题 2 字符"/>
    <w:link w:val="3"/>
    <w:autoRedefine/>
    <w:qFormat/>
    <w:locked/>
    <w:uiPriority w:val="99"/>
    <w:rPr>
      <w:rFonts w:ascii="Cambria" w:hAnsi="Cambria" w:eastAsia="宋体" w:cs="Cambria"/>
      <w:b/>
      <w:bCs/>
      <w:sz w:val="32"/>
      <w:szCs w:val="32"/>
    </w:rPr>
  </w:style>
  <w:style w:type="character" w:customStyle="1" w:styleId="52">
    <w:name w:val="标题 3 字符"/>
    <w:link w:val="4"/>
    <w:autoRedefine/>
    <w:semiHidden/>
    <w:qFormat/>
    <w:locked/>
    <w:uiPriority w:val="99"/>
    <w:rPr>
      <w:rFonts w:ascii="Calibri" w:hAnsi="Calibri" w:cs="Calibri"/>
      <w:b/>
      <w:bCs/>
      <w:sz w:val="32"/>
      <w:szCs w:val="32"/>
    </w:rPr>
  </w:style>
  <w:style w:type="character" w:customStyle="1" w:styleId="53">
    <w:name w:val="标题 4 字符"/>
    <w:link w:val="5"/>
    <w:autoRedefine/>
    <w:semiHidden/>
    <w:qFormat/>
    <w:uiPriority w:val="9"/>
    <w:rPr>
      <w:rFonts w:ascii="Cambria" w:hAnsi="Cambria" w:eastAsia="宋体" w:cs="Times New Roman"/>
      <w:b/>
      <w:bCs/>
      <w:sz w:val="28"/>
      <w:szCs w:val="28"/>
    </w:rPr>
  </w:style>
  <w:style w:type="character" w:customStyle="1" w:styleId="54">
    <w:name w:val="批注文字 字符"/>
    <w:link w:val="11"/>
    <w:autoRedefine/>
    <w:qFormat/>
    <w:locked/>
    <w:uiPriority w:val="99"/>
    <w:rPr>
      <w:rFonts w:ascii="宋体" w:hAnsi="Calibri" w:eastAsia="宋体" w:cs="宋体"/>
      <w:sz w:val="22"/>
      <w:szCs w:val="22"/>
    </w:rPr>
  </w:style>
  <w:style w:type="character" w:customStyle="1" w:styleId="55">
    <w:name w:val="正文文本 字符"/>
    <w:link w:val="13"/>
    <w:autoRedefine/>
    <w:semiHidden/>
    <w:qFormat/>
    <w:locked/>
    <w:uiPriority w:val="99"/>
    <w:rPr>
      <w:rFonts w:ascii="Calibri" w:hAnsi="Calibri" w:cs="Calibri"/>
    </w:rPr>
  </w:style>
  <w:style w:type="character" w:customStyle="1" w:styleId="56">
    <w:name w:val="正文文本缩进 字符"/>
    <w:link w:val="14"/>
    <w:autoRedefine/>
    <w:semiHidden/>
    <w:qFormat/>
    <w:uiPriority w:val="99"/>
    <w:rPr>
      <w:rFonts w:ascii="Calibri" w:hAnsi="Calibri" w:cs="Calibri"/>
      <w:szCs w:val="21"/>
    </w:rPr>
  </w:style>
  <w:style w:type="character" w:customStyle="1" w:styleId="57">
    <w:name w:val="纯文本 字符"/>
    <w:link w:val="18"/>
    <w:autoRedefine/>
    <w:qFormat/>
    <w:locked/>
    <w:uiPriority w:val="0"/>
    <w:rPr>
      <w:rFonts w:ascii="宋体" w:hAnsi="Courier New" w:cs="宋体"/>
      <w:sz w:val="21"/>
      <w:szCs w:val="21"/>
    </w:rPr>
  </w:style>
  <w:style w:type="character" w:customStyle="1" w:styleId="58">
    <w:name w:val="正文文本缩进 2 字符"/>
    <w:link w:val="21"/>
    <w:autoRedefine/>
    <w:semiHidden/>
    <w:qFormat/>
    <w:locked/>
    <w:uiPriority w:val="99"/>
    <w:rPr>
      <w:rFonts w:ascii="Calibri" w:hAnsi="Calibri" w:cs="Calibri"/>
    </w:rPr>
  </w:style>
  <w:style w:type="character" w:customStyle="1" w:styleId="59">
    <w:name w:val="批注框文本 字符"/>
    <w:link w:val="22"/>
    <w:autoRedefine/>
    <w:qFormat/>
    <w:locked/>
    <w:uiPriority w:val="99"/>
    <w:rPr>
      <w:rFonts w:ascii="Calibri" w:hAnsi="Calibri" w:eastAsia="宋体" w:cs="Calibri"/>
      <w:kern w:val="2"/>
      <w:sz w:val="18"/>
      <w:szCs w:val="18"/>
    </w:rPr>
  </w:style>
  <w:style w:type="character" w:customStyle="1" w:styleId="60">
    <w:name w:val="页脚 字符"/>
    <w:basedOn w:val="39"/>
    <w:link w:val="23"/>
    <w:autoRedefine/>
    <w:qFormat/>
    <w:locked/>
    <w:uiPriority w:val="99"/>
    <w:rPr>
      <w:rFonts w:ascii="Calibri" w:hAnsi="Calibri" w:cs="Calibri"/>
      <w:sz w:val="18"/>
      <w:szCs w:val="18"/>
    </w:rPr>
  </w:style>
  <w:style w:type="character" w:customStyle="1" w:styleId="61">
    <w:name w:val="页眉 字符"/>
    <w:basedOn w:val="39"/>
    <w:link w:val="24"/>
    <w:autoRedefine/>
    <w:qFormat/>
    <w:locked/>
    <w:uiPriority w:val="99"/>
    <w:rPr>
      <w:rFonts w:ascii="Calibri" w:hAnsi="Calibri" w:cs="Calibri"/>
      <w:sz w:val="18"/>
      <w:szCs w:val="18"/>
    </w:rPr>
  </w:style>
  <w:style w:type="character" w:customStyle="1" w:styleId="62">
    <w:name w:val="正文文本 2 字符"/>
    <w:link w:val="32"/>
    <w:autoRedefine/>
    <w:semiHidden/>
    <w:qFormat/>
    <w:locked/>
    <w:uiPriority w:val="99"/>
    <w:rPr>
      <w:rFonts w:ascii="Calibri" w:hAnsi="Calibri" w:cs="Calibri"/>
    </w:rPr>
  </w:style>
  <w:style w:type="paragraph" w:customStyle="1" w:styleId="63">
    <w:name w:val="Char2 Char Char Char"/>
    <w:basedOn w:val="1"/>
    <w:autoRedefine/>
    <w:qFormat/>
    <w:uiPriority w:val="99"/>
    <w:rPr>
      <w:rFonts w:ascii="Tahoma" w:hAnsi="Tahoma" w:cs="Tahoma"/>
      <w:sz w:val="24"/>
      <w:szCs w:val="24"/>
    </w:rPr>
  </w:style>
  <w:style w:type="character" w:customStyle="1" w:styleId="64">
    <w:name w:val="10"/>
    <w:autoRedefine/>
    <w:qFormat/>
    <w:uiPriority w:val="99"/>
    <w:rPr>
      <w:rFonts w:ascii="Calibri" w:hAnsi="Calibri" w:cs="Calibri"/>
    </w:rPr>
  </w:style>
  <w:style w:type="character" w:customStyle="1" w:styleId="65">
    <w:name w:val="15"/>
    <w:autoRedefine/>
    <w:qFormat/>
    <w:uiPriority w:val="99"/>
    <w:rPr>
      <w:rFonts w:ascii="Calibri" w:hAnsi="Calibri" w:cs="Calibri"/>
      <w:i/>
      <w:iCs/>
    </w:rPr>
  </w:style>
  <w:style w:type="paragraph" w:customStyle="1" w:styleId="66">
    <w:name w:val="_Style 2"/>
    <w:basedOn w:val="1"/>
    <w:autoRedefine/>
    <w:qFormat/>
    <w:uiPriority w:val="99"/>
    <w:pPr>
      <w:ind w:firstLine="420" w:firstLineChars="200"/>
    </w:pPr>
  </w:style>
  <w:style w:type="character" w:customStyle="1" w:styleId="67">
    <w:name w:val="apple-style-span"/>
    <w:autoRedefine/>
    <w:qFormat/>
    <w:uiPriority w:val="99"/>
  </w:style>
  <w:style w:type="character" w:customStyle="1" w:styleId="68">
    <w:name w:val="del"/>
    <w:basedOn w:val="39"/>
    <w:autoRedefine/>
    <w:qFormat/>
    <w:uiPriority w:val="99"/>
  </w:style>
  <w:style w:type="character" w:customStyle="1" w:styleId="69">
    <w:name w:val="del1"/>
    <w:autoRedefine/>
    <w:qFormat/>
    <w:uiPriority w:val="99"/>
    <w:rPr>
      <w:vanish/>
      <w:color w:val="auto"/>
      <w:sz w:val="18"/>
      <w:szCs w:val="18"/>
      <w:u w:val="single"/>
    </w:rPr>
  </w:style>
  <w:style w:type="character" w:customStyle="1" w:styleId="70">
    <w:name w:val="del2"/>
    <w:autoRedefine/>
    <w:qFormat/>
    <w:uiPriority w:val="99"/>
    <w:rPr>
      <w:vanish/>
    </w:rPr>
  </w:style>
  <w:style w:type="character" w:customStyle="1" w:styleId="71">
    <w:name w:val="del3"/>
    <w:autoRedefine/>
    <w:qFormat/>
    <w:uiPriority w:val="99"/>
    <w:rPr>
      <w:vanish/>
    </w:rPr>
  </w:style>
  <w:style w:type="paragraph" w:customStyle="1" w:styleId="72">
    <w:name w:val="_Style 4"/>
    <w:basedOn w:val="1"/>
    <w:autoRedefine/>
    <w:qFormat/>
    <w:uiPriority w:val="99"/>
    <w:pPr>
      <w:ind w:firstLine="420" w:firstLineChars="200"/>
    </w:pPr>
  </w:style>
  <w:style w:type="paragraph" w:customStyle="1" w:styleId="73">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4">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5">
    <w:name w:val="font101"/>
    <w:basedOn w:val="39"/>
    <w:autoRedefine/>
    <w:qFormat/>
    <w:uiPriority w:val="0"/>
    <w:rPr>
      <w:rFonts w:hint="eastAsia" w:ascii="宋体" w:hAnsi="宋体" w:eastAsia="宋体" w:cs="宋体"/>
      <w:color w:val="000000"/>
      <w:sz w:val="24"/>
      <w:szCs w:val="24"/>
      <w:u w:val="none"/>
    </w:rPr>
  </w:style>
  <w:style w:type="character" w:customStyle="1" w:styleId="76">
    <w:name w:val="font91"/>
    <w:basedOn w:val="39"/>
    <w:autoRedefine/>
    <w:qFormat/>
    <w:uiPriority w:val="0"/>
    <w:rPr>
      <w:rFonts w:hint="eastAsia" w:ascii="宋体" w:hAnsi="宋体" w:eastAsia="宋体" w:cs="宋体"/>
      <w:color w:val="000000"/>
      <w:sz w:val="24"/>
      <w:szCs w:val="24"/>
      <w:u w:val="none"/>
    </w:rPr>
  </w:style>
  <w:style w:type="character" w:customStyle="1" w:styleId="77">
    <w:name w:val="font41"/>
    <w:basedOn w:val="39"/>
    <w:autoRedefine/>
    <w:qFormat/>
    <w:uiPriority w:val="0"/>
    <w:rPr>
      <w:rFonts w:hint="eastAsia" w:ascii="宋体" w:hAnsi="宋体" w:eastAsia="宋体" w:cs="宋体"/>
      <w:color w:val="000000"/>
      <w:sz w:val="24"/>
      <w:szCs w:val="24"/>
      <w:u w:val="none"/>
    </w:rPr>
  </w:style>
  <w:style w:type="character" w:customStyle="1" w:styleId="78">
    <w:name w:val="font21"/>
    <w:basedOn w:val="39"/>
    <w:autoRedefine/>
    <w:qFormat/>
    <w:uiPriority w:val="0"/>
    <w:rPr>
      <w:rFonts w:hint="eastAsia" w:ascii="宋体" w:hAnsi="宋体" w:eastAsia="宋体" w:cs="宋体"/>
      <w:color w:val="000000"/>
      <w:sz w:val="24"/>
      <w:szCs w:val="24"/>
      <w:u w:val="none"/>
    </w:rPr>
  </w:style>
  <w:style w:type="paragraph" w:styleId="79">
    <w:name w:val="List Paragraph"/>
    <w:basedOn w:val="1"/>
    <w:autoRedefine/>
    <w:qFormat/>
    <w:uiPriority w:val="99"/>
    <w:pPr>
      <w:ind w:firstLine="420" w:firstLineChars="200"/>
    </w:pPr>
  </w:style>
  <w:style w:type="table" w:customStyle="1" w:styleId="80">
    <w:name w:val="TableGrid"/>
    <w:autoRedefine/>
    <w:qFormat/>
    <w:uiPriority w:val="0"/>
    <w:rPr>
      <w:kern w:val="2"/>
      <w:sz w:val="21"/>
      <w:szCs w:val="22"/>
    </w:rPr>
    <w:tblPr>
      <w:tblCellMar>
        <w:top w:w="0" w:type="dxa"/>
        <w:left w:w="0" w:type="dxa"/>
        <w:bottom w:w="0" w:type="dxa"/>
        <w:right w:w="0" w:type="dxa"/>
      </w:tblCellMar>
    </w:tblPr>
  </w:style>
  <w:style w:type="character" w:customStyle="1" w:styleId="81">
    <w:name w:val="日期 字符"/>
    <w:basedOn w:val="39"/>
    <w:link w:val="20"/>
    <w:autoRedefine/>
    <w:qFormat/>
    <w:uiPriority w:val="0"/>
    <w:rPr>
      <w:rFonts w:ascii="Calibri" w:hAnsi="Calibri" w:cs="Calibri"/>
      <w:kern w:val="2"/>
      <w:sz w:val="21"/>
      <w:szCs w:val="21"/>
    </w:rPr>
  </w:style>
  <w:style w:type="character" w:customStyle="1" w:styleId="82">
    <w:name w:val="List Paragraph Char1"/>
    <w:link w:val="83"/>
    <w:autoRedefine/>
    <w:qFormat/>
    <w:locked/>
    <w:uiPriority w:val="0"/>
    <w:rPr>
      <w:sz w:val="24"/>
    </w:rPr>
  </w:style>
  <w:style w:type="paragraph" w:customStyle="1" w:styleId="83">
    <w:name w:val="列出段落2"/>
    <w:basedOn w:val="1"/>
    <w:link w:val="82"/>
    <w:autoRedefine/>
    <w:qFormat/>
    <w:uiPriority w:val="0"/>
    <w:pPr>
      <w:ind w:firstLine="420" w:firstLineChars="200"/>
    </w:pPr>
    <w:rPr>
      <w:rFonts w:ascii="Times New Roman" w:hAnsi="Times New Roman" w:cs="Times New Roman"/>
      <w:kern w:val="0"/>
      <w:sz w:val="24"/>
      <w:szCs w:val="20"/>
    </w:rPr>
  </w:style>
  <w:style w:type="table" w:customStyle="1" w:styleId="84">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9">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0">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91">
    <w:name w:val="批注主题 字符"/>
    <w:basedOn w:val="54"/>
    <w:link w:val="34"/>
    <w:autoRedefine/>
    <w:semiHidden/>
    <w:qFormat/>
    <w:uiPriority w:val="99"/>
    <w:rPr>
      <w:rFonts w:ascii="Calibri" w:hAnsi="Calibri" w:eastAsia="宋体" w:cs="Calibri"/>
      <w:b/>
      <w:bCs/>
      <w:kern w:val="2"/>
      <w:sz w:val="21"/>
      <w:szCs w:val="21"/>
    </w:rPr>
  </w:style>
  <w:style w:type="paragraph" w:customStyle="1" w:styleId="92">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3">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9"/>
    <w:autoRedefine/>
    <w:qFormat/>
    <w:uiPriority w:val="0"/>
    <w:rPr>
      <w:kern w:val="2"/>
      <w:sz w:val="21"/>
      <w:szCs w:val="22"/>
    </w:rPr>
    <w:tblPr>
      <w:tblCellMar>
        <w:top w:w="0" w:type="dxa"/>
        <w:left w:w="0" w:type="dxa"/>
        <w:bottom w:w="0" w:type="dxa"/>
        <w:right w:w="0" w:type="dxa"/>
      </w:tblCellMar>
    </w:tblPr>
  </w:style>
  <w:style w:type="table" w:customStyle="1" w:styleId="95">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6">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7">
    <w:name w:val="TableGrid12"/>
    <w:autoRedefine/>
    <w:qFormat/>
    <w:uiPriority w:val="0"/>
    <w:rPr>
      <w:kern w:val="2"/>
      <w:sz w:val="21"/>
      <w:szCs w:val="22"/>
    </w:rPr>
    <w:tblPr>
      <w:tblCellMar>
        <w:top w:w="0" w:type="dxa"/>
        <w:left w:w="0" w:type="dxa"/>
        <w:bottom w:w="0" w:type="dxa"/>
        <w:right w:w="0" w:type="dxa"/>
      </w:tblCellMar>
    </w:tblPr>
  </w:style>
  <w:style w:type="table" w:customStyle="1" w:styleId="98">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0">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1">
    <w:name w:val="网格型1"/>
    <w:basedOn w:val="3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2">
    <w:name w:val="high-light-bg4"/>
    <w:basedOn w:val="39"/>
    <w:autoRedefine/>
    <w:qFormat/>
    <w:uiPriority w:val="0"/>
  </w:style>
  <w:style w:type="paragraph" w:customStyle="1" w:styleId="10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4">
    <w:name w:val="p16"/>
    <w:basedOn w:val="1"/>
    <w:autoRedefine/>
    <w:qFormat/>
    <w:uiPriority w:val="0"/>
    <w:rPr>
      <w:rFonts w:ascii="宋体" w:hAnsi="宋体" w:cs="宋体"/>
      <w:sz w:val="28"/>
      <w:szCs w:val="28"/>
    </w:rPr>
  </w:style>
  <w:style w:type="paragraph" w:customStyle="1" w:styleId="105">
    <w:name w:val="+正文"/>
    <w:basedOn w:val="1"/>
    <w:autoRedefine/>
    <w:qFormat/>
    <w:uiPriority w:val="99"/>
    <w:pPr>
      <w:spacing w:line="360" w:lineRule="auto"/>
      <w:ind w:firstLine="200" w:firstLineChars="200"/>
    </w:pPr>
  </w:style>
  <w:style w:type="paragraph" w:customStyle="1" w:styleId="106">
    <w:name w:val="正文 New"/>
    <w:autoRedefine/>
    <w:qFormat/>
    <w:uiPriority w:val="99"/>
    <w:pPr>
      <w:widowControl w:val="0"/>
      <w:jc w:val="both"/>
    </w:pPr>
    <w:rPr>
      <w:rFonts w:ascii="Times New Roman" w:hAnsi="Times New Roman" w:eastAsia="宋体" w:cs="Times New Roman"/>
      <w:lang w:val="en-US" w:eastAsia="zh-CN" w:bidi="ar-SA"/>
    </w:rPr>
  </w:style>
  <w:style w:type="character" w:customStyle="1" w:styleId="107">
    <w:name w:val="font01"/>
    <w:basedOn w:val="39"/>
    <w:autoRedefine/>
    <w:qFormat/>
    <w:uiPriority w:val="0"/>
    <w:rPr>
      <w:rFonts w:hint="eastAsia" w:ascii="仿宋" w:hAnsi="仿宋" w:eastAsia="仿宋" w:cs="仿宋"/>
      <w:color w:val="000000"/>
      <w:sz w:val="28"/>
      <w:szCs w:val="28"/>
      <w:u w:val="none"/>
    </w:rPr>
  </w:style>
  <w:style w:type="character" w:customStyle="1" w:styleId="108">
    <w:name w:val="font31"/>
    <w:basedOn w:val="39"/>
    <w:autoRedefine/>
    <w:qFormat/>
    <w:uiPriority w:val="0"/>
    <w:rPr>
      <w:rFonts w:hint="eastAsia" w:ascii="仿宋" w:hAnsi="仿宋" w:eastAsia="仿宋" w:cs="仿宋"/>
      <w:color w:val="000000"/>
      <w:sz w:val="24"/>
      <w:szCs w:val="24"/>
      <w:u w:val="none"/>
    </w:rPr>
  </w:style>
  <w:style w:type="character" w:customStyle="1" w:styleId="109">
    <w:name w:val="font11"/>
    <w:basedOn w:val="39"/>
    <w:autoRedefine/>
    <w:qFormat/>
    <w:uiPriority w:val="0"/>
    <w:rPr>
      <w:rFonts w:hint="eastAsia" w:ascii="宋体" w:hAnsi="宋体" w:eastAsia="宋体" w:cs="宋体"/>
      <w:color w:val="000000"/>
      <w:sz w:val="32"/>
      <w:szCs w:val="32"/>
      <w:u w:val="none"/>
    </w:rPr>
  </w:style>
  <w:style w:type="paragraph" w:customStyle="1" w:styleId="110">
    <w:name w:val="表格文字"/>
    <w:basedOn w:val="1"/>
    <w:autoRedefine/>
    <w:qFormat/>
    <w:uiPriority w:val="0"/>
    <w:pPr>
      <w:spacing w:before="120" w:after="120"/>
    </w:pPr>
    <w:rPr>
      <w:rFonts w:ascii="新宋体" w:hAnsi="宋体" w:eastAsia="新宋体" w:cstheme="minorBidi"/>
      <w:bCs/>
      <w:color w:val="000000"/>
      <w:sz w:val="18"/>
      <w:szCs w:val="18"/>
    </w:rPr>
  </w:style>
  <w:style w:type="paragraph" w:customStyle="1" w:styleId="111">
    <w:name w:val="正文格式"/>
    <w:basedOn w:val="1"/>
    <w:autoRedefine/>
    <w:qFormat/>
    <w:uiPriority w:val="0"/>
    <w:pPr>
      <w:adjustRightInd w:val="0"/>
      <w:snapToGrid w:val="0"/>
      <w:spacing w:line="400" w:lineRule="atLeast"/>
      <w:ind w:firstLine="482"/>
      <w:textAlignment w:val="baseline"/>
    </w:pPr>
  </w:style>
  <w:style w:type="paragraph" w:customStyle="1" w:styleId="112">
    <w:name w:val="※正文"/>
    <w:basedOn w:val="1"/>
    <w:next w:val="1"/>
    <w:qFormat/>
    <w:uiPriority w:val="0"/>
    <w:pPr>
      <w:widowControl/>
      <w:wordWrap w:val="0"/>
      <w:spacing w:line="400" w:lineRule="exact"/>
    </w:pPr>
    <w:rPr>
      <w:rFonts w:ascii="Calibri Light" w:hAnsi="Calibri Light" w:eastAsia="华文仿宋"/>
      <w:sz w:val="28"/>
      <w:szCs w:val="28"/>
    </w:rPr>
  </w:style>
  <w:style w:type="table" w:customStyle="1" w:styleId="113">
    <w:name w:val="Table Normal"/>
    <w:basedOn w:val="37"/>
    <w:qFormat/>
    <w:uiPriority w:val="0"/>
    <w:rPr>
      <w:rFonts w:ascii="Times New Roman" w:hAnsi="Times New Roman" w:eastAsia="Times New Roman" w:cs="Times New Roman"/>
      <w:kern w:val="0"/>
      <w:sz w:val="20"/>
      <w:szCs w:val="20"/>
      <w14:ligatures w14:val="none"/>
    </w:rPr>
    <w:tblPr>
      <w:tblCellMar>
        <w:left w:w="0" w:type="dxa"/>
        <w:right w:w="0" w:type="dxa"/>
      </w:tblCellMar>
    </w:tblPr>
  </w:style>
  <w:style w:type="paragraph" w:customStyle="1" w:styleId="114">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58</Pages>
  <Words>78</Words>
  <Characters>93</Characters>
  <Lines>176</Lines>
  <Paragraphs>49</Paragraphs>
  <TotalTime>5</TotalTime>
  <ScaleCrop>false</ScaleCrop>
  <LinksUpToDate>false</LinksUpToDate>
  <CharactersWithSpaces>113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2023-06-08T02:12:00Z</dcterms:created>
  <dc:creator>Administrator</dc:creator>
  <cp:lastModifiedBy>WPS_1528011989</cp:lastModifiedBy>
  <cp:lastPrinted>2023-06-12T01:09:00Z</cp:lastPrinted>
  <dcterms:modified xsi:type="dcterms:W3CDTF">2026-09-23T07:24:56Z</dcterms:modified>
  <dc:title>政府采购项目</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D56D5796D0FF43B6A86C21B36A2B4AC5_13</vt:lpwstr>
  </property>
  <property fmtid="{D5CDD505-2E9C-101B-9397-08002B2CF9AE}" pid="4" name="KSOTemplateDocerSaveRecord">
    <vt:lpwstr>eyJoZGlkIjoiMDg1OGE3YTllNWRkNjgwY2M5ZDEwMmY0ODQzZDFhY2IiLCJ1c2VySWQiOiIzNzU3MTM1MjkifQ==</vt:lpwstr>
  </property>
</Properties>
</file>