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版本号：陕融招字-2026-0506号20260522001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工程设备视觉图像与缺损检测智能分析系统及半导体材料力学性能分析系统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陕融招字-2026-0506号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工程设备视觉图像与缺损检测智能分析系统及半导体材料力学性能分析系统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陕融招字-2026-0506号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工程设备视觉图像与缺损检测智能分析系统及半导体材料力学性能分析系统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工程设备视觉图像与缺损检测智能分析系统及半导体材料力学性能分析系统采购项目，分为2个采购包。采购包1：工程设备视觉图像与缺损检测智能分析系统，采购包2：半导体材料力学性能分析系统，其中：采购包1：工程设备视觉图像与缺损检测智能分析系统，由工程装备虚拟仿真平台与工业视觉大模型检测平台组成。超高精度视觉成像与智能分析一体化，用于高端装备制造、智能运维、新材料研发等领域宏观检测和微观缺陷分析需求，提升工业质量检测的精度和效率，同时也为相关科学研究和数学学科建设提供支撑。采购包2：半导体材料力学性能分析系统，面向半导体器件多尺度、多物理场耦合力学仿真与高性能计算，特别是半导体材料与器件在极端条件下的力学行为，建立集大规模计算、高精度仿真和智能可视化于一体的科研与工程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采购包1（工程设备视觉图像与缺损检测智能分析系统）：属于专门面向中小企业采购。</w:t>
      </w:r>
    </w:p>
    <w:p>
      <w:pPr>
        <w:pStyle w:val="null3"/>
      </w:pPr>
      <w:r>
        <w:rPr>
          <w:rFonts w:ascii="仿宋_GB2312" w:hAnsi="仿宋_GB2312" w:cs="仿宋_GB2312" w:eastAsia="仿宋_GB2312"/>
        </w:rPr>
        <w:t>采购包2（半导体材料力学性能分析系统）：属于专门面向中小企业采购。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p>
          <w:p>
            <w:pPr>
              <w:pStyle w:val="null3"/>
            </w:pPr>
            <w:r>
              <w:rPr>
                <w:rFonts w:ascii="仿宋_GB2312" w:hAnsi="仿宋_GB2312" w:cs="仿宋_GB2312" w:eastAsia="仿宋_GB2312"/>
              </w:rPr>
              <w:t>采购包2：750,000.00元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工程设备视觉图像与缺损检测智能分析系统及半导体材料力学性能分析系统采购项目，分为2个采购包。采购包1：工程设备视觉图像与缺损检测智能分析系统，采购包2：半导体材料力学性能分析系统，其中：采购包1：工程设备视觉图像与缺损检测智能分析系统，由工程装备虚拟仿真平台与工业视觉大模型检测平台组成。超高精度视觉成像与智能分析一体化，用于高端装备制造、智能运维、新材料研发等领域宏观检测和微观缺陷分析需求，提升工业质量检测的精度和效率，同时也为相关科学研究和数学学科建设提供支撑。采购包2：半导体材料力学性能分析系统，面向半导体器件多尺度、多物理场耦合力学仿真与高性能计算，特别是半导体材料与器件在极端条件下的力学行为，建立集大规模计算、高精度仿真和智能可视化于一体的科研与工程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工程设备视觉图像与缺损检测智能分析系统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半导体材料力学性能分析系统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标的名称：工程设备视觉图像与缺损检测智能分析系统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一、工程装备虚拟仿真平台参数要求：</w:t>
            </w:r>
          </w:p>
          <w:p>
            <w:pPr>
              <w:pStyle w:val="null3"/>
              <w:jc w:val="left"/>
            </w:pPr>
            <w:r>
              <w:rPr>
                <w:rFonts w:ascii="仿宋_GB2312" w:hAnsi="仿宋_GB2312" w:cs="仿宋_GB2312" w:eastAsia="仿宋_GB2312"/>
                <w:sz w:val="21"/>
              </w:rPr>
              <w:t>1.基础平台：</w:t>
            </w:r>
          </w:p>
          <w:p>
            <w:pPr>
              <w:pStyle w:val="null3"/>
              <w:ind w:firstLine="210"/>
              <w:jc w:val="left"/>
            </w:pPr>
            <w:r>
              <w:rPr>
                <w:rFonts w:ascii="仿宋_GB2312" w:hAnsi="仿宋_GB2312" w:cs="仿宋_GB2312" w:eastAsia="仿宋_GB2312"/>
                <w:sz w:val="21"/>
              </w:rPr>
              <w:t>1.1多核架构：处理单元数量≥96个，内部存储容量≥512G；</w:t>
            </w:r>
          </w:p>
          <w:p>
            <w:pPr>
              <w:pStyle w:val="null3"/>
              <w:ind w:firstLine="210"/>
              <w:jc w:val="left"/>
            </w:pPr>
            <w:r>
              <w:rPr>
                <w:rFonts w:ascii="仿宋_GB2312" w:hAnsi="仿宋_GB2312" w:cs="仿宋_GB2312" w:eastAsia="仿宋_GB2312"/>
                <w:sz w:val="21"/>
              </w:rPr>
              <w:t>1.2图像与计算架构：</w:t>
            </w:r>
            <w:r>
              <w:rPr>
                <w:rFonts w:ascii="仿宋_GB2312" w:hAnsi="仿宋_GB2312" w:cs="仿宋_GB2312" w:eastAsia="仿宋_GB2312"/>
                <w:sz w:val="21"/>
              </w:rPr>
              <w:t>Ampere专业图像架构，并行计算CUDA处理单元数量≥40000个，显存容量≥192GB，显存位宽≥384bit，</w:t>
            </w:r>
            <w:r>
              <w:rPr>
                <w:rFonts w:ascii="仿宋_GB2312" w:hAnsi="仿宋_GB2312" w:cs="仿宋_GB2312" w:eastAsia="仿宋_GB2312"/>
                <w:sz w:val="21"/>
              </w:rPr>
              <w:t>配备</w:t>
            </w:r>
            <w:r>
              <w:rPr>
                <w:rFonts w:ascii="仿宋_GB2312" w:hAnsi="仿宋_GB2312" w:cs="仿宋_GB2312" w:eastAsia="仿宋_GB2312"/>
                <w:sz w:val="21"/>
              </w:rPr>
              <w:t>X16 FHFL GPU模块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w:t>
            </w:r>
            <w:r>
              <w:rPr>
                <w:rFonts w:ascii="仿宋_GB2312" w:hAnsi="仿宋_GB2312" w:cs="仿宋_GB2312" w:eastAsia="仿宋_GB2312"/>
                <w:sz w:val="21"/>
              </w:rPr>
              <w:t>3计算性能：FP32（单精度）性能≥200TFLOPS；TF32 Tensor Core性能≥200 TFLOPS</w:t>
            </w:r>
            <w:r>
              <w:rPr>
                <w:rFonts w:ascii="仿宋_GB2312" w:hAnsi="仿宋_GB2312" w:cs="仿宋_GB2312" w:eastAsia="仿宋_GB2312"/>
                <w:sz w:val="21"/>
              </w:rPr>
              <w:t>（单精度等效）</w:t>
            </w:r>
            <w:r>
              <w:rPr>
                <w:rFonts w:ascii="仿宋_GB2312" w:hAnsi="仿宋_GB2312" w:cs="仿宋_GB2312" w:eastAsia="仿宋_GB2312"/>
                <w:sz w:val="21"/>
              </w:rPr>
              <w:t>,BFloat 16 Tensor Core 性能≥400 TFLOPS,INT8 Tensor Core性能≥800TFLOPS;</w:t>
            </w:r>
          </w:p>
          <w:p>
            <w:pPr>
              <w:pStyle w:val="null3"/>
              <w:ind w:firstLine="210"/>
              <w:jc w:val="left"/>
            </w:pPr>
            <w:r>
              <w:rPr>
                <w:rFonts w:ascii="仿宋_GB2312" w:hAnsi="仿宋_GB2312" w:cs="仿宋_GB2312" w:eastAsia="仿宋_GB2312"/>
                <w:sz w:val="21"/>
              </w:rPr>
              <w:t>1.4编程支持：</w:t>
            </w:r>
            <w:r>
              <w:rPr>
                <w:rFonts w:ascii="仿宋_GB2312" w:hAnsi="仿宋_GB2312" w:cs="仿宋_GB2312" w:eastAsia="仿宋_GB2312"/>
                <w:sz w:val="21"/>
              </w:rPr>
              <w:t>BLAS、ATLAS等科学计算库</w:t>
            </w:r>
            <w:r>
              <w:rPr>
                <w:rFonts w:ascii="仿宋_GB2312" w:hAnsi="仿宋_GB2312" w:cs="仿宋_GB2312" w:eastAsia="仿宋_GB2312"/>
                <w:sz w:val="21"/>
              </w:rPr>
              <w:t>；</w:t>
            </w:r>
            <w:r>
              <w:rPr>
                <w:rFonts w:ascii="仿宋_GB2312" w:hAnsi="仿宋_GB2312" w:cs="仿宋_GB2312" w:eastAsia="仿宋_GB2312"/>
                <w:sz w:val="21"/>
              </w:rPr>
              <w:t>兼容</w:t>
            </w:r>
            <w:r>
              <w:rPr>
                <w:rFonts w:ascii="仿宋_GB2312" w:hAnsi="仿宋_GB2312" w:cs="仿宋_GB2312" w:eastAsia="仿宋_GB2312"/>
                <w:sz w:val="21"/>
              </w:rPr>
              <w:t>MPI1.2/2.0</w:t>
            </w:r>
            <w:r>
              <w:rPr>
                <w:rFonts w:ascii="仿宋_GB2312" w:hAnsi="仿宋_GB2312" w:cs="仿宋_GB2312" w:eastAsia="仿宋_GB2312"/>
                <w:sz w:val="21"/>
              </w:rPr>
              <w:t>协议，</w:t>
            </w:r>
            <w:r>
              <w:rPr>
                <w:rFonts w:ascii="仿宋_GB2312" w:hAnsi="仿宋_GB2312" w:cs="仿宋_GB2312" w:eastAsia="仿宋_GB2312"/>
                <w:sz w:val="21"/>
              </w:rPr>
              <w:t>OpenMP</w:t>
            </w:r>
            <w:r>
              <w:rPr>
                <w:rFonts w:ascii="仿宋_GB2312" w:hAnsi="仿宋_GB2312" w:cs="仿宋_GB2312" w:eastAsia="仿宋_GB2312"/>
                <w:sz w:val="21"/>
              </w:rPr>
              <w:t>并行编程</w:t>
            </w:r>
            <w:r>
              <w:rPr>
                <w:rFonts w:ascii="仿宋_GB2312" w:hAnsi="仿宋_GB2312" w:cs="仿宋_GB2312" w:eastAsia="仿宋_GB2312"/>
                <w:sz w:val="21"/>
              </w:rPr>
              <w:t>，</w:t>
            </w:r>
            <w:r>
              <w:rPr>
                <w:rFonts w:ascii="仿宋_GB2312" w:hAnsi="仿宋_GB2312" w:cs="仿宋_GB2312" w:eastAsia="仿宋_GB2312"/>
                <w:sz w:val="21"/>
              </w:rPr>
              <w:t>MPI与OpenMP混合编程</w:t>
            </w:r>
            <w:r>
              <w:rPr>
                <w:rFonts w:ascii="仿宋_GB2312" w:hAnsi="仿宋_GB2312" w:cs="仿宋_GB2312" w:eastAsia="仿宋_GB2312"/>
                <w:sz w:val="21"/>
              </w:rPr>
              <w:t>模式</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1.5</w:t>
            </w:r>
            <w:r>
              <w:rPr>
                <w:rFonts w:ascii="仿宋_GB2312" w:hAnsi="仿宋_GB2312" w:cs="仿宋_GB2312" w:eastAsia="仿宋_GB2312"/>
                <w:sz w:val="21"/>
              </w:rPr>
              <w:t>编译环境</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CUDA编程框架，</w:t>
            </w:r>
            <w:r>
              <w:rPr>
                <w:rFonts w:ascii="仿宋_GB2312" w:hAnsi="仿宋_GB2312" w:cs="仿宋_GB2312" w:eastAsia="仿宋_GB2312"/>
                <w:sz w:val="21"/>
              </w:rPr>
              <w:t>兼容</w:t>
            </w:r>
            <w:r>
              <w:rPr>
                <w:rFonts w:ascii="仿宋_GB2312" w:hAnsi="仿宋_GB2312" w:cs="仿宋_GB2312" w:eastAsia="仿宋_GB2312"/>
                <w:sz w:val="21"/>
              </w:rPr>
              <w:t>C/C++，Fortran等编译器，满足多语言开发需求</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1.6作业管理：多用户</w:t>
            </w:r>
            <w:r>
              <w:rPr>
                <w:rFonts w:ascii="仿宋_GB2312" w:hAnsi="仿宋_GB2312" w:cs="仿宋_GB2312" w:eastAsia="仿宋_GB2312"/>
                <w:sz w:val="21"/>
              </w:rPr>
              <w:t>作业提交</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命令行、</w:t>
            </w:r>
            <w:r>
              <w:rPr>
                <w:rFonts w:ascii="仿宋_GB2312" w:hAnsi="仿宋_GB2312" w:cs="仿宋_GB2312" w:eastAsia="仿宋_GB2312"/>
                <w:sz w:val="21"/>
              </w:rPr>
              <w:t>Web界面</w:t>
            </w:r>
            <w:r>
              <w:rPr>
                <w:rFonts w:ascii="仿宋_GB2312" w:hAnsi="仿宋_GB2312" w:cs="仿宋_GB2312" w:eastAsia="仿宋_GB2312"/>
                <w:sz w:val="21"/>
              </w:rPr>
              <w:t>两种</w:t>
            </w:r>
            <w:r>
              <w:rPr>
                <w:rFonts w:ascii="仿宋_GB2312" w:hAnsi="仿宋_GB2312" w:cs="仿宋_GB2312" w:eastAsia="仿宋_GB2312"/>
                <w:sz w:val="21"/>
              </w:rPr>
              <w:t>作业提交</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2.虚拟仿真管理</w:t>
            </w:r>
          </w:p>
          <w:p>
            <w:pPr>
              <w:pStyle w:val="null3"/>
              <w:ind w:firstLine="210"/>
              <w:jc w:val="left"/>
            </w:pPr>
            <w:r>
              <w:rPr>
                <w:rFonts w:ascii="仿宋_GB2312" w:hAnsi="仿宋_GB2312" w:cs="仿宋_GB2312" w:eastAsia="仿宋_GB2312"/>
                <w:sz w:val="21"/>
              </w:rPr>
              <w:t>2.1仿真引擎：虚拟仿真引擎能创建虚拟场景、定义物理规则、开发交互逻辑和渲染最终画面。</w:t>
            </w:r>
          </w:p>
          <w:p>
            <w:pPr>
              <w:pStyle w:val="null3"/>
              <w:ind w:firstLine="210"/>
              <w:jc w:val="left"/>
            </w:pPr>
            <w:r>
              <w:rPr>
                <w:rFonts w:ascii="仿宋_GB2312" w:hAnsi="仿宋_GB2312" w:cs="仿宋_GB2312" w:eastAsia="仿宋_GB2312"/>
                <w:sz w:val="21"/>
              </w:rPr>
              <w:t>2.2示教功能：具有虚拟示教器示教功能，能够通过虚拟示教器实现对机器人的手动操作以及程序代码的编辑和运行；</w:t>
            </w:r>
          </w:p>
          <w:p>
            <w:pPr>
              <w:pStyle w:val="null3"/>
              <w:ind w:firstLine="210"/>
              <w:jc w:val="left"/>
            </w:pPr>
            <w:r>
              <w:rPr>
                <w:rFonts w:ascii="仿宋_GB2312" w:hAnsi="仿宋_GB2312" w:cs="仿宋_GB2312" w:eastAsia="仿宋_GB2312"/>
                <w:sz w:val="21"/>
              </w:rPr>
              <w:t>2.3多通道支持：支持多通道配置和渲染，使基于沉浸式系统的多个屏幕和多个终端的高分辨率图像信号同步。</w:t>
            </w:r>
          </w:p>
          <w:p>
            <w:pPr>
              <w:pStyle w:val="null3"/>
              <w:ind w:firstLine="210"/>
              <w:jc w:val="left"/>
            </w:pPr>
            <w:r>
              <w:rPr>
                <w:rFonts w:ascii="仿宋_GB2312" w:hAnsi="仿宋_GB2312" w:cs="仿宋_GB2312" w:eastAsia="仿宋_GB2312"/>
                <w:sz w:val="21"/>
              </w:rPr>
              <w:t>2.4集中管控：支持集中管理所有的虚拟现实相关运算，包括交互设备接口、立体视觉和集群，支持光学追踪。</w:t>
            </w:r>
          </w:p>
          <w:p>
            <w:pPr>
              <w:pStyle w:val="null3"/>
              <w:jc w:val="left"/>
            </w:pPr>
            <w:r>
              <w:rPr>
                <w:rFonts w:ascii="仿宋_GB2312" w:hAnsi="仿宋_GB2312" w:cs="仿宋_GB2312" w:eastAsia="仿宋_GB2312"/>
                <w:sz w:val="21"/>
              </w:rPr>
              <w:t>3.管理电源：</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3.1管控功能：本地+远程管控，</w:t>
            </w:r>
            <w:r>
              <w:rPr>
                <w:rFonts w:ascii="仿宋_GB2312" w:hAnsi="仿宋_GB2312" w:cs="仿宋_GB2312" w:eastAsia="仿宋_GB2312"/>
                <w:sz w:val="21"/>
              </w:rPr>
              <w:t>自带</w:t>
            </w:r>
            <w:r>
              <w:rPr>
                <w:rFonts w:ascii="仿宋_GB2312" w:hAnsi="仿宋_GB2312" w:cs="仿宋_GB2312" w:eastAsia="仿宋_GB2312"/>
                <w:sz w:val="21"/>
              </w:rPr>
              <w:t>状态显示屏；远程监控端口电流、电压、功率、温度，具备总量监测超限预警功能。输入电压</w:t>
            </w:r>
            <w:r>
              <w:rPr>
                <w:rFonts w:ascii="仿宋_GB2312" w:hAnsi="仿宋_GB2312" w:cs="仿宋_GB2312" w:eastAsia="仿宋_GB2312"/>
                <w:sz w:val="21"/>
              </w:rPr>
              <w:t>220V，功率≥2200W。</w:t>
            </w:r>
          </w:p>
          <w:p>
            <w:pPr>
              <w:pStyle w:val="null3"/>
              <w:jc w:val="left"/>
            </w:pPr>
            <w:r>
              <w:rPr>
                <w:rFonts w:ascii="仿宋_GB2312" w:hAnsi="仿宋_GB2312" w:cs="仿宋_GB2312" w:eastAsia="仿宋_GB2312"/>
                <w:sz w:val="21"/>
              </w:rPr>
              <w:t>4.数据安全保护</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支持</w:t>
            </w:r>
            <w:r>
              <w:rPr>
                <w:rFonts w:ascii="仿宋_GB2312" w:hAnsi="仿宋_GB2312" w:cs="仿宋_GB2312" w:eastAsia="仿宋_GB2312"/>
                <w:sz w:val="21"/>
              </w:rPr>
              <w:t>基于角色的访</w:t>
            </w:r>
            <w:r>
              <w:rPr>
                <w:rFonts w:ascii="仿宋_GB2312" w:hAnsi="仿宋_GB2312" w:cs="仿宋_GB2312" w:eastAsia="仿宋_GB2312"/>
                <w:sz w:val="21"/>
              </w:rPr>
              <w:t>问控制机制，满足多角色、多租户的权限隔离需求。</w:t>
            </w:r>
          </w:p>
          <w:p>
            <w:pPr>
              <w:pStyle w:val="null3"/>
              <w:ind w:firstLine="210"/>
              <w:jc w:val="left"/>
            </w:pPr>
            <w:r>
              <w:rPr>
                <w:rFonts w:ascii="仿宋_GB2312" w:hAnsi="仿宋_GB2312" w:cs="仿宋_GB2312" w:eastAsia="仿宋_GB2312"/>
                <w:sz w:val="21"/>
              </w:rPr>
              <w:t>4.2支持多种后端服务的统一接入与管理能力。</w:t>
            </w:r>
          </w:p>
          <w:p>
            <w:pPr>
              <w:pStyle w:val="null3"/>
              <w:ind w:firstLine="210"/>
              <w:jc w:val="left"/>
            </w:pPr>
            <w:r>
              <w:rPr>
                <w:rFonts w:ascii="仿宋_GB2312" w:hAnsi="仿宋_GB2312" w:cs="仿宋_GB2312" w:eastAsia="仿宋_GB2312"/>
                <w:sz w:val="21"/>
              </w:rPr>
              <w:t>4.3支持服务实例的负载均衡与故障自动切换机制。</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4.4支持租户级资源使用控制，包括配额管理与优先级调度能力。</w:t>
            </w:r>
          </w:p>
          <w:p>
            <w:pPr>
              <w:pStyle w:val="null3"/>
              <w:ind w:firstLine="210"/>
              <w:jc w:val="left"/>
            </w:pPr>
            <w:r>
              <w:rPr>
                <w:rFonts w:ascii="仿宋_GB2312" w:hAnsi="仿宋_GB2312" w:cs="仿宋_GB2312" w:eastAsia="仿宋_GB2312"/>
                <w:sz w:val="21"/>
              </w:rPr>
              <w:t>4.5 支持数据传输与存储的安全保护机制。</w:t>
            </w:r>
          </w:p>
          <w:p>
            <w:pPr>
              <w:pStyle w:val="null3"/>
              <w:ind w:firstLine="210"/>
              <w:jc w:val="left"/>
            </w:pPr>
            <w:r>
              <w:rPr>
                <w:rFonts w:ascii="仿宋_GB2312" w:hAnsi="仿宋_GB2312" w:cs="仿宋_GB2312" w:eastAsia="仿宋_GB2312"/>
                <w:sz w:val="21"/>
              </w:rPr>
              <w:t>4.6提供操作审计能力，满足长期审计留存要求。</w:t>
            </w:r>
          </w:p>
          <w:p>
            <w:pPr>
              <w:pStyle w:val="null3"/>
              <w:ind w:firstLine="210"/>
              <w:jc w:val="left"/>
            </w:pPr>
            <w:r>
              <w:rPr>
                <w:rFonts w:ascii="仿宋_GB2312" w:hAnsi="仿宋_GB2312" w:cs="仿宋_GB2312" w:eastAsia="仿宋_GB2312"/>
                <w:sz w:val="21"/>
              </w:rPr>
              <w:t>4.7支持系统配置与数据的备份与恢复能力。</w:t>
            </w:r>
          </w:p>
          <w:p>
            <w:pPr>
              <w:pStyle w:val="null3"/>
              <w:ind w:firstLine="210"/>
              <w:jc w:val="left"/>
            </w:pPr>
            <w:r>
              <w:rPr>
                <w:rFonts w:ascii="仿宋_GB2312" w:hAnsi="仿宋_GB2312" w:cs="仿宋_GB2312" w:eastAsia="仿宋_GB2312"/>
                <w:sz w:val="21"/>
              </w:rPr>
              <w:t>4.8支持服务调用日志的记录与审计追溯能力，可以将记录中需要关注的内容定义为事件，提醒管理人员进行处置。</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4.9多个事件可组合形成关联事件规则，可自定义整个关联事件规则发生的时间范围以及关联规则执行的频率；起始事件可以设置发生多少次，作为成立条件，其他顺序的事件可以设置：发生次数，不会发生或不会在多长时间内发生，作为成立条件。</w:t>
            </w:r>
          </w:p>
          <w:p>
            <w:pPr>
              <w:pStyle w:val="null3"/>
              <w:spacing w:before="60" w:after="60"/>
              <w:jc w:val="both"/>
            </w:pPr>
            <w:r>
              <w:rPr>
                <w:rFonts w:ascii="仿宋_GB2312" w:hAnsi="仿宋_GB2312" w:cs="仿宋_GB2312" w:eastAsia="仿宋_GB2312"/>
                <w:sz w:val="21"/>
              </w:rPr>
              <w:t>5.控制仪：</w:t>
            </w:r>
          </w:p>
          <w:p>
            <w:pPr>
              <w:pStyle w:val="null3"/>
              <w:ind w:firstLine="210"/>
              <w:jc w:val="left"/>
            </w:pPr>
            <w:r>
              <w:rPr>
                <w:rFonts w:ascii="仿宋_GB2312" w:hAnsi="仿宋_GB2312" w:cs="仿宋_GB2312" w:eastAsia="仿宋_GB2312"/>
                <w:sz w:val="21"/>
              </w:rPr>
              <w:t>5.1按键配置：</w:t>
            </w:r>
            <w:r>
              <w:rPr>
                <w:rFonts w:ascii="仿宋_GB2312" w:hAnsi="仿宋_GB2312" w:cs="仿宋_GB2312" w:eastAsia="仿宋_GB2312"/>
                <w:sz w:val="21"/>
              </w:rPr>
              <w:t>正面</w:t>
            </w:r>
            <w:r>
              <w:rPr>
                <w:rFonts w:ascii="仿宋_GB2312" w:hAnsi="仿宋_GB2312" w:cs="仿宋_GB2312" w:eastAsia="仿宋_GB2312"/>
                <w:sz w:val="21"/>
              </w:rPr>
              <w:t>配置</w:t>
            </w:r>
            <w:r>
              <w:rPr>
                <w:rFonts w:ascii="仿宋_GB2312" w:hAnsi="仿宋_GB2312" w:cs="仿宋_GB2312" w:eastAsia="仿宋_GB2312"/>
                <w:sz w:val="21"/>
              </w:rPr>
              <w:t>静音三键（含</w:t>
            </w:r>
            <w:r>
              <w:rPr>
                <w:rFonts w:ascii="仿宋_GB2312" w:hAnsi="仿宋_GB2312" w:cs="仿宋_GB2312" w:eastAsia="仿宋_GB2312"/>
                <w:sz w:val="21"/>
              </w:rPr>
              <w:t>1个触摸式滑动按键），背面</w:t>
            </w:r>
            <w:r>
              <w:rPr>
                <w:rFonts w:ascii="仿宋_GB2312" w:hAnsi="仿宋_GB2312" w:cs="仿宋_GB2312" w:eastAsia="仿宋_GB2312"/>
                <w:sz w:val="21"/>
              </w:rPr>
              <w:t>配备</w:t>
            </w:r>
            <w:r>
              <w:rPr>
                <w:rFonts w:ascii="仿宋_GB2312" w:hAnsi="仿宋_GB2312" w:cs="仿宋_GB2312" w:eastAsia="仿宋_GB2312"/>
                <w:sz w:val="21"/>
              </w:rPr>
              <w:t>环形五键，支持演示内容的开始</w:t>
            </w:r>
            <w:r>
              <w:rPr>
                <w:rFonts w:ascii="仿宋_GB2312" w:hAnsi="仿宋_GB2312" w:cs="仿宋_GB2312" w:eastAsia="仿宋_GB2312"/>
                <w:sz w:val="21"/>
              </w:rPr>
              <w:t>、</w:t>
            </w:r>
            <w:r>
              <w:rPr>
                <w:rFonts w:ascii="仿宋_GB2312" w:hAnsi="仿宋_GB2312" w:cs="仿宋_GB2312" w:eastAsia="仿宋_GB2312"/>
                <w:sz w:val="21"/>
              </w:rPr>
              <w:t>结束</w:t>
            </w:r>
            <w:r>
              <w:rPr>
                <w:rFonts w:ascii="仿宋_GB2312" w:hAnsi="仿宋_GB2312" w:cs="仿宋_GB2312" w:eastAsia="仿宋_GB2312"/>
                <w:sz w:val="21"/>
              </w:rPr>
              <w:t>、</w:t>
            </w:r>
            <w:r>
              <w:rPr>
                <w:rFonts w:ascii="仿宋_GB2312" w:hAnsi="仿宋_GB2312" w:cs="仿宋_GB2312" w:eastAsia="仿宋_GB2312"/>
                <w:sz w:val="21"/>
              </w:rPr>
              <w:t>向前</w:t>
            </w:r>
            <w:r>
              <w:rPr>
                <w:rFonts w:ascii="仿宋_GB2312" w:hAnsi="仿宋_GB2312" w:cs="仿宋_GB2312" w:eastAsia="仿宋_GB2312"/>
                <w:sz w:val="21"/>
              </w:rPr>
              <w:t>、</w:t>
            </w:r>
            <w:r>
              <w:rPr>
                <w:rFonts w:ascii="仿宋_GB2312" w:hAnsi="仿宋_GB2312" w:cs="仿宋_GB2312" w:eastAsia="仿宋_GB2312"/>
                <w:sz w:val="21"/>
              </w:rPr>
              <w:t>向后及选择确定</w:t>
            </w:r>
            <w:r>
              <w:rPr>
                <w:rFonts w:ascii="仿宋_GB2312" w:hAnsi="仿宋_GB2312" w:cs="仿宋_GB2312" w:eastAsia="仿宋_GB2312"/>
                <w:sz w:val="21"/>
              </w:rPr>
              <w:t>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5.2性能参数：</w:t>
            </w:r>
            <w:r>
              <w:rPr>
                <w:rFonts w:ascii="仿宋_GB2312" w:hAnsi="仿宋_GB2312" w:cs="仿宋_GB2312" w:eastAsia="仿宋_GB2312"/>
                <w:sz w:val="21"/>
              </w:rPr>
              <w:t>控制仪分辨率</w:t>
            </w:r>
            <w:r>
              <w:rPr>
                <w:rFonts w:ascii="仿宋_GB2312" w:hAnsi="仿宋_GB2312" w:cs="仿宋_GB2312" w:eastAsia="仿宋_GB2312"/>
                <w:sz w:val="21"/>
              </w:rPr>
              <w:t>≥1200DPI，虚拟指示，精准演示，360</w:t>
            </w:r>
            <w:r>
              <w:rPr>
                <w:rFonts w:ascii="仿宋_GB2312" w:hAnsi="仿宋_GB2312" w:cs="仿宋_GB2312" w:eastAsia="仿宋_GB2312"/>
                <w:sz w:val="21"/>
              </w:rPr>
              <w:t>°</w:t>
            </w:r>
            <w:r>
              <w:rPr>
                <w:rFonts w:ascii="仿宋_GB2312" w:hAnsi="仿宋_GB2312" w:cs="仿宋_GB2312" w:eastAsia="仿宋_GB2312"/>
                <w:sz w:val="21"/>
              </w:rPr>
              <w:t>旋转</w:t>
            </w:r>
            <w:r>
              <w:rPr>
                <w:rFonts w:ascii="仿宋_GB2312" w:hAnsi="仿宋_GB2312" w:cs="仿宋_GB2312" w:eastAsia="仿宋_GB2312"/>
                <w:sz w:val="21"/>
              </w:rPr>
              <w:t>操作</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二、工业视觉大模型检测平台参数要求：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主体工作台：</w:t>
            </w:r>
          </w:p>
          <w:p>
            <w:pPr>
              <w:pStyle w:val="null3"/>
              <w:ind w:firstLine="420"/>
              <w:jc w:val="left"/>
            </w:pPr>
            <w:r>
              <w:rPr>
                <w:rFonts w:ascii="仿宋_GB2312" w:hAnsi="仿宋_GB2312" w:cs="仿宋_GB2312" w:eastAsia="仿宋_GB2312"/>
                <w:sz w:val="21"/>
              </w:rPr>
              <w:t>外形尺寸（长</w:t>
            </w:r>
            <w:r>
              <w:rPr>
                <w:rFonts w:ascii="仿宋_GB2312" w:hAnsi="仿宋_GB2312" w:cs="仿宋_GB2312" w:eastAsia="仿宋_GB2312"/>
                <w:sz w:val="21"/>
              </w:rPr>
              <w:t>×宽×高）：≥1100×1000×800mm（整体），桌面材质铝型材，厚度≥1.0mm，平台下部结构为钣金封板；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2.高精度工业相机：</w:t>
            </w:r>
          </w:p>
          <w:p>
            <w:pPr>
              <w:pStyle w:val="null3"/>
              <w:ind w:firstLine="420"/>
              <w:jc w:val="left"/>
            </w:pPr>
            <w:r>
              <w:rPr>
                <w:rFonts w:ascii="仿宋_GB2312" w:hAnsi="仿宋_GB2312" w:cs="仿宋_GB2312" w:eastAsia="仿宋_GB2312"/>
                <w:sz w:val="21"/>
              </w:rPr>
              <w:t>彩色全局快门</w:t>
            </w:r>
            <w:r>
              <w:rPr>
                <w:rFonts w:ascii="仿宋_GB2312" w:hAnsi="仿宋_GB2312" w:cs="仿宋_GB2312" w:eastAsia="仿宋_GB2312"/>
                <w:sz w:val="21"/>
              </w:rPr>
              <w:t>2D工业相机，分辨率≥2048×1536像素，2.3芯片尺寸≥1/3”（英寸）,全局快门芯片,最大帧率≥ 60fps；</w:t>
            </w:r>
          </w:p>
          <w:p>
            <w:pPr>
              <w:pStyle w:val="null3"/>
              <w:jc w:val="left"/>
            </w:pPr>
            <w:r>
              <w:rPr>
                <w:rFonts w:ascii="仿宋_GB2312" w:hAnsi="仿宋_GB2312" w:cs="仿宋_GB2312" w:eastAsia="仿宋_GB2312"/>
                <w:sz w:val="21"/>
              </w:rPr>
              <w:t>3.焦距定焦工业镜头：</w:t>
            </w:r>
          </w:p>
          <w:p>
            <w:pPr>
              <w:pStyle w:val="null3"/>
              <w:ind w:firstLine="420"/>
              <w:jc w:val="left"/>
            </w:pPr>
            <w:r>
              <w:rPr>
                <w:rFonts w:ascii="仿宋_GB2312" w:hAnsi="仿宋_GB2312" w:cs="仿宋_GB2312" w:eastAsia="仿宋_GB2312"/>
                <w:sz w:val="21"/>
              </w:rPr>
              <w:t>8mm 和 25mm 焦距定焦工业镜头各一支，分辨率≥600万像素，支持 2/3”（英寸）相机芯片；</w:t>
            </w:r>
          </w:p>
          <w:p>
            <w:pPr>
              <w:pStyle w:val="null3"/>
              <w:jc w:val="left"/>
            </w:pPr>
            <w:r>
              <w:rPr>
                <w:rFonts w:ascii="仿宋_GB2312" w:hAnsi="仿宋_GB2312" w:cs="仿宋_GB2312" w:eastAsia="仿宋_GB2312"/>
                <w:sz w:val="21"/>
              </w:rPr>
              <w:t>4.视觉光源：</w:t>
            </w:r>
          </w:p>
          <w:p>
            <w:pPr>
              <w:pStyle w:val="null3"/>
              <w:ind w:firstLine="420"/>
              <w:jc w:val="left"/>
            </w:pPr>
            <w:r>
              <w:rPr>
                <w:rFonts w:ascii="仿宋_GB2312" w:hAnsi="仿宋_GB2312" w:cs="仿宋_GB2312" w:eastAsia="仿宋_GB2312"/>
                <w:sz w:val="21"/>
              </w:rPr>
              <w:t>直射环形光源，配备漫射板，发光面外径</w:t>
            </w:r>
            <w:r>
              <w:rPr>
                <w:rFonts w:ascii="仿宋_GB2312" w:hAnsi="仿宋_GB2312" w:cs="仿宋_GB2312" w:eastAsia="仿宋_GB2312"/>
                <w:sz w:val="21"/>
              </w:rPr>
              <w:t>≥80mm，内径≥40mm， 内置RGB LED灯珠，光源外壳带外螺纹；</w:t>
            </w:r>
          </w:p>
          <w:p>
            <w:pPr>
              <w:pStyle w:val="null3"/>
              <w:jc w:val="left"/>
            </w:pPr>
            <w:r>
              <w:rPr>
                <w:rFonts w:ascii="仿宋_GB2312" w:hAnsi="仿宋_GB2312" w:cs="仿宋_GB2312" w:eastAsia="仿宋_GB2312"/>
                <w:sz w:val="21"/>
              </w:rPr>
              <w:t>5.工业扫描仪：</w:t>
            </w:r>
          </w:p>
          <w:p>
            <w:pPr>
              <w:pStyle w:val="null3"/>
              <w:ind w:firstLine="420"/>
              <w:jc w:val="left"/>
            </w:pPr>
            <w:r>
              <w:rPr>
                <w:rFonts w:ascii="仿宋_GB2312" w:hAnsi="仿宋_GB2312" w:cs="仿宋_GB2312" w:eastAsia="仿宋_GB2312"/>
                <w:sz w:val="21"/>
              </w:rPr>
              <w:t>5.1基于SLAM技术，无需GNSS信号；</w:t>
            </w:r>
          </w:p>
          <w:p>
            <w:pPr>
              <w:pStyle w:val="null3"/>
              <w:ind w:firstLine="420"/>
              <w:jc w:val="left"/>
            </w:pPr>
            <w:r>
              <w:rPr>
                <w:rFonts w:ascii="仿宋_GB2312" w:hAnsi="仿宋_GB2312" w:cs="仿宋_GB2312" w:eastAsia="仿宋_GB2312"/>
                <w:sz w:val="21"/>
              </w:rPr>
              <w:t>5.2相对精度：1-3cm；</w:t>
            </w:r>
          </w:p>
          <w:p>
            <w:pPr>
              <w:pStyle w:val="null3"/>
              <w:ind w:firstLine="420"/>
              <w:jc w:val="left"/>
            </w:pPr>
            <w:r>
              <w:rPr>
                <w:rFonts w:ascii="仿宋_GB2312" w:hAnsi="仿宋_GB2312" w:cs="仿宋_GB2312" w:eastAsia="仿宋_GB2312"/>
                <w:sz w:val="21"/>
              </w:rPr>
              <w:t>5.3绝对精度：3-30cm；</w:t>
            </w:r>
          </w:p>
          <w:p>
            <w:pPr>
              <w:pStyle w:val="null3"/>
              <w:ind w:firstLine="420"/>
              <w:jc w:val="left"/>
            </w:pPr>
            <w:r>
              <w:rPr>
                <w:rFonts w:ascii="仿宋_GB2312" w:hAnsi="仿宋_GB2312" w:cs="仿宋_GB2312" w:eastAsia="仿宋_GB2312"/>
                <w:sz w:val="21"/>
              </w:rPr>
              <w:t>5.4  360°旋转式扫描；扫描视场角≥250°×360°；</w:t>
            </w:r>
          </w:p>
          <w:p>
            <w:pPr>
              <w:pStyle w:val="null3"/>
              <w:ind w:firstLine="420"/>
              <w:jc w:val="left"/>
            </w:pPr>
            <w:r>
              <w:rPr>
                <w:rFonts w:ascii="仿宋_GB2312" w:hAnsi="仿宋_GB2312" w:cs="仿宋_GB2312" w:eastAsia="仿宋_GB2312"/>
                <w:sz w:val="21"/>
              </w:rPr>
              <w:t>5.5核心部件防水防尘等级：IP67；</w:t>
            </w:r>
          </w:p>
          <w:p>
            <w:pPr>
              <w:pStyle w:val="null3"/>
              <w:ind w:firstLine="420"/>
              <w:jc w:val="left"/>
            </w:pPr>
            <w:r>
              <w:rPr>
                <w:rFonts w:ascii="仿宋_GB2312" w:hAnsi="仿宋_GB2312" w:cs="仿宋_GB2312" w:eastAsia="仿宋_GB2312"/>
                <w:sz w:val="21"/>
              </w:rPr>
              <w:t>5.6同步采集实景视频数据，视频分辨率≥4K，可与点云数据进行时间同步；</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仿真软件</w:t>
            </w:r>
          </w:p>
          <w:p>
            <w:pPr>
              <w:pStyle w:val="null3"/>
              <w:ind w:firstLine="420"/>
              <w:jc w:val="left"/>
            </w:pPr>
            <w:r>
              <w:rPr>
                <w:rFonts w:ascii="仿宋_GB2312" w:hAnsi="仿宋_GB2312" w:cs="仿宋_GB2312" w:eastAsia="仿宋_GB2312"/>
                <w:sz w:val="21"/>
              </w:rPr>
              <w:t>6.1交互式开发工具模块数量≥130个；</w:t>
            </w:r>
          </w:p>
          <w:p>
            <w:pPr>
              <w:pStyle w:val="null3"/>
              <w:ind w:firstLine="420"/>
              <w:jc w:val="left"/>
            </w:pPr>
            <w:r>
              <w:rPr>
                <w:rFonts w:ascii="仿宋_GB2312" w:hAnsi="仿宋_GB2312" w:cs="仿宋_GB2312" w:eastAsia="仿宋_GB2312"/>
                <w:sz w:val="21"/>
              </w:rPr>
              <w:t>6.2图像处理算子支持多种操作系统和图像采集硬件设备，能支撑机器视觉应用领域中定位、测量、识别、检测等需求；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6.3支持拖拽式操作，可低代码快速搭架视觉检测方案；</w:t>
            </w:r>
            <w:r>
              <w:rPr>
                <w:rFonts w:ascii="仿宋_GB2312" w:hAnsi="仿宋_GB2312" w:cs="仿宋_GB2312" w:eastAsia="仿宋_GB2312"/>
                <w:sz w:val="21"/>
                <w:b/>
              </w:rPr>
              <w:t>【佐证材料：提供软件界面截图及承诺书】</w:t>
            </w:r>
          </w:p>
          <w:p>
            <w:pPr>
              <w:pStyle w:val="null3"/>
            </w:pPr>
            <w:r>
              <w:rPr>
                <w:rFonts w:ascii="仿宋_GB2312" w:hAnsi="仿宋_GB2312" w:cs="仿宋_GB2312" w:eastAsia="仿宋_GB2312"/>
                <w:sz w:val="21"/>
              </w:rPr>
              <w:t>6.4模块运行状态独立标识，实时显示，</w:t>
            </w:r>
            <w:r>
              <w:rPr>
                <w:rFonts w:ascii="仿宋_GB2312" w:hAnsi="仿宋_GB2312" w:cs="仿宋_GB2312" w:eastAsia="仿宋_GB2312"/>
                <w:sz w:val="21"/>
              </w:rPr>
              <w:t>可</w:t>
            </w:r>
            <w:r>
              <w:rPr>
                <w:rFonts w:ascii="仿宋_GB2312" w:hAnsi="仿宋_GB2312" w:cs="仿宋_GB2312" w:eastAsia="仿宋_GB2312"/>
                <w:sz w:val="21"/>
              </w:rPr>
              <w:t>根据需求创建视觉方案。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标的名称：半导体材料力学性能分析系统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一、数据分析处理平台参数要求：</w:t>
            </w:r>
          </w:p>
          <w:p>
            <w:pPr>
              <w:pStyle w:val="null3"/>
              <w:jc w:val="left"/>
            </w:pPr>
            <w:r>
              <w:rPr>
                <w:rFonts w:ascii="仿宋_GB2312" w:hAnsi="仿宋_GB2312" w:cs="仿宋_GB2312" w:eastAsia="仿宋_GB2312"/>
                <w:sz w:val="21"/>
              </w:rPr>
              <w:t>1.多核仿真处理单元≥128</w:t>
            </w:r>
            <w:r>
              <w:rPr>
                <w:rFonts w:ascii="仿宋_GB2312" w:hAnsi="仿宋_GB2312" w:cs="仿宋_GB2312" w:eastAsia="仿宋_GB2312"/>
                <w:sz w:val="21"/>
              </w:rPr>
              <w:t>个</w:t>
            </w:r>
            <w:r>
              <w:rPr>
                <w:rFonts w:ascii="仿宋_GB2312" w:hAnsi="仿宋_GB2312" w:cs="仿宋_GB2312" w:eastAsia="仿宋_GB2312"/>
                <w:sz w:val="21"/>
              </w:rPr>
              <w:t>，专业级图像处理单元</w:t>
            </w:r>
            <w:r>
              <w:rPr>
                <w:rFonts w:ascii="仿宋_GB2312" w:hAnsi="仿宋_GB2312" w:cs="仿宋_GB2312" w:eastAsia="仿宋_GB2312"/>
                <w:sz w:val="21"/>
              </w:rPr>
              <w:t>，</w:t>
            </w:r>
            <w:r>
              <w:rPr>
                <w:rFonts w:ascii="仿宋_GB2312" w:hAnsi="仿宋_GB2312" w:cs="仿宋_GB2312" w:eastAsia="仿宋_GB2312"/>
                <w:sz w:val="21"/>
              </w:rPr>
              <w:t>显存</w:t>
            </w:r>
            <w:r>
              <w:rPr>
                <w:rFonts w:ascii="仿宋_GB2312" w:hAnsi="仿宋_GB2312" w:cs="仿宋_GB2312" w:eastAsia="仿宋_GB2312"/>
                <w:sz w:val="21"/>
              </w:rPr>
              <w:t>≥64GB。</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2.支持</w:t>
            </w:r>
            <w:r>
              <w:rPr>
                <w:rFonts w:ascii="仿宋_GB2312" w:hAnsi="仿宋_GB2312" w:cs="仿宋_GB2312" w:eastAsia="仿宋_GB2312"/>
                <w:sz w:val="21"/>
              </w:rPr>
              <w:t>BLAS、ATLAS等科学计算库</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MPI3.0及以上版本、支持OpenMP，支持MPI与OpenMP的混合编程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编译环境</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CUDA11.0及以上版本，</w:t>
            </w:r>
            <w:r>
              <w:rPr>
                <w:rFonts w:ascii="仿宋_GB2312" w:hAnsi="仿宋_GB2312" w:cs="仿宋_GB2312" w:eastAsia="仿宋_GB2312"/>
                <w:sz w:val="21"/>
              </w:rPr>
              <w:t>支持</w:t>
            </w:r>
            <w:r>
              <w:rPr>
                <w:rFonts w:ascii="仿宋_GB2312" w:hAnsi="仿宋_GB2312" w:cs="仿宋_GB2312" w:eastAsia="仿宋_GB2312"/>
                <w:sz w:val="21"/>
              </w:rPr>
              <w:t>C/C++，Fortran等编译器</w:t>
            </w:r>
            <w:r>
              <w:rPr>
                <w:rFonts w:ascii="仿宋_GB2312" w:hAnsi="仿宋_GB2312" w:cs="仿宋_GB2312" w:eastAsia="仿宋_GB2312"/>
                <w:sz w:val="21"/>
              </w:rPr>
              <w:t>，兼容科学计算、并行编程及半导体仿真相关代码编译，确保仿真程序高效编译运行；</w:t>
            </w:r>
          </w:p>
          <w:p>
            <w:pPr>
              <w:pStyle w:val="null3"/>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多用户</w:t>
            </w:r>
            <w:r>
              <w:rPr>
                <w:rFonts w:ascii="仿宋_GB2312" w:hAnsi="仿宋_GB2312" w:cs="仿宋_GB2312" w:eastAsia="仿宋_GB2312"/>
                <w:sz w:val="21"/>
              </w:rPr>
              <w:t>作业提交；</w:t>
            </w:r>
            <w:r>
              <w:rPr>
                <w:rFonts w:ascii="仿宋_GB2312" w:hAnsi="仿宋_GB2312" w:cs="仿宋_GB2312" w:eastAsia="仿宋_GB2312"/>
                <w:sz w:val="21"/>
              </w:rPr>
              <w:t>支持</w:t>
            </w:r>
            <w:r>
              <w:rPr>
                <w:rFonts w:ascii="仿宋_GB2312" w:hAnsi="仿宋_GB2312" w:cs="仿宋_GB2312" w:eastAsia="仿宋_GB2312"/>
                <w:sz w:val="21"/>
              </w:rPr>
              <w:t>命令行、</w:t>
            </w:r>
            <w:r>
              <w:rPr>
                <w:rFonts w:ascii="仿宋_GB2312" w:hAnsi="仿宋_GB2312" w:cs="仿宋_GB2312" w:eastAsia="仿宋_GB2312"/>
                <w:sz w:val="21"/>
              </w:rPr>
              <w:t>Web界面作业提交</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二、力学性能采样参数要求：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采用机箱</w:t>
            </w:r>
            <w:r>
              <w:rPr>
                <w:rFonts w:ascii="仿宋_GB2312" w:hAnsi="仿宋_GB2312" w:cs="仿宋_GB2312" w:eastAsia="仿宋_GB2312"/>
                <w:sz w:val="21"/>
              </w:rPr>
              <w:t>+采集卡的方式</w:t>
            </w:r>
            <w:r>
              <w:rPr>
                <w:rFonts w:ascii="仿宋_GB2312" w:hAnsi="仿宋_GB2312" w:cs="仿宋_GB2312" w:eastAsia="仿宋_GB2312"/>
                <w:sz w:val="21"/>
              </w:rPr>
              <w:t>，</w:t>
            </w:r>
            <w:r>
              <w:rPr>
                <w:rFonts w:ascii="仿宋_GB2312" w:hAnsi="仿宋_GB2312" w:cs="仿宋_GB2312" w:eastAsia="仿宋_GB2312"/>
                <w:sz w:val="21"/>
              </w:rPr>
              <w:t>最大</w:t>
            </w:r>
            <w:r>
              <w:rPr>
                <w:rFonts w:ascii="仿宋_GB2312" w:hAnsi="仿宋_GB2312" w:cs="仿宋_GB2312" w:eastAsia="仿宋_GB2312"/>
                <w:sz w:val="21"/>
              </w:rPr>
              <w:t>通道</w:t>
            </w:r>
            <w:r>
              <w:rPr>
                <w:rFonts w:ascii="仿宋_GB2312" w:hAnsi="仿宋_GB2312" w:cs="仿宋_GB2312" w:eastAsia="仿宋_GB2312"/>
                <w:sz w:val="21"/>
              </w:rPr>
              <w:t>数量</w:t>
            </w:r>
            <w:r>
              <w:rPr>
                <w:rFonts w:ascii="仿宋_GB2312" w:hAnsi="仿宋_GB2312" w:cs="仿宋_GB2312" w:eastAsia="仿宋_GB2312"/>
                <w:sz w:val="21"/>
              </w:rPr>
              <w:t>≥64</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2.能对</w:t>
            </w:r>
            <w:r>
              <w:rPr>
                <w:rFonts w:ascii="仿宋_GB2312" w:hAnsi="仿宋_GB2312" w:cs="仿宋_GB2312" w:eastAsia="仿宋_GB2312"/>
                <w:sz w:val="21"/>
              </w:rPr>
              <w:t>PCB电路板、钢、铝、铜、复合材料等材料的应变和应力</w:t>
            </w:r>
            <w:r>
              <w:rPr>
                <w:rFonts w:ascii="仿宋_GB2312" w:hAnsi="仿宋_GB2312" w:cs="仿宋_GB2312" w:eastAsia="仿宋_GB2312"/>
                <w:sz w:val="21"/>
              </w:rPr>
              <w:t>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AD</w:t>
            </w:r>
            <w:r>
              <w:rPr>
                <w:rFonts w:ascii="仿宋_GB2312" w:hAnsi="仿宋_GB2312" w:cs="仿宋_GB2312" w:eastAsia="仿宋_GB2312"/>
                <w:sz w:val="21"/>
              </w:rPr>
              <w:t>（模数转换器位数）</w:t>
            </w:r>
            <w:r>
              <w:rPr>
                <w:rFonts w:ascii="仿宋_GB2312" w:hAnsi="仿宋_GB2312" w:cs="仿宋_GB2312" w:eastAsia="仿宋_GB2312"/>
                <w:sz w:val="21"/>
              </w:rPr>
              <w:t>≥24位，每通道独立，每通道最高采样频率≥10.24KHz。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.采集分析范围包括应变分析、应力分析、应变花分析、应变率（Strain-Rate）分析、应变-应变率（Strain- Strain Rate）分析、波形重叠分析、一键生产测试报告、频谱分析功能、传递函数分析、滤波分析等</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分析结果符合</w:t>
            </w:r>
            <w:r>
              <w:rPr>
                <w:rFonts w:ascii="仿宋_GB2312" w:hAnsi="仿宋_GB2312" w:cs="仿宋_GB2312" w:eastAsia="仿宋_GB2312"/>
                <w:sz w:val="21"/>
              </w:rPr>
              <w:t>IPC/JEDEC-9704A 国际应力测试规范。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三、源测量单元（</w:t>
            </w:r>
            <w:r>
              <w:rPr>
                <w:rFonts w:ascii="仿宋_GB2312" w:hAnsi="仿宋_GB2312" w:cs="仿宋_GB2312" w:eastAsia="仿宋_GB2312"/>
                <w:sz w:val="21"/>
              </w:rPr>
              <w:t>SMU）参数要求：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.高精度源测量单元分辨率</w:t>
            </w:r>
            <w:r>
              <w:rPr>
                <w:rFonts w:ascii="仿宋_GB2312" w:hAnsi="仿宋_GB2312" w:cs="仿宋_GB2312" w:eastAsia="仿宋_GB2312"/>
                <w:sz w:val="21"/>
              </w:rPr>
              <w:t>≤</w:t>
            </w:r>
            <w:r>
              <w:rPr>
                <w:rFonts w:ascii="仿宋_GB2312" w:hAnsi="仿宋_GB2312" w:cs="仿宋_GB2312" w:eastAsia="仿宋_GB2312"/>
                <w:sz w:val="21"/>
              </w:rPr>
              <w:t>0.1fA</w:t>
            </w:r>
            <w:r>
              <w:rPr>
                <w:rFonts w:ascii="仿宋_GB2312" w:hAnsi="仿宋_GB2312" w:cs="仿宋_GB2312" w:eastAsia="仿宋_GB2312"/>
                <w:sz w:val="21"/>
              </w:rPr>
              <w:t>，</w:t>
            </w:r>
            <w:r>
              <w:rPr>
                <w:rFonts w:ascii="仿宋_GB2312" w:hAnsi="仿宋_GB2312" w:cs="仿宋_GB2312" w:eastAsia="仿宋_GB2312"/>
                <w:sz w:val="21"/>
              </w:rPr>
              <w:t>测量精度</w:t>
            </w:r>
            <w:r>
              <w:rPr>
                <w:rFonts w:ascii="仿宋_GB2312" w:hAnsi="仿宋_GB2312" w:cs="仿宋_GB2312" w:eastAsia="仿宋_GB2312"/>
                <w:sz w:val="21"/>
              </w:rPr>
              <w:t>≤</w:t>
            </w:r>
            <w:r>
              <w:rPr>
                <w:rFonts w:ascii="仿宋_GB2312" w:hAnsi="仿宋_GB2312" w:cs="仿宋_GB2312" w:eastAsia="仿宋_GB2312"/>
                <w:sz w:val="21"/>
              </w:rPr>
              <w:t>30fA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最大直流电流</w:t>
            </w:r>
            <w:r>
              <w:rPr>
                <w:rFonts w:ascii="仿宋_GB2312" w:hAnsi="仿宋_GB2312" w:cs="仿宋_GB2312" w:eastAsia="仿宋_GB2312"/>
                <w:sz w:val="21"/>
              </w:rPr>
              <w:t>≥1A</w:t>
            </w:r>
            <w:r>
              <w:rPr>
                <w:rFonts w:ascii="仿宋_GB2312" w:hAnsi="仿宋_GB2312" w:cs="仿宋_GB2312" w:eastAsia="仿宋_GB2312"/>
                <w:sz w:val="21"/>
              </w:rPr>
              <w:t>，</w:t>
            </w:r>
            <w:r>
              <w:rPr>
                <w:rFonts w:ascii="仿宋_GB2312" w:hAnsi="仿宋_GB2312" w:cs="仿宋_GB2312" w:eastAsia="仿宋_GB2312"/>
                <w:sz w:val="21"/>
              </w:rPr>
              <w:t>最大脉冲电流</w:t>
            </w:r>
            <w:r>
              <w:rPr>
                <w:rFonts w:ascii="仿宋_GB2312" w:hAnsi="仿宋_GB2312" w:cs="仿宋_GB2312" w:eastAsia="仿宋_GB2312"/>
                <w:sz w:val="21"/>
              </w:rPr>
              <w:t>≥3A；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最大</w:t>
            </w:r>
            <w:r>
              <w:rPr>
                <w:rFonts w:ascii="仿宋_GB2312" w:hAnsi="仿宋_GB2312" w:cs="仿宋_GB2312" w:eastAsia="仿宋_GB2312"/>
                <w:sz w:val="21"/>
              </w:rPr>
              <w:t>电压输出</w:t>
            </w:r>
            <w:r>
              <w:rPr>
                <w:rFonts w:ascii="仿宋_GB2312" w:hAnsi="仿宋_GB2312" w:cs="仿宋_GB2312" w:eastAsia="仿宋_GB2312"/>
                <w:sz w:val="21"/>
              </w:rPr>
              <w:t>≥200V，最小电压测量分辨率</w:t>
            </w:r>
            <w:r>
              <w:rPr>
                <w:rFonts w:ascii="仿宋_GB2312" w:hAnsi="仿宋_GB2312" w:cs="仿宋_GB2312" w:eastAsia="仿宋_GB2312"/>
                <w:sz w:val="21"/>
              </w:rPr>
              <w:t>≤</w:t>
            </w:r>
            <w:r>
              <w:rPr>
                <w:rFonts w:ascii="仿宋_GB2312" w:hAnsi="仿宋_GB2312" w:cs="仿宋_GB2312" w:eastAsia="仿宋_GB2312"/>
                <w:sz w:val="21"/>
              </w:rPr>
              <w:t>0.1μV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电压测量精度</w:t>
            </w:r>
            <w:r>
              <w:rPr>
                <w:rFonts w:ascii="仿宋_GB2312" w:hAnsi="仿宋_GB2312" w:cs="仿宋_GB2312" w:eastAsia="仿宋_GB2312"/>
                <w:sz w:val="21"/>
              </w:rPr>
              <w:t>≤</w:t>
            </w:r>
            <w:r>
              <w:rPr>
                <w:rFonts w:ascii="仿宋_GB2312" w:hAnsi="仿宋_GB2312" w:cs="仿宋_GB2312" w:eastAsia="仿宋_GB2312"/>
                <w:sz w:val="21"/>
              </w:rPr>
              <w:t>30μV；</w:t>
            </w:r>
          </w:p>
          <w:p>
            <w:pPr>
              <w:pStyle w:val="null3"/>
              <w:jc w:val="left"/>
            </w:pPr>
            <w:r>
              <w:rPr>
                <w:rFonts w:ascii="仿宋_GB2312" w:hAnsi="仿宋_GB2312" w:cs="仿宋_GB2312" w:eastAsia="仿宋_GB2312"/>
                <w:sz w:val="21"/>
              </w:rPr>
              <w:t>5.单通道最大直流输出功率</w:t>
            </w:r>
            <w:r>
              <w:rPr>
                <w:rFonts w:ascii="仿宋_GB2312" w:hAnsi="仿宋_GB2312" w:cs="仿宋_GB2312" w:eastAsia="仿宋_GB2312"/>
                <w:sz w:val="21"/>
              </w:rPr>
              <w:t>≥20 W，最大脉冲功率≥400W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具备超快脉冲模块，</w:t>
            </w:r>
            <w:r>
              <w:rPr>
                <w:rFonts w:ascii="仿宋_GB2312" w:hAnsi="仿宋_GB2312" w:cs="仿宋_GB2312" w:eastAsia="仿宋_GB2312"/>
                <w:sz w:val="21"/>
              </w:rPr>
              <w:t>脉冲模式下的最短脉冲宽度</w:t>
            </w:r>
            <w:r>
              <w:rPr>
                <w:rFonts w:ascii="仿宋_GB2312" w:hAnsi="仿宋_GB2312" w:cs="仿宋_GB2312" w:eastAsia="仿宋_GB2312"/>
                <w:sz w:val="21"/>
              </w:rPr>
              <w:t>≤</w:t>
            </w:r>
            <w:r>
              <w:rPr>
                <w:rFonts w:ascii="仿宋_GB2312" w:hAnsi="仿宋_GB2312" w:cs="仿宋_GB2312" w:eastAsia="仿宋_GB2312"/>
                <w:sz w:val="21"/>
              </w:rPr>
              <w:t>50μs；</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.源测量单元SMU具备IV-T</w:t>
            </w:r>
            <w:r>
              <w:rPr>
                <w:rFonts w:ascii="仿宋_GB2312" w:hAnsi="仿宋_GB2312" w:cs="仿宋_GB2312" w:eastAsia="仿宋_GB2312"/>
                <w:sz w:val="21"/>
              </w:rPr>
              <w:t>（电流</w:t>
            </w:r>
            <w:r>
              <w:rPr>
                <w:rFonts w:ascii="仿宋_GB2312" w:hAnsi="仿宋_GB2312" w:cs="仿宋_GB2312" w:eastAsia="仿宋_GB2312"/>
                <w:sz w:val="21"/>
              </w:rPr>
              <w:t>-电压-温度）</w:t>
            </w:r>
            <w:r>
              <w:rPr>
                <w:rFonts w:ascii="仿宋_GB2312" w:hAnsi="仿宋_GB2312" w:cs="仿宋_GB2312" w:eastAsia="仿宋_GB2312"/>
                <w:sz w:val="21"/>
              </w:rPr>
              <w:t>测试模式，温度测试范围</w:t>
            </w:r>
            <w:r>
              <w:rPr>
                <w:rFonts w:ascii="仿宋_GB2312" w:hAnsi="仿宋_GB2312" w:cs="仿宋_GB2312" w:eastAsia="仿宋_GB2312"/>
                <w:sz w:val="21"/>
              </w:rPr>
              <w:t>须覆盖</w:t>
            </w:r>
            <w:r>
              <w:rPr>
                <w:rFonts w:ascii="仿宋_GB2312" w:hAnsi="仿宋_GB2312" w:cs="仿宋_GB2312" w:eastAsia="仿宋_GB2312"/>
                <w:sz w:val="21"/>
              </w:rPr>
              <w:t>-55℃~150℃</w:t>
            </w:r>
            <w:r>
              <w:rPr>
                <w:rFonts w:ascii="仿宋_GB2312" w:hAnsi="仿宋_GB2312" w:cs="仿宋_GB2312" w:eastAsia="仿宋_GB2312"/>
                <w:sz w:val="21"/>
              </w:rPr>
              <w:t>，</w:t>
            </w:r>
            <w:r>
              <w:rPr>
                <w:rFonts w:ascii="仿宋_GB2312" w:hAnsi="仿宋_GB2312" w:cs="仿宋_GB2312" w:eastAsia="仿宋_GB2312"/>
                <w:sz w:val="21"/>
              </w:rPr>
              <w:t>最快采样率</w:t>
            </w:r>
            <w:r>
              <w:rPr>
                <w:rFonts w:ascii="仿宋_GB2312" w:hAnsi="仿宋_GB2312" w:cs="仿宋_GB2312" w:eastAsia="仿宋_GB2312"/>
                <w:sz w:val="21"/>
              </w:rPr>
              <w:t>≥555ns/点，数据存储点≥10万个点；具备超快脉冲模块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.可对忆阻器等器件提供多次循环（</w:t>
            </w:r>
            <w:r>
              <w:rPr>
                <w:rFonts w:ascii="仿宋_GB2312" w:hAnsi="仿宋_GB2312" w:cs="仿宋_GB2312" w:eastAsia="仿宋_GB2312"/>
                <w:sz w:val="21"/>
              </w:rPr>
              <w:t>≥</w:t>
            </w:r>
            <w:r>
              <w:rPr>
                <w:rFonts w:ascii="仿宋_GB2312" w:hAnsi="仿宋_GB2312" w:cs="仿宋_GB2312" w:eastAsia="仿宋_GB2312"/>
                <w:sz w:val="21"/>
              </w:rPr>
              <w:t>100次）耐受性和长时间保持性测试</w:t>
            </w:r>
            <w:r>
              <w:rPr>
                <w:rFonts w:ascii="仿宋_GB2312" w:hAnsi="仿宋_GB2312" w:cs="仿宋_GB2312" w:eastAsia="仿宋_GB2312"/>
                <w:sz w:val="21"/>
              </w:rPr>
              <w:t>，</w:t>
            </w:r>
            <w:r>
              <w:rPr>
                <w:rFonts w:ascii="仿宋_GB2312" w:hAnsi="仿宋_GB2312" w:cs="仿宋_GB2312" w:eastAsia="仿宋_GB2312"/>
                <w:sz w:val="21"/>
              </w:rPr>
              <w:t>保持时间</w:t>
            </w:r>
            <w:r>
              <w:rPr>
                <w:rFonts w:ascii="仿宋_GB2312" w:hAnsi="仿宋_GB2312" w:cs="仿宋_GB2312" w:eastAsia="仿宋_GB2312"/>
                <w:sz w:val="21"/>
              </w:rPr>
              <w:t>≥1000h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.可对类神经突触器件进行各种激励下的I-T（电流-时间）测试，包括ESPC（激励后突触兴奋电流），STP（短时程可塑性），LTP（长时程可塑性），PPD（双脉冲抑制），PPF（双脉冲易化）等测试；</w:t>
            </w:r>
          </w:p>
          <w:p>
            <w:pPr>
              <w:pStyle w:val="null3"/>
            </w:pPr>
            <w:r>
              <w:rPr>
                <w:rFonts w:ascii="仿宋_GB2312" w:hAnsi="仿宋_GB2312" w:cs="仿宋_GB2312" w:eastAsia="仿宋_GB2312"/>
                <w:sz w:val="21"/>
              </w:rPr>
              <w:t>10.</w:t>
            </w:r>
            <w:r>
              <w:rPr>
                <w:rFonts w:ascii="仿宋_GB2312" w:hAnsi="仿宋_GB2312" w:cs="仿宋_GB2312" w:eastAsia="仿宋_GB2312"/>
                <w:sz w:val="21"/>
              </w:rPr>
              <w:t>针对</w:t>
            </w:r>
            <w:r>
              <w:rPr>
                <w:rFonts w:ascii="仿宋_GB2312" w:hAnsi="仿宋_GB2312" w:cs="仿宋_GB2312" w:eastAsia="仿宋_GB2312"/>
                <w:sz w:val="21"/>
              </w:rPr>
              <w:t>TFT晶体管器件具备常用参数提取功能，测试时可直接显示，能够直接显示线性区电流Id-lin-栅极电压Vg，线性区跨导gm-Vg，线性区迁移率ulin-Vg等特性曲线。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四、统一电源管理参数要求：</w:t>
            </w:r>
          </w:p>
          <w:p>
            <w:pPr>
              <w:pStyle w:val="null3"/>
              <w:jc w:val="left"/>
            </w:pPr>
            <w:r>
              <w:rPr>
                <w:rFonts w:ascii="仿宋_GB2312" w:hAnsi="仿宋_GB2312" w:cs="仿宋_GB2312" w:eastAsia="仿宋_GB2312"/>
                <w:sz w:val="21"/>
              </w:rPr>
              <w:t>1、须支持本地操作与远程网络接入双模控制，配备状态显示屏，对供电端口的 电流、电压、功率、温度四维参数的持续采集与远程推送；</w:t>
            </w:r>
          </w:p>
          <w:p>
            <w:pPr>
              <w:pStyle w:val="null3"/>
              <w:jc w:val="left"/>
            </w:pPr>
            <w:r>
              <w:rPr>
                <w:rFonts w:ascii="仿宋_GB2312" w:hAnsi="仿宋_GB2312" w:cs="仿宋_GB2312" w:eastAsia="仿宋_GB2312"/>
                <w:sz w:val="21"/>
              </w:rPr>
              <w:t>2、总输入功率动态监测，当累计功率超过阈值时，自动触发预警，并可联动断电保护或负载限流；</w:t>
            </w:r>
          </w:p>
          <w:p>
            <w:pPr>
              <w:pStyle w:val="null3"/>
            </w:pPr>
            <w:r>
              <w:rPr>
                <w:rFonts w:ascii="仿宋_GB2312" w:hAnsi="仿宋_GB2312" w:cs="仿宋_GB2312" w:eastAsia="仿宋_GB2312"/>
                <w:sz w:val="21"/>
              </w:rPr>
              <w:t>3、输入电压须：220V；</w:t>
            </w:r>
            <w:r>
              <w:rPr>
                <w:rFonts w:ascii="仿宋_GB2312" w:hAnsi="仿宋_GB2312" w:cs="仿宋_GB2312" w:eastAsia="仿宋_GB2312"/>
                <w:sz w:val="21"/>
              </w:rPr>
              <w:t>功率</w:t>
            </w:r>
            <w:r>
              <w:rPr>
                <w:rFonts w:ascii="仿宋_GB2312" w:hAnsi="仿宋_GB2312" w:cs="仿宋_GB2312" w:eastAsia="仿宋_GB2312"/>
                <w:sz w:val="21"/>
              </w:rPr>
              <w:t>≥2200W。</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自合同签订之日起25日内完成所供货物的运输、安装、调试，培训并交付使用。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自合同签订之日起25日内完成所供货物的运输、安装、调试，培训并交付使用。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西安理工大学曲江校区（采购人指定位置）。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西安理工大学曲江校区（采购人指定位置）。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进度款，供应商按照合同规定期限内供货、调试完成，经采购人最终验收合格并签署《验收合格确认书》后，供应商开具全额合法有效的增值税专用发票，达到付款条件起7个工作日内，支付合同总金额的100.0%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进度款，供应商按照合同规定期限内供货、调试完成，经采购人最终验收合格并签署《验收合格确认书》后，供应商开具全额合法有效的增值税专用发票，达到付款条件起7个工作日内，支付合同总金额的100.0%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72小时无故障；关键参数与投标文件承诺值对比，符合文件相关规定。④最终验收签署《验收合格确认书》，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72小时无故障；关键参数与投标文件承诺值对比，符合文件相关规定。④最终验收签署《验收合格确认书》，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4小时内供应商必须响应，一般问题在8小时内解决，重大问题或其他无法迅速解决的问题应在1周时间内解决或提出明确解决方案，否则将依据有关法律、法规进行追偿；若供应商未按时响应或维修后仍无法正常使用，采购人有权委托第三方维修，产生的费用从履约保证金或相关应付款项中抵扣，不足部分由供应商承担。⑤瑕疵责任：供应商提供产品应无任何瑕疵，符合国际、国内相关标准。如在使用过程中本产品存在隐蔽瑕疵造成医疗事故而引发的纠纷，由供应商全额负责赔偿，并为采购人修复瑕疵或更新换代，其间产生的费用均由供应商承担。（2）安装调试要求：安装标准：执行GB50231-2009《机械设备安装工程施工及验收通用规范》；调试周期：连续72小时无故障运行测试；人员培训：提供相关操作人员培训资料。（3）配套工程：基础施工：包含安装设备所需各种工具（需提前2日做好准备）。（4）质量保证：按照国家新三包规定。货物要求：以采购人的要求为准，为采购人提供全新的货物（包括零部件）。（5）售后服务：定期维护：质保期内每年检修不少于1次，每年清洁保养服务不少于1次；按采购人要求开展产品软件硬件操作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1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4小时内供应商必须响应，一般问题在8小时内解决，重大问题或其他无法迅速解决的问题应在1周时间内解决或提出明确解决方案，否则将依据有关法律、法规进行追偿；若供应商未按时响应或维修后仍无法正常使用，采购人有权委托第三方维修，产生的费用从履约保证金或相关应付款项中抵扣，不足部分由供应商承担。⑤瑕疵责任：供应商提供产品应无任何瑕疵，符合国际、国内相关标准。如在使用过程中本产品存在隐蔽瑕疵造成医疗事故而引发的纠纷，由供应商全额负责赔偿，并为采购人修复瑕疵或更新换代，其间产生的费用均由供应商承担。（2）安装调试要求：安装标准：执行GB50231-2009《机械设备安装工程施工及验收通用规范》；调试周期：连续72小时无故障运行测试；人员培训：提供相关操作人员培训资料。（3）配套工程：基础施工：包含安装设备所需各种工具（需提前2日做好准备）。（4）质量保证：按照国家新三包规定。货物要求：以采购人的要求为准，为采购人提供全新的货物（包括零部件）。（5）售后服务：定期维护：质保期内每年检修不少于1次；按采购人要求开展产品软件硬件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3）本项目可兼投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完全符合、响应招标文件要求，没有负偏离的得30分；“▲”参数（共6项）负偏离一项扣2.5分，非“▲”参数（共30项）负偏离一项扣0.5分，扣完为止。 【备注：所有标注“▲”的参数均须提供佐证材料，“技术参数与性能指标”内有要求的按相关要求提供，其余标注“▲”的参数佐证材料包括：国家认可的第三方检测机构出具的检测报告、技术白皮书、产品说明书、官网功能截图任意一种，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产品综合评价</w:t>
            </w:r>
          </w:p>
        </w:tc>
        <w:tc>
          <w:tcPr>
            <w:tcW w:type="dxa" w:w="2492"/>
          </w:tcPr>
          <w:p>
            <w:pPr>
              <w:pStyle w:val="null3"/>
            </w:pPr>
            <w:r>
              <w:rPr>
                <w:rFonts w:ascii="仿宋_GB2312" w:hAnsi="仿宋_GB2312" w:cs="仿宋_GB2312" w:eastAsia="仿宋_GB2312"/>
              </w:rPr>
              <w:t>一、评审内容 根据所投产品选型、配置、技术先进性等方面进行评分。内容包含①产品选型、配置与项目匹配度②技术性能，产品使用行业最新技术或自身技术优势明显。 二、评审标准 1、符合性：切合采购人及本项目实际情况，能充分保障项目顺利实施的； 2、合理性：符合项目具体情况，完全满足本项目实际需要，能贴合项目实际需求，有利于项目的实施； 三、赋分依据（满分6分） ①产品选型、配置与项目匹配度：每完全满足一个评审标准得1.5分，满分3分； ②技术性能，产品使用行业最新技术或自身技术优势明显:每完全满足一个评审标准得1.5分，满分3分；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根据项目实际需求，提供完整详细的项目实施方案进行评分。内容包含①供货运输方案②安装调试方案③交付验收方案。 二、评审标准 1、符合性、完整性：切合采购人单位及本项目实际情况，叙述详细、符合客观实际、必须完整，详细合理、恰当； 2、合理性、可行性、针对性：根据采购文件要求提出操作性强的方案，提出的制度方针标准客观、严谨，实施措施方案合理、恰当。 三、赋分依据（满分8分） ①供货运输方案：每完全满足一个评审标准得1.5分，满分3分； ②安装调试方案:每完全满足一个评审标准得1.5分，满分3分； ③交付验收方案:每完全满足一个评审标准得1分，满分2分；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管理规章制度（含质量方针、质量目标、质量控制措施）②针对本项目的资源配置及人员安排③相关处理措施及违约措施。 二、评审标准 1、符合性、完整性：符合性、完整性：切合采购人及本项目实际情况，叙述详细、符合客观实际、必须完整，详细合理、恰当； 2、合理性、可行性、针对性：根据采购文件要求提出操作性强的方案，提出的制度方针标准客观、严谨，实施措施方案合理、恰当。 三、赋分依据（满分6分） ①质量管理规章制度（含质量方针、质量目标、质量控制措施）：每完全满足一个评审标准得1分，满分2分； ②针对本项目的资源配置及人员安排：每完全满足一个评审标准得1分，满分2分。 ③相关处理措施及违约措施：每完全满足一个评审标准得1分，满分2分。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保证方案（质保期内售后巡检及售后服务网点、保修服务承诺及售后服务响应机制、维修方案、售后服务团队人员安排及零配件及备品备件等）②应急预案（实施过程中可能出现疑难问题、突发事件等提供的应急预案）。 二、评审标准 1、符合性、完整性：切合采购人及本项目实际情况，叙述详细、符合客观实际、必须完整，详细合理、恰当； 2、合理性、可行性、针对性：根据采购文件要求提出操作性强的方案，提出的制度方针标准客观、严谨，实施措施方案合理、恰当。 三、赋分依据（满分4分） ①售后服务保证方案：每完全满足一个评审标准得1分，满分2分； ②应急预案:每完全满足一个评审标准得1分，满分2分。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提供2023年1月1日至今同类设备供货项目业绩（仅限投标人本身业绩，以合同签订日期为准），每份合格业绩合同计2分，满分6分。 【投标文件中需提供合同扫描件，合同中无法体现评审要素的，须提供合同甲方出具的相关证明材料，否则不得分。】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2、有效最低报价（落实政府采购政策进行价格调整的，以调整后的价格计算）为基准价得40分。 3、按（评标基准价/评审价格）×40的公式计算报价得分。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完全符合、响应招标文件要求，没有负偏离的得31分；“▲”参数（共6项）负偏离一项扣2.5分，非“▲”参数（共16项）负偏离一项扣1分，扣完为止。 【备注：所有标注“▲”的参数均须提供佐证材料，“技术参数与性能指标”内有要求的按相关要求提供，其余标注“▲”的参数佐证材料包括：国家认可的第三方检测机构出具的检测报告、技术白皮书、产品说明书、官网功能截图任意一种，经评审专家审定得分。未提供不得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产品综合评价</w:t>
            </w:r>
          </w:p>
        </w:tc>
        <w:tc>
          <w:tcPr>
            <w:tcW w:type="dxa" w:w="2492"/>
          </w:tcPr>
          <w:p>
            <w:pPr>
              <w:pStyle w:val="null3"/>
            </w:pPr>
            <w:r>
              <w:rPr>
                <w:rFonts w:ascii="仿宋_GB2312" w:hAnsi="仿宋_GB2312" w:cs="仿宋_GB2312" w:eastAsia="仿宋_GB2312"/>
              </w:rPr>
              <w:t>一、评审内容 根据所投产品选型、配置、技术先进性等方面进行评分。内容包含①产品选型、配置与项目匹配度②技术性能，产品使用行业最新技术或自身技术优势明显。 二、评审标准 1、符合性：切合采购人及本项目实际情况，能充分保障项目顺利实施的； 2、合理性：符合项目具体情况，完全满足本项目实际需要，能贴合项目实际需求，有利于项目的实施； 三、赋分依据（满分6分） ①产品选型、配置与项目匹配度：每完全满足一个评审标准得1.5分，满分3分； ②技术性能，产品使用行业最新技术或自身技术优势明显:每完全满足一个评审标准得1.5分，满分3分；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根据项目实际需求，提供完整详细的项目实施方案进行评分。内容包含①供货运输方案②安装调试方案③交付验收方案。 二、评审标准 1、符合性、完整性：切合采购人单位及本项目实际情况，叙述详细、符合客观实际、必须完整，详细合理、恰当； 2、合理性、可行性、针对性：根据采购文件要求提出操作性强的方案，提出的制度方针标准客观、严谨，实施措施方案合理、恰当。 三、赋分依据（满分8分） ①供货运输方案：每完全满足一个评审标准得1.5分，满分3分； ②安装调试方案:每完全满足一个评审标准得1.5分，满分3分； ③交付验收方案:每完全满足一个评审标准得1分，满分2分；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管理规章制度（含质量方针、质量目标、质量控制措施）②针对本项目的资源配置及人员安排③相关处理措施及违约措施。 二、评审标准 1、符合性、完整性：符合性、完整性：切合采购人及本项目实际情况，叙述详细、符合客观实际、必须完整，详细合理、恰当； 2、合理性、可行性、针对性：根据采购文件要求提出操作性强的方案，提出的制度方针标准客观、严谨，实施措施方案合理、恰当。 三、赋分依据（满分6分） ①质量管理规章制度（含质量方针、质量目标、质量控制措施）：每完全满足一个评审标准得1分，满分2分； ②针对本项目的资源配置及人员安排：每完全满足一个评审标准得1分，满分2分。 ③相关处理措施及违约措施：每完全满足一个评审标准得1分，满分2分。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保证方案（质保期内售后巡检及售后服务网点、保修服务承诺及售后服务响应机制、维修方案、售后服务团队人员安排及零配件及备品备件等）②应急预案（实施过程中可能出现疑难问题、突发事件等提供的应急预案）。 二、评审标准 1、符合性、完整性：切合采购人及本项目实际情况，叙述详细、符合客观实际、必须完整，详细合理、恰当； 2、合理性、可行性、针对性：根据采购文件要求提出操作性强的方案，提出的制度方针标准客观、严谨，实施措施方案合理、恰当。 三、赋分依据（满分4分） ①售后服务保证方案：每完全满足一个评审标准得1分，满分2分； ②应急预案:每完全满足一个评审标准得1分，满分2分。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提供2023年1月1日至今同类设备供货项目业绩（仅限投标人本身业绩，以合同签订日期为准），每份合格业绩合同计1分，满分5分。 【投标文件中需提供合同扫描件，合同中无法体现评审要素的，须提供合同甲方出具的相关证明材料，否则不得分。】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2、有效最低报价（落实政府采购政策进行价格调整的，以调整后的价格计算）为基准价得40分。 3、按（评标基准价/评审价格）×40的公式计算报价得分。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