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3F207">
      <w:pPr>
        <w:widowControl/>
        <w:kinsoku w:val="0"/>
        <w:wordWrap w:val="0"/>
        <w:autoSpaceDE w:val="0"/>
        <w:autoSpaceDN w:val="0"/>
        <w:adjustRightInd w:val="0"/>
        <w:snapToGrid w:val="0"/>
        <w:spacing w:line="240" w:lineRule="auto"/>
        <w:ind w:firstLine="0" w:firstLineChars="0"/>
        <w:jc w:val="right"/>
        <w:textAlignment w:val="baseline"/>
        <w:rPr>
          <w:rFonts w:hint="default" w:asciiTheme="minorEastAsia" w:hAnsiTheme="minorEastAsia" w:eastAsiaTheme="minorEastAsia" w:cstheme="minorEastAsia"/>
          <w:snapToGrid w:val="0"/>
          <w:color w:val="auto"/>
          <w:kern w:val="0"/>
          <w:sz w:val="28"/>
          <w:szCs w:val="28"/>
          <w:highlight w:val="none"/>
          <w:lang w:val="en-US" w:eastAsia="zh-CN"/>
        </w:rPr>
      </w:pPr>
      <w:r>
        <w:rPr>
          <w:rFonts w:hint="eastAsia" w:asciiTheme="minorEastAsia" w:hAnsiTheme="minorEastAsia" w:eastAsiaTheme="minorEastAsia" w:cstheme="minorEastAsia"/>
          <w:snapToGrid w:val="0"/>
          <w:color w:val="auto"/>
          <w:kern w:val="0"/>
          <w:sz w:val="28"/>
          <w:szCs w:val="28"/>
          <w:highlight w:val="none"/>
          <w:lang w:val="en-US" w:eastAsia="zh-CN"/>
        </w:rPr>
        <w:t xml:space="preserve">合同编号：      </w:t>
      </w:r>
    </w:p>
    <w:p w14:paraId="174D5E9A">
      <w:pPr>
        <w:widowControl/>
        <w:kinsoku w:val="0"/>
        <w:autoSpaceDE w:val="0"/>
        <w:autoSpaceDN w:val="0"/>
        <w:adjustRightInd w:val="0"/>
        <w:snapToGrid w:val="0"/>
        <w:spacing w:line="240" w:lineRule="auto"/>
        <w:ind w:firstLine="0" w:firstLineChars="0"/>
        <w:jc w:val="center"/>
        <w:textAlignment w:val="baseline"/>
        <w:rPr>
          <w:rFonts w:hint="eastAsia" w:ascii="方正小标宋简体" w:hAnsi="方正小标宋简体" w:eastAsia="方正小标宋简体" w:cs="方正小标宋简体"/>
          <w:snapToGrid w:val="0"/>
          <w:color w:val="auto"/>
          <w:kern w:val="0"/>
          <w:sz w:val="36"/>
          <w:szCs w:val="36"/>
          <w:highlight w:val="none"/>
        </w:rPr>
      </w:pPr>
    </w:p>
    <w:p w14:paraId="5A623915">
      <w:pPr>
        <w:widowControl/>
        <w:kinsoku w:val="0"/>
        <w:autoSpaceDE w:val="0"/>
        <w:autoSpaceDN w:val="0"/>
        <w:adjustRightInd w:val="0"/>
        <w:snapToGrid w:val="0"/>
        <w:spacing w:line="240" w:lineRule="auto"/>
        <w:ind w:firstLine="0" w:firstLineChars="0"/>
        <w:jc w:val="center"/>
        <w:textAlignment w:val="baseline"/>
        <w:rPr>
          <w:rFonts w:hint="eastAsia" w:ascii="方正小标宋简体" w:hAnsi="方正小标宋简体" w:eastAsia="方正小标宋简体" w:cs="方正小标宋简体"/>
          <w:snapToGrid w:val="0"/>
          <w:color w:val="auto"/>
          <w:kern w:val="0"/>
          <w:sz w:val="36"/>
          <w:szCs w:val="36"/>
          <w:highlight w:val="none"/>
        </w:rPr>
      </w:pPr>
      <w:r>
        <w:rPr>
          <w:rFonts w:hint="eastAsia" w:ascii="方正小标宋简体" w:hAnsi="方正小标宋简体" w:eastAsia="方正小标宋简体" w:cs="方正小标宋简体"/>
          <w:snapToGrid w:val="0"/>
          <w:color w:val="auto"/>
          <w:kern w:val="0"/>
          <w:sz w:val="36"/>
          <w:szCs w:val="36"/>
          <w:highlight w:val="none"/>
        </w:rPr>
        <w:t>陕西省地质环境监测总站（陕西省地质灾害中心）</w:t>
      </w:r>
    </w:p>
    <w:p w14:paraId="0534C2EF">
      <w:pPr>
        <w:widowControl/>
        <w:kinsoku w:val="0"/>
        <w:autoSpaceDE w:val="0"/>
        <w:autoSpaceDN w:val="0"/>
        <w:adjustRightInd w:val="0"/>
        <w:snapToGrid w:val="0"/>
        <w:spacing w:line="240" w:lineRule="auto"/>
        <w:ind w:firstLine="0" w:firstLineChars="0"/>
        <w:jc w:val="center"/>
        <w:textAlignment w:val="baseline"/>
        <w:rPr>
          <w:rFonts w:hint="eastAsia" w:ascii="方正小标宋简体" w:hAnsi="方正小标宋简体" w:eastAsia="方正小标宋简体" w:cs="方正小标宋简体"/>
          <w:snapToGrid w:val="0"/>
          <w:color w:val="auto"/>
          <w:kern w:val="0"/>
          <w:sz w:val="56"/>
          <w:szCs w:val="56"/>
          <w:highlight w:val="none"/>
        </w:rPr>
      </w:pPr>
      <w:r>
        <w:rPr>
          <w:rFonts w:hint="eastAsia" w:ascii="方正小标宋简体" w:hAnsi="方正小标宋简体" w:eastAsia="方正小标宋简体" w:cs="方正小标宋简体"/>
          <w:snapToGrid w:val="0"/>
          <w:color w:val="auto"/>
          <w:kern w:val="0"/>
          <w:sz w:val="56"/>
          <w:szCs w:val="56"/>
          <w:highlight w:val="none"/>
        </w:rPr>
        <w:t>业务委托合同书</w:t>
      </w:r>
    </w:p>
    <w:p w14:paraId="1F3A4AF6">
      <w:pPr>
        <w:pStyle w:val="2"/>
        <w:spacing w:line="480" w:lineRule="auto"/>
        <w:ind w:firstLine="1440"/>
        <w:rPr>
          <w:rFonts w:hint="eastAsia" w:ascii="宋体" w:hAnsi="宋体" w:eastAsia="宋体" w:cs="宋体"/>
          <w:color w:val="auto"/>
          <w:sz w:val="72"/>
          <w:szCs w:val="72"/>
          <w:highlight w:val="none"/>
        </w:rPr>
      </w:pPr>
    </w:p>
    <w:p w14:paraId="1A5A78FD">
      <w:pPr>
        <w:pStyle w:val="2"/>
        <w:spacing w:line="480" w:lineRule="auto"/>
        <w:ind w:firstLine="1440"/>
        <w:rPr>
          <w:rFonts w:hint="eastAsia" w:ascii="宋体" w:hAnsi="宋体" w:eastAsia="宋体" w:cs="宋体"/>
          <w:color w:val="auto"/>
          <w:sz w:val="72"/>
          <w:szCs w:val="72"/>
          <w:highlight w:val="none"/>
        </w:rPr>
      </w:pPr>
    </w:p>
    <w:p w14:paraId="04AC114A">
      <w:pPr>
        <w:pStyle w:val="2"/>
        <w:spacing w:line="480" w:lineRule="auto"/>
        <w:ind w:firstLine="1440"/>
        <w:rPr>
          <w:rFonts w:hint="eastAsia" w:ascii="宋体" w:hAnsi="宋体" w:eastAsia="宋体" w:cs="宋体"/>
          <w:color w:val="auto"/>
          <w:sz w:val="72"/>
          <w:szCs w:val="72"/>
          <w:highlight w:val="none"/>
        </w:rPr>
      </w:pPr>
    </w:p>
    <w:p w14:paraId="1BF4D318">
      <w:pPr>
        <w:pStyle w:val="2"/>
        <w:spacing w:line="480" w:lineRule="auto"/>
        <w:ind w:firstLine="1440"/>
        <w:rPr>
          <w:rFonts w:hint="eastAsia" w:ascii="宋体" w:hAnsi="宋体" w:eastAsia="宋体" w:cs="宋体"/>
          <w:color w:val="auto"/>
          <w:sz w:val="72"/>
          <w:szCs w:val="72"/>
          <w:highlight w:val="none"/>
        </w:rPr>
      </w:pPr>
    </w:p>
    <w:tbl>
      <w:tblPr>
        <w:tblStyle w:val="6"/>
        <w:tblpPr w:leftFromText="180" w:rightFromText="180" w:vertAnchor="text" w:horzAnchor="page" w:tblpX="1690" w:tblpY="357"/>
        <w:tblOverlap w:val="never"/>
        <w:tblW w:w="890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53"/>
        <w:gridCol w:w="240"/>
        <w:gridCol w:w="6615"/>
      </w:tblGrid>
      <w:tr w14:paraId="2EE5F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vAlign w:val="center"/>
          </w:tcPr>
          <w:p w14:paraId="1BE04F8A">
            <w:pPr>
              <w:pStyle w:val="2"/>
              <w:spacing w:line="480" w:lineRule="auto"/>
              <w:ind w:firstLine="0" w:firstLineChars="0"/>
              <w:jc w:val="distribute"/>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项目名称</w:t>
            </w:r>
          </w:p>
        </w:tc>
        <w:tc>
          <w:tcPr>
            <w:tcW w:w="240" w:type="dxa"/>
            <w:vAlign w:val="center"/>
          </w:tcPr>
          <w:p w14:paraId="07581B81">
            <w:pPr>
              <w:pStyle w:val="2"/>
              <w:spacing w:line="480" w:lineRule="auto"/>
              <w:ind w:firstLine="0" w:firstLineChars="0"/>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w:t>
            </w:r>
          </w:p>
        </w:tc>
        <w:tc>
          <w:tcPr>
            <w:tcW w:w="6615" w:type="dxa"/>
            <w:vAlign w:val="center"/>
          </w:tcPr>
          <w:p w14:paraId="315DEC04">
            <w:pPr>
              <w:ind w:firstLine="0" w:firstLineChars="0"/>
              <w:jc w:val="center"/>
              <w:rPr>
                <w:rFonts w:hint="eastAsia" w:ascii="仿宋_GB2312" w:hAnsi="宋体" w:eastAsia="宋体" w:cs="仿宋_GB2312"/>
                <w:color w:val="auto"/>
                <w:kern w:val="0"/>
                <w:sz w:val="28"/>
                <w:szCs w:val="28"/>
                <w:highlight w:val="none"/>
                <w:lang w:eastAsia="zh-CN" w:bidi="ar"/>
              </w:rPr>
            </w:pPr>
            <w:r>
              <w:rPr>
                <w:rFonts w:hint="eastAsia" w:ascii="仿宋_GB2312" w:hAnsi="宋体" w:eastAsia="宋体" w:cs="仿宋_GB2312"/>
                <w:color w:val="auto"/>
                <w:kern w:val="0"/>
                <w:sz w:val="28"/>
                <w:szCs w:val="28"/>
                <w:highlight w:val="none"/>
                <w:lang w:eastAsia="zh-CN" w:bidi="ar"/>
              </w:rPr>
              <w:t>陕西省</w:t>
            </w:r>
            <w:r>
              <w:rPr>
                <w:rFonts w:hint="eastAsia" w:asciiTheme="minorEastAsia" w:hAnsiTheme="minorEastAsia" w:eastAsiaTheme="minorEastAsia" w:cstheme="minorEastAsia"/>
                <w:color w:val="auto"/>
                <w:kern w:val="0"/>
                <w:sz w:val="28"/>
                <w:szCs w:val="28"/>
                <w:highlight w:val="none"/>
                <w:lang w:eastAsia="zh-CN" w:bidi="ar"/>
              </w:rPr>
              <w:t>2026</w:t>
            </w:r>
            <w:r>
              <w:rPr>
                <w:rFonts w:hint="eastAsia" w:ascii="仿宋_GB2312" w:hAnsi="宋体" w:eastAsia="宋体" w:cs="仿宋_GB2312"/>
                <w:color w:val="auto"/>
                <w:kern w:val="0"/>
                <w:sz w:val="28"/>
                <w:szCs w:val="28"/>
                <w:highlight w:val="none"/>
                <w:lang w:eastAsia="zh-CN" w:bidi="ar"/>
              </w:rPr>
              <w:t>年地质灾害群专</w:t>
            </w:r>
            <w:r>
              <w:rPr>
                <w:rFonts w:hint="eastAsia" w:ascii="仿宋_GB2312" w:hAnsi="宋体" w:eastAsia="宋体" w:cs="仿宋_GB2312"/>
                <w:color w:val="auto"/>
                <w:kern w:val="0"/>
                <w:sz w:val="28"/>
                <w:szCs w:val="28"/>
                <w:highlight w:val="none"/>
                <w:lang w:val="en-US" w:eastAsia="zh-CN" w:bidi="ar"/>
              </w:rPr>
              <w:t>监测预警</w:t>
            </w:r>
            <w:r>
              <w:rPr>
                <w:rFonts w:hint="eastAsia" w:ascii="仿宋_GB2312" w:hAnsi="宋体" w:eastAsia="宋体" w:cs="仿宋_GB2312"/>
                <w:color w:val="auto"/>
                <w:kern w:val="0"/>
                <w:sz w:val="28"/>
                <w:szCs w:val="28"/>
                <w:highlight w:val="none"/>
                <w:lang w:eastAsia="zh-CN" w:bidi="ar"/>
              </w:rPr>
              <w:t>结合</w:t>
            </w:r>
          </w:p>
          <w:p w14:paraId="5A23EA72">
            <w:pPr>
              <w:ind w:firstLine="0" w:firstLineChars="0"/>
              <w:jc w:val="center"/>
              <w:rPr>
                <w:rFonts w:hint="eastAsia" w:ascii="宋体" w:hAnsi="宋体" w:eastAsia="宋体" w:cs="宋体"/>
                <w:color w:val="auto"/>
                <w:sz w:val="28"/>
                <w:szCs w:val="28"/>
                <w:highlight w:val="none"/>
                <w:lang w:eastAsia="zh-CN"/>
              </w:rPr>
            </w:pPr>
            <w:r>
              <w:rPr>
                <w:rFonts w:hint="eastAsia" w:ascii="仿宋_GB2312" w:hAnsi="宋体" w:eastAsia="宋体" w:cs="仿宋_GB2312"/>
                <w:color w:val="auto"/>
                <w:kern w:val="0"/>
                <w:sz w:val="28"/>
                <w:szCs w:val="28"/>
                <w:highlight w:val="none"/>
                <w:lang w:eastAsia="zh-CN" w:bidi="ar"/>
              </w:rPr>
              <w:t>改建和日常运行维护</w:t>
            </w:r>
          </w:p>
        </w:tc>
      </w:tr>
      <w:tr w14:paraId="34ACD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vAlign w:val="center"/>
          </w:tcPr>
          <w:p w14:paraId="4700554D">
            <w:pPr>
              <w:pStyle w:val="2"/>
              <w:spacing w:line="480" w:lineRule="auto"/>
              <w:ind w:firstLine="0" w:firstLineChars="0"/>
              <w:jc w:val="distribute"/>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委托业务名称</w:t>
            </w:r>
          </w:p>
        </w:tc>
        <w:tc>
          <w:tcPr>
            <w:tcW w:w="240" w:type="dxa"/>
            <w:vAlign w:val="center"/>
          </w:tcPr>
          <w:p w14:paraId="72D54C01">
            <w:pPr>
              <w:pStyle w:val="2"/>
              <w:spacing w:line="480" w:lineRule="auto"/>
              <w:ind w:firstLine="0" w:firstLineChars="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w:t>
            </w:r>
          </w:p>
        </w:tc>
        <w:tc>
          <w:tcPr>
            <w:tcW w:w="6615" w:type="dxa"/>
            <w:vAlign w:val="center"/>
          </w:tcPr>
          <w:p w14:paraId="7BD1A4D1">
            <w:pPr>
              <w:pStyle w:val="2"/>
              <w:widowControl/>
              <w:spacing w:line="240" w:lineRule="auto"/>
              <w:ind w:firstLine="0" w:firstLineChars="0"/>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lang w:val="en-US" w:eastAsia="zh-CN"/>
              </w:rPr>
              <w:t>陕西省2026年物联网流量续费</w:t>
            </w:r>
          </w:p>
        </w:tc>
      </w:tr>
      <w:tr w14:paraId="62F5C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vAlign w:val="center"/>
          </w:tcPr>
          <w:p w14:paraId="662DE6F1">
            <w:pPr>
              <w:pStyle w:val="2"/>
              <w:spacing w:line="480" w:lineRule="auto"/>
              <w:ind w:firstLine="0" w:firstLineChars="0"/>
              <w:jc w:val="distribute"/>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甲   方</w:t>
            </w:r>
          </w:p>
        </w:tc>
        <w:tc>
          <w:tcPr>
            <w:tcW w:w="240" w:type="dxa"/>
            <w:vAlign w:val="center"/>
          </w:tcPr>
          <w:p w14:paraId="0A01A397">
            <w:pPr>
              <w:pStyle w:val="2"/>
              <w:spacing w:line="480" w:lineRule="auto"/>
              <w:ind w:firstLine="0" w:firstLineChars="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w:t>
            </w:r>
          </w:p>
        </w:tc>
        <w:tc>
          <w:tcPr>
            <w:tcW w:w="6615" w:type="dxa"/>
            <w:vAlign w:val="center"/>
          </w:tcPr>
          <w:p w14:paraId="7BED8AE1">
            <w:pPr>
              <w:pStyle w:val="2"/>
              <w:widowControl/>
              <w:spacing w:line="240" w:lineRule="auto"/>
              <w:ind w:firstLine="0" w:firstLineChars="0"/>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陕西省地质环境监测总站（陕西省地质灾害中心）</w:t>
            </w:r>
          </w:p>
        </w:tc>
      </w:tr>
      <w:tr w14:paraId="20F8C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1" w:hRule="atLeast"/>
        </w:trPr>
        <w:tc>
          <w:tcPr>
            <w:tcW w:w="2053" w:type="dxa"/>
            <w:vAlign w:val="center"/>
          </w:tcPr>
          <w:p w14:paraId="0AF93846">
            <w:pPr>
              <w:pStyle w:val="2"/>
              <w:spacing w:line="480" w:lineRule="auto"/>
              <w:ind w:firstLine="0" w:firstLineChars="0"/>
              <w:jc w:val="distribute"/>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乙    方</w:t>
            </w:r>
          </w:p>
        </w:tc>
        <w:tc>
          <w:tcPr>
            <w:tcW w:w="240" w:type="dxa"/>
            <w:vAlign w:val="center"/>
          </w:tcPr>
          <w:p w14:paraId="15F07B0C">
            <w:pPr>
              <w:pStyle w:val="2"/>
              <w:spacing w:line="480" w:lineRule="auto"/>
              <w:ind w:firstLine="0" w:firstLineChars="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w:t>
            </w:r>
          </w:p>
        </w:tc>
        <w:tc>
          <w:tcPr>
            <w:tcW w:w="6615" w:type="dxa"/>
            <w:vAlign w:val="center"/>
          </w:tcPr>
          <w:p w14:paraId="45AD35E1">
            <w:pPr>
              <w:pStyle w:val="2"/>
              <w:widowControl/>
              <w:spacing w:line="240" w:lineRule="auto"/>
              <w:ind w:firstLine="0" w:firstLineChars="0"/>
              <w:jc w:val="center"/>
              <w:rPr>
                <w:rFonts w:hint="eastAsia" w:ascii="宋体" w:hAnsi="宋体" w:eastAsia="宋体" w:cs="宋体"/>
                <w:color w:val="auto"/>
                <w:kern w:val="2"/>
                <w:sz w:val="28"/>
                <w:szCs w:val="28"/>
                <w:highlight w:val="none"/>
              </w:rPr>
            </w:pPr>
          </w:p>
        </w:tc>
      </w:tr>
      <w:tr w14:paraId="4E160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vAlign w:val="center"/>
          </w:tcPr>
          <w:p w14:paraId="03E732A0">
            <w:pPr>
              <w:pStyle w:val="2"/>
              <w:spacing w:line="480" w:lineRule="auto"/>
              <w:ind w:firstLine="0" w:firstLineChars="0"/>
              <w:jc w:val="distribute"/>
              <w:rPr>
                <w:rFonts w:hint="eastAsia" w:ascii="宋体" w:hAnsi="宋体" w:eastAsia="宋体" w:cs="宋体"/>
                <w:b/>
                <w:bCs/>
                <w:color w:val="auto"/>
                <w:kern w:val="2"/>
                <w:sz w:val="28"/>
                <w:szCs w:val="28"/>
                <w:highlight w:val="none"/>
              </w:rPr>
            </w:pPr>
            <w:r>
              <w:rPr>
                <w:rFonts w:hint="eastAsia" w:ascii="宋体" w:hAnsi="宋体" w:eastAsia="宋体" w:cs="宋体"/>
                <w:b/>
                <w:bCs/>
                <w:color w:val="auto"/>
                <w:sz w:val="28"/>
                <w:szCs w:val="28"/>
                <w:highlight w:val="none"/>
              </w:rPr>
              <w:t>签订时间</w:t>
            </w:r>
          </w:p>
        </w:tc>
        <w:tc>
          <w:tcPr>
            <w:tcW w:w="240" w:type="dxa"/>
            <w:vAlign w:val="center"/>
          </w:tcPr>
          <w:p w14:paraId="578DC8D7">
            <w:pPr>
              <w:pStyle w:val="2"/>
              <w:spacing w:line="480" w:lineRule="auto"/>
              <w:ind w:firstLine="0" w:firstLineChars="0"/>
              <w:jc w:val="center"/>
              <w:rPr>
                <w:rFonts w:hint="eastAsia" w:ascii="宋体" w:hAnsi="宋体" w:eastAsia="宋体" w:cs="宋体"/>
                <w:b/>
                <w:bCs/>
                <w:color w:val="auto"/>
                <w:kern w:val="2"/>
                <w:sz w:val="28"/>
                <w:szCs w:val="28"/>
                <w:highlight w:val="none"/>
              </w:rPr>
            </w:pPr>
            <w:r>
              <w:rPr>
                <w:rFonts w:hint="eastAsia" w:ascii="宋体" w:hAnsi="宋体" w:eastAsia="宋体" w:cs="宋体"/>
                <w:b/>
                <w:bCs/>
                <w:color w:val="auto"/>
                <w:sz w:val="28"/>
                <w:szCs w:val="28"/>
                <w:highlight w:val="none"/>
              </w:rPr>
              <w:t>：</w:t>
            </w:r>
          </w:p>
        </w:tc>
        <w:tc>
          <w:tcPr>
            <w:tcW w:w="6615" w:type="dxa"/>
            <w:vAlign w:val="center"/>
          </w:tcPr>
          <w:p w14:paraId="755EBA17">
            <w:pPr>
              <w:pStyle w:val="2"/>
              <w:widowControl/>
              <w:spacing w:line="240" w:lineRule="auto"/>
              <w:ind w:firstLine="0" w:firstLineChars="0"/>
              <w:jc w:val="center"/>
              <w:rPr>
                <w:rFonts w:hint="default" w:ascii="宋体" w:hAnsi="宋体" w:eastAsia="宋体" w:cs="宋体"/>
                <w:color w:val="auto"/>
                <w:kern w:val="2"/>
                <w:sz w:val="28"/>
                <w:szCs w:val="28"/>
                <w:highlight w:val="none"/>
                <w:lang w:val="en-US" w:eastAsia="zh-CN"/>
              </w:rPr>
            </w:pPr>
            <w:r>
              <w:rPr>
                <w:rFonts w:hint="eastAsia" w:ascii="宋体" w:hAnsi="宋体" w:eastAsia="宋体" w:cs="宋体"/>
                <w:color w:val="auto"/>
                <w:kern w:val="2"/>
                <w:sz w:val="28"/>
                <w:szCs w:val="28"/>
                <w:highlight w:val="none"/>
              </w:rPr>
              <w:t>年    月</w:t>
            </w:r>
            <w:r>
              <w:rPr>
                <w:rFonts w:hint="eastAsia" w:ascii="宋体" w:hAnsi="宋体" w:eastAsia="宋体" w:cs="宋体"/>
                <w:color w:val="auto"/>
                <w:kern w:val="2"/>
                <w:sz w:val="28"/>
                <w:szCs w:val="28"/>
                <w:highlight w:val="none"/>
                <w:lang w:val="en-US" w:eastAsia="zh-CN"/>
              </w:rPr>
              <w:t xml:space="preserve">    日</w:t>
            </w:r>
          </w:p>
        </w:tc>
      </w:tr>
    </w:tbl>
    <w:p w14:paraId="418A376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sectPr>
          <w:footerReference r:id="rId3" w:type="default"/>
          <w:pgSz w:w="11906" w:h="16838"/>
          <w:pgMar w:top="1440" w:right="1803" w:bottom="1440" w:left="1803" w:header="851" w:footer="992" w:gutter="0"/>
          <w:pgNumType w:fmt="decimal"/>
          <w:cols w:space="425" w:num="1"/>
          <w:docGrid w:type="lines" w:linePitch="312" w:charSpace="0"/>
        </w:sectPr>
      </w:pPr>
    </w:p>
    <w:p w14:paraId="3752333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陕西省地质环境监测总站（陕西省地质灾害中心）（以下简称甲方）为做好《</w:t>
      </w:r>
      <w:r>
        <w:rPr>
          <w:rFonts w:hint="eastAsia" w:ascii="宋体" w:hAnsi="宋体" w:eastAsia="宋体" w:cs="宋体"/>
          <w:color w:val="auto"/>
          <w:sz w:val="24"/>
          <w:szCs w:val="24"/>
          <w:highlight w:val="none"/>
          <w:lang w:eastAsia="zh-CN"/>
        </w:rPr>
        <w:t>陕西省2026年地质灾害群专结合监测预警改建和日常运行维护</w:t>
      </w:r>
      <w:r>
        <w:rPr>
          <w:rFonts w:hint="eastAsia" w:ascii="宋体" w:hAnsi="宋体" w:eastAsia="宋体" w:cs="宋体"/>
          <w:color w:val="auto"/>
          <w:sz w:val="24"/>
          <w:szCs w:val="24"/>
          <w:highlight w:val="none"/>
        </w:rPr>
        <w:t>》项目，通过</w:t>
      </w:r>
      <w:r>
        <w:rPr>
          <w:rFonts w:hint="eastAsia" w:ascii="宋体" w:hAnsi="宋体" w:eastAsia="宋体" w:cs="宋体"/>
          <w:color w:val="auto"/>
          <w:sz w:val="24"/>
          <w:szCs w:val="24"/>
          <w:highlight w:val="none"/>
          <w:lang w:val="en-US" w:eastAsia="zh-CN"/>
        </w:rPr>
        <w:t>竞争性磋商的</w:t>
      </w:r>
      <w:r>
        <w:rPr>
          <w:rFonts w:hint="eastAsia" w:ascii="宋体" w:hAnsi="宋体" w:eastAsia="宋体" w:cs="宋体"/>
          <w:color w:val="auto"/>
          <w:sz w:val="24"/>
          <w:szCs w:val="24"/>
          <w:highlight w:val="none"/>
        </w:rPr>
        <w:t>方式，确定</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有限公司（以下简称乙方）承担该项目的委托业务：</w:t>
      </w:r>
      <w:r>
        <w:rPr>
          <w:rFonts w:hint="eastAsia" w:ascii="宋体" w:hAnsi="宋体" w:eastAsia="宋体" w:cs="宋体"/>
          <w:sz w:val="24"/>
          <w:szCs w:val="24"/>
          <w:highlight w:val="none"/>
          <w:lang w:val="en-US" w:eastAsia="zh-CN"/>
        </w:rPr>
        <w:t>陕西省2026年物联网流量续费</w:t>
      </w:r>
      <w:r>
        <w:rPr>
          <w:rFonts w:hint="eastAsia" w:ascii="宋体" w:hAnsi="宋体" w:eastAsia="宋体" w:cs="宋体"/>
          <w:color w:val="auto"/>
          <w:sz w:val="24"/>
          <w:szCs w:val="24"/>
          <w:highlight w:val="none"/>
        </w:rPr>
        <w:t>。根据《中华人民共和国民法典》等法律有关规定，双方遵循平等、自愿、公平和诚实守信的原则，就开展此委托业务工作及有关事项协商一致，共同达成如下协议：</w:t>
      </w:r>
    </w:p>
    <w:p w14:paraId="5022B651">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第一条 委托业务名称及服务期限</w:t>
      </w:r>
    </w:p>
    <w:p w14:paraId="697BB91F">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 委托业务名称</w:t>
      </w:r>
    </w:p>
    <w:p w14:paraId="4BB88BDC">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bidi="ar"/>
        </w:rPr>
        <w:t>陕西省2026年物联网流量续费。</w:t>
      </w:r>
    </w:p>
    <w:p w14:paraId="61AA6109">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 服务期限</w:t>
      </w:r>
    </w:p>
    <w:p w14:paraId="41A6B771">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流量服务周期为1年，自续费生效起算。</w:t>
      </w:r>
      <w:bookmarkStart w:id="2" w:name="_GoBack"/>
      <w:bookmarkEnd w:id="2"/>
    </w:p>
    <w:p w14:paraId="44234E11">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1.3 工作区域</w:t>
      </w:r>
    </w:p>
    <w:p w14:paraId="3C0EC549">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陕西</w:t>
      </w:r>
      <w:r>
        <w:rPr>
          <w:rFonts w:hint="eastAsia" w:ascii="宋体" w:hAnsi="宋体" w:eastAsia="宋体" w:cs="宋体"/>
          <w:color w:val="auto"/>
          <w:sz w:val="24"/>
          <w:szCs w:val="24"/>
          <w:highlight w:val="none"/>
        </w:rPr>
        <w:t>省</w:t>
      </w:r>
      <w:r>
        <w:rPr>
          <w:rFonts w:hint="eastAsia" w:ascii="宋体" w:hAnsi="宋体" w:eastAsia="宋体" w:cs="宋体"/>
          <w:color w:val="auto"/>
          <w:sz w:val="24"/>
          <w:szCs w:val="24"/>
          <w:highlight w:val="none"/>
          <w:lang w:val="en-US" w:eastAsia="zh-CN"/>
        </w:rPr>
        <w:t>内</w:t>
      </w:r>
      <w:r>
        <w:rPr>
          <w:rFonts w:hint="eastAsia" w:ascii="宋体" w:hAnsi="宋体" w:eastAsia="宋体" w:cs="宋体"/>
          <w:color w:val="auto"/>
          <w:sz w:val="24"/>
          <w:szCs w:val="24"/>
          <w:highlight w:val="none"/>
        </w:rPr>
        <w:t>。</w:t>
      </w:r>
    </w:p>
    <w:p w14:paraId="5D13523B">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第二条 工作内容和技术要求</w:t>
      </w:r>
    </w:p>
    <w:p w14:paraId="12B64BE9">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color w:val="auto"/>
          <w:sz w:val="24"/>
          <w:szCs w:val="24"/>
          <w:highlight w:val="none"/>
          <w:lang w:eastAsia="zh-CN"/>
        </w:rPr>
      </w:pPr>
      <w:bookmarkStart w:id="0" w:name="OLE_LINK3"/>
      <w:r>
        <w:rPr>
          <w:rFonts w:hint="eastAsia" w:ascii="宋体" w:hAnsi="宋体" w:eastAsia="宋体" w:cs="宋体"/>
          <w:b/>
          <w:bCs/>
          <w:sz w:val="24"/>
          <w:szCs w:val="24"/>
          <w:highlight w:val="none"/>
        </w:rPr>
        <w:t>2.1 乙方的工作内容</w:t>
      </w:r>
    </w:p>
    <w:p w14:paraId="4C5A6FB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1.2026年过期待维护设备共20464台，扣除已更新、计划更新和拟核销监测设备，2026年实际需续费物联网卡设备不少于12000台，本项目按12000台计，如有超出不再另计费。</w:t>
      </w:r>
    </w:p>
    <w:p w14:paraId="7DDE976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2.提供物联网卡续费、信号测试、在线调试、异常处置、流量监控、备用卡保障等配套运维服务。</w:t>
      </w:r>
    </w:p>
    <w:p w14:paraId="5DC0814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3.确保续费后设备网络稳定、数据传输连续，满足服务器监测预警要求。</w:t>
      </w:r>
    </w:p>
    <w:p w14:paraId="358E2FDB">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2.2</w:t>
      </w:r>
      <w:r>
        <w:rPr>
          <w:rFonts w:hint="eastAsia" w:ascii="宋体" w:hAnsi="宋体" w:eastAsia="宋体" w:cs="宋体"/>
          <w:b/>
          <w:bCs/>
          <w:sz w:val="24"/>
          <w:szCs w:val="24"/>
          <w:highlight w:val="none"/>
          <w:lang w:eastAsia="zh-CN"/>
        </w:rPr>
        <w:t>技术要求</w:t>
      </w:r>
    </w:p>
    <w:p w14:paraId="3584AC7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采用4G物联网络，单台设备年度流量不低于6GB。个别无4G信号区域，可采用2G。</w:t>
      </w:r>
    </w:p>
    <w:p w14:paraId="55342F4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流量异常响应：甲方反馈因物联网导致的设备流量异常，需3日内完成排查并恢复，特殊情况下5日内完成。</w:t>
      </w:r>
    </w:p>
    <w:p w14:paraId="20DB88A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服务需求响应：乙方收到新装、续费需求后72小时内响应，发现流量异常72小时内告知甲方并处置。</w:t>
      </w:r>
    </w:p>
    <w:p w14:paraId="482A95F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安全要求：监测设备所用物联网卡配置IP地址白名单，仅允许访问白名单内IP。</w:t>
      </w:r>
    </w:p>
    <w:bookmarkEnd w:id="0"/>
    <w:p w14:paraId="3D1612A3">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第三条 双方责任与义务</w:t>
      </w:r>
    </w:p>
    <w:p w14:paraId="5BC569A8">
      <w:pPr>
        <w:pStyle w:val="8"/>
        <w:keepNext w:val="0"/>
        <w:keepLines w:val="0"/>
        <w:pageBreakBefore w:val="0"/>
        <w:widowControl/>
        <w:kinsoku/>
        <w:wordWrap/>
        <w:overflowPunct/>
        <w:topLinePunct w:val="0"/>
        <w:autoSpaceDE/>
        <w:autoSpaceDN/>
        <w:bidi w:val="0"/>
        <w:spacing w:line="360" w:lineRule="auto"/>
        <w:ind w:firstLine="482" w:firstLineChars="200"/>
        <w:textAlignment w:val="auto"/>
        <w:rPr>
          <w:rFonts w:hAnsi="宋体" w:eastAsia="宋体"/>
          <w:b/>
          <w:bCs/>
          <w:color w:val="auto"/>
          <w:kern w:val="2"/>
          <w:sz w:val="24"/>
          <w:szCs w:val="24"/>
          <w:highlight w:val="none"/>
        </w:rPr>
      </w:pPr>
      <w:r>
        <w:rPr>
          <w:rFonts w:hAnsi="宋体" w:eastAsia="宋体"/>
          <w:b/>
          <w:bCs/>
          <w:color w:val="auto"/>
          <w:kern w:val="2"/>
          <w:sz w:val="24"/>
          <w:szCs w:val="24"/>
          <w:highlight w:val="none"/>
        </w:rPr>
        <w:t>3.1 甲方责任及义务</w:t>
      </w:r>
    </w:p>
    <w:p w14:paraId="328777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Cs/>
          <w:color w:val="auto"/>
          <w:sz w:val="22"/>
          <w:szCs w:val="22"/>
          <w:highlight w:val="none"/>
        </w:rPr>
        <w:t>（由双方协商，必须填写）</w:t>
      </w:r>
    </w:p>
    <w:p w14:paraId="42904ABE">
      <w:pPr>
        <w:pStyle w:val="8"/>
        <w:keepNext w:val="0"/>
        <w:keepLines w:val="0"/>
        <w:pageBreakBefore w:val="0"/>
        <w:widowControl/>
        <w:kinsoku/>
        <w:wordWrap/>
        <w:overflowPunct/>
        <w:topLinePunct w:val="0"/>
        <w:autoSpaceDE/>
        <w:autoSpaceDN/>
        <w:bidi w:val="0"/>
        <w:spacing w:line="360" w:lineRule="auto"/>
        <w:ind w:firstLine="482" w:firstLineChars="200"/>
        <w:textAlignment w:val="auto"/>
        <w:rPr>
          <w:rFonts w:hAnsi="宋体" w:eastAsia="宋体"/>
          <w:b/>
          <w:bCs/>
          <w:color w:val="auto"/>
          <w:kern w:val="2"/>
          <w:sz w:val="24"/>
          <w:szCs w:val="24"/>
          <w:highlight w:val="none"/>
        </w:rPr>
      </w:pPr>
      <w:r>
        <w:rPr>
          <w:rFonts w:hAnsi="宋体" w:eastAsia="宋体"/>
          <w:b/>
          <w:bCs/>
          <w:color w:val="auto"/>
          <w:kern w:val="2"/>
          <w:sz w:val="24"/>
          <w:szCs w:val="24"/>
          <w:highlight w:val="none"/>
        </w:rPr>
        <w:t>3.2 乙方责任及义务</w:t>
      </w:r>
    </w:p>
    <w:p w14:paraId="5B0177BC">
      <w:pPr>
        <w:spacing w:line="360" w:lineRule="auto"/>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（由双方协商，必须填写）</w:t>
      </w:r>
    </w:p>
    <w:p w14:paraId="22169FB2">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第四条 提交成果与项目验收</w:t>
      </w:r>
    </w:p>
    <w:p w14:paraId="6918A6F7">
      <w:pPr>
        <w:pStyle w:val="8"/>
        <w:keepNext w:val="0"/>
        <w:keepLines w:val="0"/>
        <w:pageBreakBefore w:val="0"/>
        <w:widowControl/>
        <w:kinsoku/>
        <w:wordWrap/>
        <w:overflowPunct/>
        <w:topLinePunct w:val="0"/>
        <w:autoSpaceDE/>
        <w:autoSpaceDN/>
        <w:bidi w:val="0"/>
        <w:spacing w:line="360" w:lineRule="auto"/>
        <w:ind w:firstLine="482" w:firstLineChars="200"/>
        <w:textAlignment w:val="auto"/>
        <w:rPr>
          <w:rFonts w:hint="eastAsia" w:hAnsi="宋体" w:eastAsia="宋体"/>
          <w:b/>
          <w:bCs/>
          <w:color w:val="auto"/>
          <w:kern w:val="2"/>
          <w:sz w:val="24"/>
          <w:szCs w:val="24"/>
          <w:highlight w:val="none"/>
        </w:rPr>
      </w:pPr>
      <w:r>
        <w:rPr>
          <w:rFonts w:hint="eastAsia" w:hAnsi="宋体" w:eastAsia="宋体"/>
          <w:b/>
          <w:bCs/>
          <w:color w:val="auto"/>
          <w:kern w:val="2"/>
          <w:sz w:val="24"/>
          <w:szCs w:val="24"/>
          <w:highlight w:val="none"/>
          <w:lang w:val="en-US" w:eastAsia="zh-CN"/>
        </w:rPr>
        <w:t>4.1</w:t>
      </w:r>
      <w:r>
        <w:rPr>
          <w:rFonts w:hint="eastAsia" w:hAnsi="宋体" w:eastAsia="宋体"/>
          <w:b/>
          <w:bCs/>
          <w:color w:val="auto"/>
          <w:kern w:val="2"/>
          <w:sz w:val="24"/>
          <w:szCs w:val="24"/>
          <w:highlight w:val="none"/>
        </w:rPr>
        <w:t>提交成果</w:t>
      </w:r>
    </w:p>
    <w:p w14:paraId="399B34C3">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合同签订后15个工作日内提交委托业务实施方案；</w:t>
      </w:r>
    </w:p>
    <w:p w14:paraId="572A305F">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服务期满前1月内，提交年度服务成果报告；</w:t>
      </w:r>
    </w:p>
    <w:p w14:paraId="7FB9DD6D">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提交续费清单、设备编号、测试记录、响应工单等全套资料，保存年限不低于3年。</w:t>
      </w:r>
    </w:p>
    <w:p w14:paraId="0C3CEC6E">
      <w:pPr>
        <w:pStyle w:val="8"/>
        <w:keepNext w:val="0"/>
        <w:keepLines w:val="0"/>
        <w:pageBreakBefore w:val="0"/>
        <w:widowControl/>
        <w:kinsoku/>
        <w:wordWrap/>
        <w:overflowPunct/>
        <w:topLinePunct w:val="0"/>
        <w:autoSpaceDE/>
        <w:autoSpaceDN/>
        <w:bidi w:val="0"/>
        <w:spacing w:line="360" w:lineRule="auto"/>
        <w:ind w:firstLine="482" w:firstLineChars="200"/>
        <w:textAlignment w:val="auto"/>
        <w:rPr>
          <w:rFonts w:hint="eastAsia" w:hAnsi="宋体" w:eastAsia="宋体"/>
          <w:b/>
          <w:bCs/>
          <w:color w:val="auto"/>
          <w:kern w:val="2"/>
          <w:sz w:val="24"/>
          <w:szCs w:val="24"/>
          <w:highlight w:val="none"/>
          <w:lang w:val="en-US" w:eastAsia="zh-CN"/>
        </w:rPr>
      </w:pPr>
      <w:r>
        <w:rPr>
          <w:rFonts w:hint="eastAsia" w:hAnsi="宋体" w:eastAsia="宋体"/>
          <w:b/>
          <w:bCs/>
          <w:color w:val="auto"/>
          <w:kern w:val="2"/>
          <w:sz w:val="24"/>
          <w:szCs w:val="24"/>
          <w:highlight w:val="none"/>
          <w:lang w:val="en-US" w:eastAsia="zh-CN"/>
        </w:rPr>
        <w:t>4.2项目验收</w:t>
      </w:r>
    </w:p>
    <w:p w14:paraId="0848818D">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1.乙方向甲方提交验收申请及完整资料。</w:t>
      </w:r>
    </w:p>
    <w:p w14:paraId="49377202">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2.甲方收到验收申请后15个工作日内组织验收，验收费用由乙方承担。</w:t>
      </w:r>
    </w:p>
    <w:p w14:paraId="6901F79A">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3.验收内容：续费设备数量、流量服务稳定性、资料完整性、服务质量达标情况。</w:t>
      </w:r>
    </w:p>
    <w:p w14:paraId="74FF2E33">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第五条 服务费用及付款方式</w:t>
      </w:r>
    </w:p>
    <w:p w14:paraId="65015B12">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bookmarkStart w:id="1" w:name="OLE_LINK4"/>
      <w:r>
        <w:rPr>
          <w:rFonts w:hint="eastAsia" w:ascii="宋体" w:hAnsi="宋体" w:eastAsia="宋体" w:cs="宋体"/>
          <w:b/>
          <w:bCs/>
          <w:color w:val="auto"/>
          <w:sz w:val="24"/>
          <w:szCs w:val="24"/>
          <w:highlight w:val="none"/>
        </w:rPr>
        <w:t>5.1 合同价款（含税价）</w:t>
      </w:r>
    </w:p>
    <w:p w14:paraId="734CB6E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rPr>
        <w:t>合同金额为：¥</w:t>
      </w:r>
      <w:r>
        <w:rPr>
          <w:rFonts w:hint="eastAsia" w:ascii="宋体" w:hAnsi="宋体" w:eastAsia="宋体" w:cs="宋体"/>
          <w:color w:val="auto"/>
          <w:sz w:val="24"/>
          <w:szCs w:val="24"/>
          <w:highlight w:val="none"/>
          <w:u w:val="single"/>
          <w:lang w:val="en-US" w:eastAsia="zh-CN"/>
        </w:rPr>
        <w:t xml:space="preserve">            元整 </w:t>
      </w:r>
      <w:r>
        <w:rPr>
          <w:rFonts w:hint="eastAsia" w:ascii="宋体" w:hAnsi="宋体" w:eastAsia="宋体" w:cs="宋体"/>
          <w:color w:val="auto"/>
          <w:sz w:val="24"/>
          <w:szCs w:val="24"/>
          <w:highlight w:val="none"/>
        </w:rPr>
        <w:t>（大写人民币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E941285">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5.2 支付方法</w:t>
      </w:r>
    </w:p>
    <w:bookmarkEnd w:id="1"/>
    <w:p w14:paraId="024F76B5">
      <w:pPr>
        <w:pStyle w:val="2"/>
        <w:keepNext w:val="0"/>
        <w:keepLines w:val="0"/>
        <w:pageBreakBefore w:val="0"/>
        <w:kinsoku/>
        <w:wordWrap/>
        <w:overflowPunct/>
        <w:topLinePunct w:val="0"/>
        <w:autoSpaceDE/>
        <w:autoSpaceDN/>
        <w:bidi w:val="0"/>
        <w:spacing w:line="360" w:lineRule="auto"/>
        <w:ind w:left="0" w:leftChars="0"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第一次支付：合同签订15日内，乙方向甲方支付合同总金额5%的履约保证金并提交合同全额增值税发票后，甲方向乙方约定账户支付合同总金额60%的进度款。</w:t>
      </w:r>
    </w:p>
    <w:p w14:paraId="2791EED9">
      <w:pPr>
        <w:pStyle w:val="2"/>
        <w:keepNext w:val="0"/>
        <w:keepLines w:val="0"/>
        <w:pageBreakBefore w:val="0"/>
        <w:kinsoku/>
        <w:wordWrap/>
        <w:overflowPunct/>
        <w:topLinePunct w:val="0"/>
        <w:autoSpaceDE/>
        <w:autoSpaceDN/>
        <w:bidi w:val="0"/>
        <w:spacing w:line="360" w:lineRule="auto"/>
        <w:ind w:left="0" w:leftChars="0"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第二次付款：2026年9月30日前，完成9000台设备流量续费并经甲方确认后，支付合同总金额的30%。</w:t>
      </w:r>
    </w:p>
    <w:p w14:paraId="6D1BEDDD">
      <w:pPr>
        <w:pStyle w:val="2"/>
        <w:keepNext w:val="0"/>
        <w:keepLines w:val="0"/>
        <w:pageBreakBefore w:val="0"/>
        <w:kinsoku/>
        <w:wordWrap/>
        <w:overflowPunct/>
        <w:topLinePunct w:val="0"/>
        <w:autoSpaceDE/>
        <w:autoSpaceDN/>
        <w:bidi w:val="0"/>
        <w:spacing w:line="360" w:lineRule="auto"/>
        <w:ind w:left="0" w:leftChars="0"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第三次付款：2026年12月31日前，完成全部12000台设备流量续费并经甲方确认后，支付合同总金额的10%。</w:t>
      </w:r>
    </w:p>
    <w:p w14:paraId="4F151C08">
      <w:pPr>
        <w:pStyle w:val="2"/>
        <w:keepNext w:val="0"/>
        <w:keepLines w:val="0"/>
        <w:pageBreakBefore w:val="0"/>
        <w:kinsoku/>
        <w:wordWrap/>
        <w:overflowPunct/>
        <w:topLinePunct w:val="0"/>
        <w:autoSpaceDE/>
        <w:autoSpaceDN/>
        <w:bidi w:val="0"/>
        <w:spacing w:line="360" w:lineRule="auto"/>
        <w:ind w:left="0" w:leftChars="0"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履约保证金：服务期满、验收合格后30日内无息全额退还。</w:t>
      </w:r>
    </w:p>
    <w:p w14:paraId="2A94CD4C">
      <w:pPr>
        <w:pStyle w:val="2"/>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5.3 支付方式</w:t>
      </w:r>
    </w:p>
    <w:p w14:paraId="2AEA0ADD">
      <w:pPr>
        <w:keepNext w:val="0"/>
        <w:keepLines w:val="0"/>
        <w:pageBreakBefore w:val="0"/>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该工作费用以银行转账方式支付。</w:t>
      </w:r>
    </w:p>
    <w:p w14:paraId="0C553FA3">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第六条 保密条款及知识产权</w:t>
      </w:r>
    </w:p>
    <w:p w14:paraId="5421AF6F">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6.1保密义务</w:t>
      </w:r>
    </w:p>
    <w:p w14:paraId="6B0873C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应对本合同履行过程中获知的对方所有有形及无形信息资料（包括但不限于书面文件、电子邮件、数据资料等）中的商业秘密或国家秘密承担保密责任。该保密义务自信息获取之日起生效，不因本合同的变更、终止或解除而失效。​</w:t>
      </w:r>
    </w:p>
    <w:p w14:paraId="4EE23D77">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6.2保密信息使用限制</w:t>
      </w:r>
    </w:p>
    <w:p w14:paraId="140FEAE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未经甲方书面同意，乙方不得将保密信息用于本合同以外的任何目的，亦不得向任何第三方披露、转让、许可使用该保密信息的全部或部分内容。​​</w:t>
      </w:r>
    </w:p>
    <w:p w14:paraId="541C65F7">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6.3知识产权</w:t>
      </w:r>
    </w:p>
    <w:p w14:paraId="55B5676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(1)甲乙双方保证在履行合同过程中不侵犯对方及第三方的知识产权。</w:t>
      </w:r>
    </w:p>
    <w:p w14:paraId="647C47C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(2)项目实施过程中形成的知识产权及著作权归甲方所有。本合同生效前已经存在且归属于乙方的知识产权，仍归乙方所有。</w:t>
      </w:r>
    </w:p>
    <w:p w14:paraId="524BA36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(3)未经甲方同意，乙方不得公开发表与本项目有关的，包括但不限于论文、著作等。</w:t>
      </w:r>
    </w:p>
    <w:p w14:paraId="20BCFF9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(4)技术性应用类业务，包括但不限于地质调查科技支撑、数据与服务，其</w:t>
      </w:r>
    </w:p>
    <w:p w14:paraId="489A6516">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知识产权属甲方，乙方可以为实现合同目的而复制、使用此类文件，但不能用于与合同无关的其他事项。未经甲方书面同意，乙方不得为了合同以外的目的而复制、使用上述文件或将之提供给任何第三方。</w:t>
      </w:r>
    </w:p>
    <w:p w14:paraId="6ACEFDD4">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第七条 违约责任</w:t>
      </w:r>
    </w:p>
    <w:p w14:paraId="4D052995">
      <w:pPr>
        <w:pStyle w:val="2"/>
        <w:keepNext w:val="0"/>
        <w:keepLines w:val="0"/>
        <w:pageBreakBefore w:val="0"/>
        <w:kinsoku/>
        <w:wordWrap/>
        <w:overflowPunct/>
        <w:topLinePunct w:val="0"/>
        <w:autoSpaceDE/>
        <w:autoSpaceDN/>
        <w:bidi w:val="0"/>
        <w:spacing w:line="360" w:lineRule="auto"/>
        <w:ind w:firstLine="480" w:firstLineChars="200"/>
        <w:textAlignment w:val="auto"/>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7.</w:t>
      </w:r>
      <w:r>
        <w:rPr>
          <w:rFonts w:hint="eastAsia" w:ascii="宋体" w:hAnsi="宋体" w:eastAsia="宋体" w:cs="宋体"/>
          <w:b w:val="0"/>
          <w:bCs w:val="0"/>
          <w:color w:val="auto"/>
          <w:sz w:val="24"/>
          <w:szCs w:val="24"/>
          <w:highlight w:val="none"/>
        </w:rPr>
        <w:t>1未按约定时限响应、恢复流量故障，甲方可委托第三方服务，费用</w:t>
      </w:r>
      <w:r>
        <w:rPr>
          <w:rFonts w:hint="eastAsia" w:ascii="宋体" w:hAnsi="宋体" w:eastAsia="宋体" w:cs="宋体"/>
          <w:b w:val="0"/>
          <w:bCs w:val="0"/>
          <w:color w:val="auto"/>
          <w:sz w:val="24"/>
          <w:szCs w:val="24"/>
          <w:highlight w:val="none"/>
          <w:lang w:val="en-US" w:eastAsia="zh-CN"/>
        </w:rPr>
        <w:t>从</w:t>
      </w:r>
      <w:r>
        <w:rPr>
          <w:rFonts w:hint="eastAsia" w:ascii="宋体" w:hAnsi="宋体" w:eastAsia="宋体" w:cs="宋体"/>
          <w:b w:val="0"/>
          <w:bCs w:val="0"/>
          <w:color w:val="auto"/>
          <w:sz w:val="24"/>
          <w:szCs w:val="24"/>
          <w:highlight w:val="none"/>
        </w:rPr>
        <w:t>乙方</w:t>
      </w:r>
      <w:r>
        <w:rPr>
          <w:rFonts w:hint="eastAsia" w:ascii="宋体" w:hAnsi="宋体" w:eastAsia="宋体" w:cs="宋体"/>
          <w:b w:val="0"/>
          <w:bCs w:val="0"/>
          <w:color w:val="auto"/>
          <w:sz w:val="24"/>
          <w:szCs w:val="24"/>
          <w:highlight w:val="none"/>
          <w:lang w:val="en-US" w:eastAsia="zh-CN"/>
        </w:rPr>
        <w:t>服务费中扣除</w:t>
      </w:r>
      <w:r>
        <w:rPr>
          <w:rFonts w:hint="eastAsia" w:ascii="宋体" w:hAnsi="宋体" w:eastAsia="宋体" w:cs="宋体"/>
          <w:b w:val="0"/>
          <w:bCs w:val="0"/>
          <w:color w:val="auto"/>
          <w:sz w:val="24"/>
          <w:szCs w:val="24"/>
          <w:highlight w:val="none"/>
        </w:rPr>
        <w:t>。</w:t>
      </w:r>
    </w:p>
    <w:p w14:paraId="7D736DF5">
      <w:pPr>
        <w:pStyle w:val="2"/>
        <w:keepNext w:val="0"/>
        <w:keepLines w:val="0"/>
        <w:pageBreakBefore w:val="0"/>
        <w:kinsoku/>
        <w:wordWrap/>
        <w:overflowPunct/>
        <w:topLinePunct w:val="0"/>
        <w:autoSpaceDE/>
        <w:autoSpaceDN/>
        <w:bidi w:val="0"/>
        <w:spacing w:line="360" w:lineRule="auto"/>
        <w:ind w:firstLine="480" w:firstLineChars="200"/>
        <w:textAlignment w:val="auto"/>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7.2</w:t>
      </w:r>
      <w:r>
        <w:rPr>
          <w:rFonts w:hint="eastAsia" w:ascii="宋体" w:hAnsi="宋体" w:eastAsia="宋体" w:cs="宋体"/>
          <w:b w:val="0"/>
          <w:bCs w:val="0"/>
          <w:color w:val="auto"/>
          <w:sz w:val="24"/>
          <w:szCs w:val="24"/>
          <w:highlight w:val="none"/>
        </w:rPr>
        <w:t>服务质量不达标、整改后仍无法满足要求，甲方有权解除合同，乙方应在收到解约通知后5个工作日内退还已收款项，并按合同总额10%支付违约金</w:t>
      </w:r>
      <w:r>
        <w:rPr>
          <w:rFonts w:hint="eastAsia" w:ascii="宋体" w:hAnsi="宋体" w:eastAsia="宋体" w:cs="宋体"/>
          <w:b w:val="0"/>
          <w:bCs w:val="0"/>
          <w:color w:val="auto"/>
          <w:sz w:val="24"/>
          <w:szCs w:val="24"/>
          <w:highlight w:val="none"/>
          <w:lang w:eastAsia="zh-CN"/>
        </w:rPr>
        <w:t>。</w:t>
      </w:r>
    </w:p>
    <w:p w14:paraId="23C903E0">
      <w:pPr>
        <w:pStyle w:val="2"/>
        <w:keepNext w:val="0"/>
        <w:keepLines w:val="0"/>
        <w:pageBreakBefore w:val="0"/>
        <w:kinsoku/>
        <w:wordWrap/>
        <w:overflowPunct/>
        <w:topLinePunct w:val="0"/>
        <w:autoSpaceDE/>
        <w:autoSpaceDN/>
        <w:bidi w:val="0"/>
        <w:spacing w:line="360" w:lineRule="auto"/>
        <w:ind w:firstLine="480" w:firstLineChars="200"/>
        <w:textAlignment w:val="auto"/>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7.3</w:t>
      </w:r>
      <w:r>
        <w:rPr>
          <w:rFonts w:hint="eastAsia" w:ascii="宋体" w:hAnsi="宋体" w:eastAsia="宋体" w:cs="宋体"/>
          <w:b w:val="0"/>
          <w:bCs w:val="0"/>
          <w:color w:val="auto"/>
          <w:sz w:val="24"/>
          <w:szCs w:val="24"/>
          <w:highlight w:val="none"/>
        </w:rPr>
        <w:t>因乙方原因导致监测设备断网、数据中断，乙方承担相应责任与损失。</w:t>
      </w:r>
    </w:p>
    <w:p w14:paraId="1691878B">
      <w:pPr>
        <w:pStyle w:val="2"/>
        <w:keepNext w:val="0"/>
        <w:keepLines w:val="0"/>
        <w:pageBreakBefore w:val="0"/>
        <w:kinsoku/>
        <w:wordWrap/>
        <w:overflowPunct/>
        <w:topLinePunct w:val="0"/>
        <w:autoSpaceDE/>
        <w:autoSpaceDN/>
        <w:bidi w:val="0"/>
        <w:spacing w:line="360" w:lineRule="auto"/>
        <w:ind w:firstLine="480" w:firstLineChars="200"/>
        <w:textAlignment w:val="auto"/>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7.4</w:t>
      </w:r>
      <w:r>
        <w:rPr>
          <w:rFonts w:hint="eastAsia" w:ascii="宋体" w:hAnsi="宋体" w:eastAsia="宋体" w:cs="宋体"/>
          <w:b w:val="0"/>
          <w:bCs w:val="0"/>
          <w:color w:val="auto"/>
          <w:sz w:val="24"/>
          <w:szCs w:val="24"/>
          <w:highlight w:val="none"/>
        </w:rPr>
        <w:t>不可抗力导致履约延迟，双方互不追责，服务期限相应顺延。</w:t>
      </w:r>
    </w:p>
    <w:p w14:paraId="61CA1B96">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第八条 免责条件</w:t>
      </w:r>
    </w:p>
    <w:p w14:paraId="27D278D1">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8.1 发生不可抗力造成延误，合同履行期限应自动延长或解除合同，双方无需为此承担违约责任。</w:t>
      </w:r>
    </w:p>
    <w:p w14:paraId="0AC907E7">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8.2 提出受不可抗力影响的一方应及时书面通知对方，并且在随后的15日内向对方提供不可抗力发生和持续期间的充分证据。</w:t>
      </w:r>
    </w:p>
    <w:p w14:paraId="55187C90">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8.3 发生不可抗力的，双方应立即进行评审，寻求合理的解决方案，并且要尽一切合理努力将不可抗力造成的损失降低到最低程度。</w:t>
      </w:r>
    </w:p>
    <w:p w14:paraId="434DCE17">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第九条 通知和送达</w:t>
      </w:r>
    </w:p>
    <w:p w14:paraId="4B29C2A9">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9.1 甲乙双方因履行本合同而相互发出或者提供的所有通知、文件、资料，均以后面列明的住所地送达，一方如果迁址或者变更电话，应当书面通知对方。</w:t>
      </w:r>
    </w:p>
    <w:p w14:paraId="251536C1">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9.2 通过传真方式的，在发出传真时视为送达；以邮寄方式的，挂号寄出或者投邮收到当日视为送达；以电子邮箱方式的，邮件发送成功并通知对方后视为送达。</w:t>
      </w:r>
    </w:p>
    <w:p w14:paraId="54285A0F">
      <w:pPr>
        <w:pStyle w:val="2"/>
        <w:keepNext w:val="0"/>
        <w:keepLines w:val="0"/>
        <w:pageBreakBefore w:val="0"/>
        <w:kinsoku/>
        <w:wordWrap/>
        <w:overflowPunct/>
        <w:topLinePunct w:val="0"/>
        <w:autoSpaceDE/>
        <w:autoSpaceDN/>
        <w:bidi w:val="0"/>
        <w:spacing w:line="360" w:lineRule="auto"/>
        <w:ind w:firstLine="482" w:firstLineChars="200"/>
        <w:textAlignment w:val="auto"/>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第十条 其他</w:t>
      </w:r>
    </w:p>
    <w:p w14:paraId="1E0BBF74">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10.1 本合同</w:t>
      </w:r>
      <w:r>
        <w:rPr>
          <w:rFonts w:hint="eastAsia" w:hAnsi="宋体" w:eastAsia="宋体"/>
          <w:color w:val="auto"/>
          <w:kern w:val="2"/>
          <w:sz w:val="24"/>
          <w:szCs w:val="24"/>
          <w:highlight w:val="none"/>
          <w:u w:val="single"/>
          <w:lang w:val="en-US" w:eastAsia="zh-CN"/>
        </w:rPr>
        <w:t xml:space="preserve">   </w:t>
      </w:r>
      <w:r>
        <w:rPr>
          <w:rFonts w:hint="eastAsia" w:hAnsi="宋体" w:eastAsia="宋体"/>
          <w:color w:val="auto"/>
          <w:kern w:val="2"/>
          <w:sz w:val="24"/>
          <w:szCs w:val="24"/>
          <w:highlight w:val="none"/>
          <w:u w:val="none"/>
          <w:lang w:val="en-US" w:eastAsia="zh-CN"/>
        </w:rPr>
        <w:t>式</w:t>
      </w:r>
      <w:r>
        <w:rPr>
          <w:rFonts w:hint="eastAsia" w:hAnsi="宋体" w:eastAsia="宋体"/>
          <w:color w:val="auto"/>
          <w:kern w:val="2"/>
          <w:sz w:val="24"/>
          <w:szCs w:val="24"/>
          <w:highlight w:val="none"/>
          <w:u w:val="single"/>
          <w:lang w:val="en-US" w:eastAsia="zh-CN"/>
        </w:rPr>
        <w:t xml:space="preserve">    </w:t>
      </w:r>
      <w:r>
        <w:rPr>
          <w:rFonts w:hAnsi="宋体" w:eastAsia="宋体"/>
          <w:color w:val="auto"/>
          <w:kern w:val="2"/>
          <w:sz w:val="24"/>
          <w:szCs w:val="24"/>
          <w:highlight w:val="none"/>
        </w:rPr>
        <w:t>份，甲乙双方</w:t>
      </w:r>
      <w:r>
        <w:rPr>
          <w:rFonts w:hint="eastAsia" w:hAnsi="宋体" w:eastAsia="宋体"/>
          <w:color w:val="auto"/>
          <w:kern w:val="2"/>
          <w:sz w:val="24"/>
          <w:szCs w:val="24"/>
          <w:highlight w:val="none"/>
          <w:lang w:val="en-US" w:eastAsia="zh-CN"/>
        </w:rPr>
        <w:t>各持</w:t>
      </w:r>
      <w:r>
        <w:rPr>
          <w:rFonts w:hint="eastAsia" w:hAnsi="宋体" w:eastAsia="宋体"/>
          <w:color w:val="auto"/>
          <w:kern w:val="2"/>
          <w:sz w:val="24"/>
          <w:szCs w:val="24"/>
          <w:highlight w:val="none"/>
          <w:u w:val="single"/>
          <w:lang w:val="en-US" w:eastAsia="zh-CN"/>
        </w:rPr>
        <w:t xml:space="preserve">    </w:t>
      </w:r>
      <w:r>
        <w:rPr>
          <w:rFonts w:hAnsi="宋体" w:eastAsia="宋体"/>
          <w:color w:val="auto"/>
          <w:kern w:val="2"/>
          <w:sz w:val="24"/>
          <w:szCs w:val="24"/>
          <w:highlight w:val="none"/>
        </w:rPr>
        <w:t>份，具有同等法律效力。</w:t>
      </w:r>
    </w:p>
    <w:p w14:paraId="549A3C39">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10.2 本合同有效期自签订之日起一年。</w:t>
      </w:r>
    </w:p>
    <w:p w14:paraId="29922A98">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10.3 甲乙双方应严格遵守国家、行业主管部门有关法律法规和党风廉政建设的各项规定，严格执行合同文件，自觉按合同办事。如发现对方在业务活动中可能有违规、违纪、违法行为的，应及时提醒对方。情节严重的，应向其上级主管部门或纪检监察部门举报。</w:t>
      </w:r>
    </w:p>
    <w:p w14:paraId="4A2C856E">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10.4 甲乙双方如果发生争议，应当友好协商解决。如协商不成，任何一方均有权向原告所在地人民法院提起诉讼。</w:t>
      </w:r>
    </w:p>
    <w:p w14:paraId="62710A66">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10.5 依照法律规定或者甲乙双方经协商同意，可以变更或者解除本合同。</w:t>
      </w:r>
    </w:p>
    <w:p w14:paraId="03D58EAE">
      <w:pPr>
        <w:pStyle w:val="8"/>
        <w:keepNext w:val="0"/>
        <w:keepLines w:val="0"/>
        <w:pageBreakBefore w:val="0"/>
        <w:widowControl/>
        <w:kinsoku/>
        <w:wordWrap/>
        <w:overflowPunct/>
        <w:topLinePunct w:val="0"/>
        <w:autoSpaceDE/>
        <w:autoSpaceDN/>
        <w:bidi w:val="0"/>
        <w:spacing w:line="360" w:lineRule="auto"/>
        <w:ind w:firstLine="480" w:firstLineChars="200"/>
        <w:textAlignment w:val="auto"/>
        <w:rPr>
          <w:rFonts w:hAnsi="宋体" w:eastAsia="宋体"/>
          <w:color w:val="auto"/>
          <w:kern w:val="2"/>
          <w:sz w:val="24"/>
          <w:szCs w:val="24"/>
          <w:highlight w:val="none"/>
        </w:rPr>
      </w:pPr>
      <w:r>
        <w:rPr>
          <w:rFonts w:hAnsi="宋体" w:eastAsia="宋体"/>
          <w:color w:val="auto"/>
          <w:kern w:val="2"/>
          <w:sz w:val="24"/>
          <w:szCs w:val="24"/>
          <w:highlight w:val="none"/>
        </w:rPr>
        <w:t>10.6 本合同未尽事宜，经合同双方协商签订补充合同。补充合同不得与国家有关文件规定相冲突。补充合同与本合同具有同等法律效力。</w:t>
      </w:r>
    </w:p>
    <w:p w14:paraId="6DDF4216">
      <w:pPr>
        <w:keepNext w:val="0"/>
        <w:keepLines w:val="0"/>
        <w:pageBreakBefore w:val="0"/>
        <w:kinsoku/>
        <w:wordWrap/>
        <w:overflowPunct/>
        <w:topLinePunct w:val="0"/>
        <w:autoSpaceDE/>
        <w:autoSpaceDN/>
        <w:bidi w:val="0"/>
        <w:spacing w:line="360" w:lineRule="auto"/>
        <w:ind w:firstLine="562" w:firstLineChars="200"/>
        <w:textAlignment w:val="auto"/>
        <w:rPr>
          <w:rFonts w:hint="eastAsia" w:ascii="宋体" w:hAnsi="宋体" w:eastAsia="宋体" w:cs="宋体"/>
          <w:b/>
          <w:bCs/>
          <w:color w:val="auto"/>
          <w:sz w:val="28"/>
          <w:szCs w:val="28"/>
          <w:highlight w:val="none"/>
          <w:u w:val="single"/>
        </w:rPr>
        <w:sectPr>
          <w:footerReference r:id="rId4" w:type="default"/>
          <w:pgSz w:w="11906" w:h="16838"/>
          <w:pgMar w:top="1440" w:right="1803" w:bottom="1440" w:left="1803" w:header="851" w:footer="992" w:gutter="0"/>
          <w:pgNumType w:fmt="decimal" w:start="1"/>
          <w:cols w:space="425" w:num="1"/>
          <w:docGrid w:type="lines" w:linePitch="312" w:charSpace="0"/>
        </w:sectPr>
      </w:pPr>
      <w:r>
        <w:rPr>
          <w:rFonts w:hint="eastAsia" w:ascii="宋体" w:hAnsi="宋体" w:eastAsia="宋体" w:cs="宋体"/>
          <w:b/>
          <w:bCs/>
          <w:color w:val="auto"/>
          <w:sz w:val="28"/>
          <w:szCs w:val="28"/>
          <w:highlight w:val="none"/>
          <w:u w:val="single"/>
        </w:rPr>
        <w:t>（以下无正文，为本合同签字盖章部分）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2896"/>
        <w:gridCol w:w="1302"/>
        <w:gridCol w:w="3073"/>
      </w:tblGrid>
      <w:tr w14:paraId="19074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4147" w:type="dxa"/>
            <w:gridSpan w:val="2"/>
            <w:vAlign w:val="center"/>
          </w:tcPr>
          <w:p w14:paraId="15E06045">
            <w:pPr>
              <w:spacing w:line="560" w:lineRule="exact"/>
              <w:ind w:firstLine="0" w:firstLineChars="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甲  方</w:t>
            </w:r>
          </w:p>
        </w:tc>
        <w:tc>
          <w:tcPr>
            <w:tcW w:w="4375" w:type="dxa"/>
            <w:gridSpan w:val="2"/>
            <w:vAlign w:val="center"/>
          </w:tcPr>
          <w:p w14:paraId="4146A6C1">
            <w:pPr>
              <w:spacing w:line="560" w:lineRule="exact"/>
              <w:ind w:firstLine="0" w:firstLineChars="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乙  方</w:t>
            </w:r>
          </w:p>
        </w:tc>
      </w:tr>
      <w:tr w14:paraId="67030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1251" w:type="dxa"/>
            <w:vAlign w:val="center"/>
          </w:tcPr>
          <w:p w14:paraId="6FDD82A1">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单位名称（盖章）</w:t>
            </w:r>
          </w:p>
        </w:tc>
        <w:tc>
          <w:tcPr>
            <w:tcW w:w="2896" w:type="dxa"/>
            <w:vAlign w:val="center"/>
          </w:tcPr>
          <w:p w14:paraId="664B17CE">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陕西省地质环境监测总站</w:t>
            </w:r>
          </w:p>
          <w:p w14:paraId="3617EEA1">
            <w:pPr>
              <w:pStyle w:val="3"/>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（陕西省地质灾害中心）</w:t>
            </w:r>
          </w:p>
        </w:tc>
        <w:tc>
          <w:tcPr>
            <w:tcW w:w="1302" w:type="dxa"/>
            <w:vAlign w:val="center"/>
          </w:tcPr>
          <w:p w14:paraId="28CF0F84">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单位名称（盖章）</w:t>
            </w:r>
          </w:p>
        </w:tc>
        <w:tc>
          <w:tcPr>
            <w:tcW w:w="3073" w:type="dxa"/>
            <w:vAlign w:val="center"/>
          </w:tcPr>
          <w:p w14:paraId="4F183917">
            <w:pPr>
              <w:spacing w:line="240" w:lineRule="auto"/>
              <w:ind w:firstLine="0" w:firstLineChars="0"/>
              <w:rPr>
                <w:rFonts w:hint="eastAsia" w:ascii="宋体" w:hAnsi="宋体" w:eastAsia="宋体" w:cs="宋体"/>
                <w:color w:val="auto"/>
                <w:sz w:val="24"/>
                <w:szCs w:val="21"/>
                <w:highlight w:val="none"/>
              </w:rPr>
            </w:pPr>
          </w:p>
        </w:tc>
      </w:tr>
      <w:tr w14:paraId="10A89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exact"/>
          <w:jc w:val="center"/>
        </w:trPr>
        <w:tc>
          <w:tcPr>
            <w:tcW w:w="1251" w:type="dxa"/>
            <w:vAlign w:val="center"/>
          </w:tcPr>
          <w:p w14:paraId="7B5064ED">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法人或委托代理人（签字）</w:t>
            </w:r>
          </w:p>
        </w:tc>
        <w:tc>
          <w:tcPr>
            <w:tcW w:w="2896" w:type="dxa"/>
            <w:vAlign w:val="center"/>
          </w:tcPr>
          <w:p w14:paraId="44A876E7">
            <w:pPr>
              <w:spacing w:line="240" w:lineRule="auto"/>
              <w:ind w:firstLine="480"/>
              <w:jc w:val="center"/>
              <w:rPr>
                <w:rFonts w:hint="eastAsia" w:ascii="宋体" w:hAnsi="宋体" w:eastAsia="宋体" w:cs="宋体"/>
                <w:color w:val="auto"/>
                <w:sz w:val="24"/>
                <w:szCs w:val="21"/>
                <w:highlight w:val="none"/>
              </w:rPr>
            </w:pPr>
          </w:p>
        </w:tc>
        <w:tc>
          <w:tcPr>
            <w:tcW w:w="1302" w:type="dxa"/>
            <w:vAlign w:val="center"/>
          </w:tcPr>
          <w:p w14:paraId="2F57DA37">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法人或委托代理人（签字）</w:t>
            </w:r>
          </w:p>
        </w:tc>
        <w:tc>
          <w:tcPr>
            <w:tcW w:w="3073" w:type="dxa"/>
            <w:vAlign w:val="center"/>
          </w:tcPr>
          <w:p w14:paraId="6F22896A">
            <w:pPr>
              <w:spacing w:line="240" w:lineRule="auto"/>
              <w:ind w:firstLine="480"/>
              <w:jc w:val="center"/>
              <w:rPr>
                <w:rFonts w:hint="eastAsia" w:ascii="宋体" w:hAnsi="宋体" w:eastAsia="宋体" w:cs="宋体"/>
                <w:color w:val="auto"/>
                <w:sz w:val="24"/>
                <w:szCs w:val="21"/>
                <w:highlight w:val="none"/>
              </w:rPr>
            </w:pPr>
          </w:p>
        </w:tc>
      </w:tr>
      <w:tr w14:paraId="48D0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exact"/>
          <w:jc w:val="center"/>
        </w:trPr>
        <w:tc>
          <w:tcPr>
            <w:tcW w:w="1251" w:type="dxa"/>
            <w:vAlign w:val="center"/>
          </w:tcPr>
          <w:p w14:paraId="04F719AC">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联系人</w:t>
            </w:r>
          </w:p>
        </w:tc>
        <w:tc>
          <w:tcPr>
            <w:tcW w:w="2896" w:type="dxa"/>
            <w:vAlign w:val="center"/>
          </w:tcPr>
          <w:p w14:paraId="7E22338C">
            <w:pPr>
              <w:spacing w:line="240" w:lineRule="auto"/>
              <w:ind w:firstLine="480"/>
              <w:jc w:val="center"/>
              <w:rPr>
                <w:rFonts w:hint="eastAsia" w:ascii="宋体" w:hAnsi="宋体" w:eastAsia="宋体" w:cs="宋体"/>
                <w:color w:val="auto"/>
                <w:sz w:val="24"/>
                <w:szCs w:val="21"/>
                <w:highlight w:val="none"/>
              </w:rPr>
            </w:pPr>
          </w:p>
        </w:tc>
        <w:tc>
          <w:tcPr>
            <w:tcW w:w="1302" w:type="dxa"/>
            <w:vAlign w:val="center"/>
          </w:tcPr>
          <w:p w14:paraId="37C84BE3">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联系人</w:t>
            </w:r>
          </w:p>
        </w:tc>
        <w:tc>
          <w:tcPr>
            <w:tcW w:w="3073" w:type="dxa"/>
            <w:vAlign w:val="center"/>
          </w:tcPr>
          <w:p w14:paraId="4A529C20">
            <w:pPr>
              <w:spacing w:line="240" w:lineRule="auto"/>
              <w:ind w:firstLine="480"/>
              <w:jc w:val="center"/>
              <w:rPr>
                <w:rFonts w:hint="eastAsia" w:ascii="宋体" w:hAnsi="宋体" w:eastAsia="宋体" w:cs="宋体"/>
                <w:color w:val="auto"/>
                <w:sz w:val="24"/>
                <w:szCs w:val="21"/>
                <w:highlight w:val="none"/>
              </w:rPr>
            </w:pPr>
          </w:p>
        </w:tc>
      </w:tr>
      <w:tr w14:paraId="47D1F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exact"/>
          <w:jc w:val="center"/>
        </w:trPr>
        <w:tc>
          <w:tcPr>
            <w:tcW w:w="1251" w:type="dxa"/>
            <w:vAlign w:val="center"/>
          </w:tcPr>
          <w:p w14:paraId="15821998">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通讯地址</w:t>
            </w:r>
          </w:p>
        </w:tc>
        <w:tc>
          <w:tcPr>
            <w:tcW w:w="2896" w:type="dxa"/>
            <w:vAlign w:val="center"/>
          </w:tcPr>
          <w:p w14:paraId="72AF1AC8">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西安市雁塔北路100号</w:t>
            </w:r>
          </w:p>
        </w:tc>
        <w:tc>
          <w:tcPr>
            <w:tcW w:w="1302" w:type="dxa"/>
            <w:vAlign w:val="center"/>
          </w:tcPr>
          <w:p w14:paraId="1ADB50EB">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通讯地址</w:t>
            </w:r>
          </w:p>
        </w:tc>
        <w:tc>
          <w:tcPr>
            <w:tcW w:w="3073" w:type="dxa"/>
            <w:vAlign w:val="center"/>
          </w:tcPr>
          <w:p w14:paraId="2410D597">
            <w:pPr>
              <w:spacing w:line="240" w:lineRule="auto"/>
              <w:ind w:firstLine="480"/>
              <w:jc w:val="center"/>
              <w:rPr>
                <w:rFonts w:hint="eastAsia" w:ascii="宋体" w:hAnsi="宋体" w:eastAsia="宋体" w:cs="宋体"/>
                <w:color w:val="auto"/>
                <w:sz w:val="24"/>
                <w:szCs w:val="21"/>
                <w:highlight w:val="none"/>
              </w:rPr>
            </w:pPr>
          </w:p>
        </w:tc>
      </w:tr>
      <w:tr w14:paraId="4DAD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51" w:type="dxa"/>
            <w:vAlign w:val="center"/>
          </w:tcPr>
          <w:p w14:paraId="00D52B22">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电话</w:t>
            </w:r>
          </w:p>
          <w:p w14:paraId="0B0C6A73">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（传真）</w:t>
            </w:r>
          </w:p>
        </w:tc>
        <w:tc>
          <w:tcPr>
            <w:tcW w:w="2896" w:type="dxa"/>
            <w:vAlign w:val="center"/>
          </w:tcPr>
          <w:p w14:paraId="6EF0C63E">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029-87851090</w:t>
            </w:r>
          </w:p>
        </w:tc>
        <w:tc>
          <w:tcPr>
            <w:tcW w:w="1302" w:type="dxa"/>
            <w:vAlign w:val="center"/>
          </w:tcPr>
          <w:p w14:paraId="2BC58DAF">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电话</w:t>
            </w:r>
          </w:p>
          <w:p w14:paraId="75C4636C">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（传真）</w:t>
            </w:r>
          </w:p>
        </w:tc>
        <w:tc>
          <w:tcPr>
            <w:tcW w:w="3073" w:type="dxa"/>
            <w:vAlign w:val="center"/>
          </w:tcPr>
          <w:p w14:paraId="53256477">
            <w:pPr>
              <w:spacing w:line="240" w:lineRule="auto"/>
              <w:ind w:firstLine="0" w:firstLineChars="0"/>
              <w:jc w:val="center"/>
              <w:rPr>
                <w:rFonts w:hint="eastAsia" w:ascii="宋体" w:hAnsi="宋体" w:eastAsia="宋体" w:cs="宋体"/>
                <w:color w:val="auto"/>
                <w:sz w:val="24"/>
                <w:szCs w:val="21"/>
                <w:highlight w:val="none"/>
              </w:rPr>
            </w:pPr>
          </w:p>
        </w:tc>
      </w:tr>
      <w:tr w14:paraId="7FE20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exact"/>
          <w:jc w:val="center"/>
        </w:trPr>
        <w:tc>
          <w:tcPr>
            <w:tcW w:w="1251" w:type="dxa"/>
            <w:vAlign w:val="center"/>
          </w:tcPr>
          <w:p w14:paraId="0D8A9E94">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开户银行</w:t>
            </w:r>
          </w:p>
        </w:tc>
        <w:tc>
          <w:tcPr>
            <w:tcW w:w="2896" w:type="dxa"/>
            <w:vAlign w:val="center"/>
          </w:tcPr>
          <w:p w14:paraId="3F6F22C7">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建行西安和平门支行</w:t>
            </w:r>
          </w:p>
        </w:tc>
        <w:tc>
          <w:tcPr>
            <w:tcW w:w="1302" w:type="dxa"/>
            <w:vAlign w:val="center"/>
          </w:tcPr>
          <w:p w14:paraId="791ED74B">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开户银行</w:t>
            </w:r>
          </w:p>
        </w:tc>
        <w:tc>
          <w:tcPr>
            <w:tcW w:w="3073" w:type="dxa"/>
            <w:vAlign w:val="center"/>
          </w:tcPr>
          <w:p w14:paraId="365B6CF4">
            <w:pPr>
              <w:spacing w:line="240" w:lineRule="auto"/>
              <w:ind w:firstLine="0" w:firstLineChars="0"/>
              <w:rPr>
                <w:rFonts w:hint="eastAsia" w:ascii="宋体" w:hAnsi="宋体" w:eastAsia="宋体" w:cs="宋体"/>
                <w:color w:val="auto"/>
                <w:sz w:val="24"/>
                <w:szCs w:val="21"/>
                <w:highlight w:val="none"/>
              </w:rPr>
            </w:pPr>
          </w:p>
        </w:tc>
      </w:tr>
      <w:tr w14:paraId="472C7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51" w:type="dxa"/>
            <w:vAlign w:val="center"/>
          </w:tcPr>
          <w:p w14:paraId="68997CBE">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账号</w:t>
            </w:r>
          </w:p>
        </w:tc>
        <w:tc>
          <w:tcPr>
            <w:tcW w:w="2896" w:type="dxa"/>
            <w:vAlign w:val="center"/>
          </w:tcPr>
          <w:p w14:paraId="3852253E">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61001763700052501033</w:t>
            </w:r>
          </w:p>
        </w:tc>
        <w:tc>
          <w:tcPr>
            <w:tcW w:w="1302" w:type="dxa"/>
            <w:vAlign w:val="center"/>
          </w:tcPr>
          <w:p w14:paraId="4B552CC8">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账号</w:t>
            </w:r>
          </w:p>
        </w:tc>
        <w:tc>
          <w:tcPr>
            <w:tcW w:w="3073" w:type="dxa"/>
            <w:vAlign w:val="center"/>
          </w:tcPr>
          <w:p w14:paraId="7CBC8C8E">
            <w:pPr>
              <w:spacing w:line="240" w:lineRule="auto"/>
              <w:ind w:firstLine="0" w:firstLineChars="0"/>
              <w:jc w:val="center"/>
              <w:rPr>
                <w:rFonts w:hint="eastAsia" w:ascii="宋体" w:hAnsi="宋体" w:eastAsia="宋体" w:cs="宋体"/>
                <w:color w:val="auto"/>
                <w:sz w:val="24"/>
                <w:szCs w:val="21"/>
                <w:highlight w:val="none"/>
              </w:rPr>
            </w:pPr>
          </w:p>
        </w:tc>
      </w:tr>
      <w:tr w14:paraId="4D2C6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51" w:type="dxa"/>
            <w:vAlign w:val="center"/>
          </w:tcPr>
          <w:p w14:paraId="2EBF10A4">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日期</w:t>
            </w:r>
          </w:p>
        </w:tc>
        <w:tc>
          <w:tcPr>
            <w:tcW w:w="2896" w:type="dxa"/>
            <w:vAlign w:val="center"/>
          </w:tcPr>
          <w:p w14:paraId="1B9CAAEF">
            <w:pPr>
              <w:spacing w:line="240" w:lineRule="auto"/>
              <w:ind w:firstLine="48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年   月   日</w:t>
            </w:r>
          </w:p>
        </w:tc>
        <w:tc>
          <w:tcPr>
            <w:tcW w:w="1302" w:type="dxa"/>
            <w:vAlign w:val="center"/>
          </w:tcPr>
          <w:p w14:paraId="78CF684A">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日期</w:t>
            </w:r>
          </w:p>
        </w:tc>
        <w:tc>
          <w:tcPr>
            <w:tcW w:w="3073" w:type="dxa"/>
            <w:vAlign w:val="center"/>
          </w:tcPr>
          <w:p w14:paraId="5DB3E0AF">
            <w:pPr>
              <w:spacing w:line="240" w:lineRule="auto"/>
              <w:ind w:firstLine="48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年   月   日</w:t>
            </w:r>
          </w:p>
        </w:tc>
      </w:tr>
    </w:tbl>
    <w:p w14:paraId="5CBBFE18">
      <w:pPr>
        <w:rPr>
          <w:color w:val="auto"/>
          <w:highlight w:val="none"/>
        </w:rPr>
      </w:pPr>
    </w:p>
    <w:p w14:paraId="1CF67A9D">
      <w:pPr>
        <w:rPr>
          <w:rFonts w:hint="eastAsia"/>
          <w:color w:val="auto"/>
          <w:highlight w:val="none"/>
          <w:lang w:val="en-US" w:eastAsia="zh-Hans"/>
        </w:rPr>
      </w:pPr>
    </w:p>
    <w:p w14:paraId="69B774F5">
      <w:pPr>
        <w:rPr>
          <w:color w:val="auto"/>
          <w:highlight w:val="none"/>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4076B">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2B7E0">
    <w:pPr>
      <w:pStyle w:val="4"/>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A9F23">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6</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C1A9F23">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6</w:t>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F45BF6"/>
    <w:rsid w:val="019821A3"/>
    <w:rsid w:val="11F45BF6"/>
    <w:rsid w:val="308A69CE"/>
    <w:rsid w:val="47C93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kern w:val="0"/>
    </w:r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正文空2格  1."/>
    <w:basedOn w:val="1"/>
    <w:qFormat/>
    <w:uiPriority w:val="0"/>
    <w:pPr>
      <w:adjustRightInd w:val="0"/>
      <w:ind w:firstLine="480"/>
    </w:pPr>
    <w:rPr>
      <w:rFonts w:hint="eastAsia" w:ascii="宋体" w:eastAsia="仿宋" w:cs="宋体"/>
      <w:kern w:val="0"/>
      <w:sz w:val="2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2566</Words>
  <Characters>2759</Characters>
  <Lines>0</Lines>
  <Paragraphs>0</Paragraphs>
  <TotalTime>0</TotalTime>
  <ScaleCrop>false</ScaleCrop>
  <LinksUpToDate>false</LinksUpToDate>
  <CharactersWithSpaces>2886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2026-07-07T15:53:00Z</dcterms:created>
  <dc:creator>刘菲</dc:creator>
  <cp:lastModifiedBy>刘菲</cp:lastModifiedBy>
  <dcterms:modified xsi:type="dcterms:W3CDTF">2026-07-08T09:57:44Z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A3557C862C8C4F0EABFCD0CF4530EC69_11</vt:lpwstr>
  </property>
  <property fmtid="{D5CDD505-2E9C-101B-9397-08002B2CF9AE}" pid="4" name="KSOTemplateDocerSaveRecord">
    <vt:lpwstr>eyJoZGlkIjoiNjBjMTUwMjhmNmI2ZmVlMTBkYzRmYzI5MTBmNTk5ODUiLCJ1c2VySWQiOiIzNzMwMTc5MDgifQ==</vt:lpwstr>
  </property>
</Properties>
</file>