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版本号：FHGJ26(ZBQ)363-00520260707001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陕西省2026年物联网流量续费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FHGJ26(ZBQ)363-005</w:t>
      </w:r>
      <w:r>
        <w:br/>
      </w:r>
      <w:r>
        <w:br/>
      </w:r>
      <w:r>
        <w:br/>
      </w:r>
    </w:p>
    <w:p>
      <w:pPr>
        <w:pStyle w:val="null3"/>
        <w:jc w:val="center"/>
        <w:outlineLvl w:val="2"/>
      </w:pPr>
      <w:r>
        <w:rPr>
          <w:rFonts w:ascii="仿宋_GB2312" w:hAnsi="仿宋_GB2312" w:cs="仿宋_GB2312" w:eastAsia="仿宋_GB2312"/>
          <w:sz w:val="28"/>
          <w:b/>
        </w:rPr>
        <w:t>省地质环境监测总站</w:t>
      </w:r>
    </w:p>
    <w:p>
      <w:pPr>
        <w:pStyle w:val="null3"/>
        <w:jc w:val="center"/>
        <w:outlineLvl w:val="2"/>
      </w:pPr>
      <w:r>
        <w:rPr>
          <w:rFonts w:ascii="仿宋_GB2312" w:hAnsi="仿宋_GB2312" w:cs="仿宋_GB2312" w:eastAsia="仿宋_GB2312"/>
          <w:sz w:val="28"/>
          <w:b/>
        </w:rPr>
        <w:t>丰汇国际项目管理有限公司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丰汇国际项目管理有限公司</w:t>
      </w:r>
      <w:r>
        <w:rPr>
          <w:rFonts w:ascii="仿宋_GB2312" w:hAnsi="仿宋_GB2312" w:cs="仿宋_GB2312" w:eastAsia="仿宋_GB2312"/>
        </w:rPr>
        <w:t>（以下简称“代理机构”）受</w:t>
      </w:r>
      <w:r>
        <w:rPr>
          <w:rFonts w:ascii="仿宋_GB2312" w:hAnsi="仿宋_GB2312" w:cs="仿宋_GB2312" w:eastAsia="仿宋_GB2312"/>
        </w:rPr>
        <w:t>省地质环境监测总站</w:t>
      </w:r>
      <w:r>
        <w:rPr>
          <w:rFonts w:ascii="仿宋_GB2312" w:hAnsi="仿宋_GB2312" w:cs="仿宋_GB2312" w:eastAsia="仿宋_GB2312"/>
        </w:rPr>
        <w:t>委托，拟对</w:t>
      </w:r>
      <w:r>
        <w:rPr>
          <w:rFonts w:ascii="仿宋_GB2312" w:hAnsi="仿宋_GB2312" w:cs="仿宋_GB2312" w:eastAsia="仿宋_GB2312"/>
        </w:rPr>
        <w:t>陕西省2026年物联网流量续费</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FHGJ26(ZBQ)363-005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陕西省2026年物联网流量续费</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2026年地质灾害群专结合监测预警改建和日常运行维护项目过运维期监测设备提供物联网流量卡续费服务，保障监测设备数据稳定传输至省级地质灾害监测预警平台。提供物联网卡流量续费、异常处置、备用卡保障等运维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1、承诺：提供具有履行本项目合同所必需的设备和专业能力的承诺。</w:t>
      </w:r>
    </w:p>
    <w:p>
      <w:pPr>
        <w:pStyle w:val="null3"/>
      </w:pPr>
      <w:r>
        <w:rPr>
          <w:rFonts w:ascii="仿宋_GB2312" w:hAnsi="仿宋_GB2312" w:cs="仿宋_GB2312" w:eastAsia="仿宋_GB2312"/>
        </w:rPr>
        <w:t>2、声明函：本项目不接受联合体投标；单位负责人为同一人或者存在控股、管理关系的不同单位，不得参加同一项目的投标；并提供“国家企业信用信息公示系统”内股东截图。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省地质环境监测总站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陕西省西安市碑林区雁塔北路100号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陕西省地质环境监测总站（陕西省地质灾害中心）经办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029-87851040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丰汇国际项目管理有限公司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陕西省西安市碑林区长安北路113号大话南门壹中心14楼11401室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史璇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13992541220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采购包1：864,000.00元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说明：合同签订15个工作日内，乙方向甲方支付合同总金额5%的履约保证金； 履约保证金：服务期满、验收合格后30日内无息全额退还。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招标代理服务收费管理暂行办法》的通知（计价格〔2002〕1980号）、《国家发展和改革委员会办公厅关于招标代理服务收费有关问题的通知》（发改办价格〔2003〕857号）及（发改办价格〔2011〕534号）规定计取，代理服务费最终以中标价为取费基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省地质环境监测总站</w:t>
      </w:r>
      <w:r>
        <w:rPr>
          <w:rFonts w:ascii="仿宋_GB2312" w:hAnsi="仿宋_GB2312" w:cs="仿宋_GB2312" w:eastAsia="仿宋_GB2312"/>
        </w:rPr>
        <w:t>和</w:t>
      </w:r>
      <w:r>
        <w:rPr>
          <w:rFonts w:ascii="仿宋_GB2312" w:hAnsi="仿宋_GB2312" w:cs="仿宋_GB2312" w:eastAsia="仿宋_GB2312"/>
        </w:rPr>
        <w:t>丰汇国际项目管理有限公司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省地质环境监测总站</w:t>
      </w:r>
      <w:r>
        <w:rPr>
          <w:rFonts w:ascii="仿宋_GB2312" w:hAnsi="仿宋_GB2312" w:cs="仿宋_GB2312" w:eastAsia="仿宋_GB2312"/>
        </w:rPr>
        <w:t>负责解释。除上述磋商文件内容，其他内容由</w:t>
      </w:r>
      <w:r>
        <w:rPr>
          <w:rFonts w:ascii="仿宋_GB2312" w:hAnsi="仿宋_GB2312" w:cs="仿宋_GB2312" w:eastAsia="仿宋_GB2312"/>
        </w:rPr>
        <w:t>丰汇国际项目管理有限公司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省地质环境监测总站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丰汇国际项目管理有限公司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满⾜采购需求中的技术参数与性能指标要求。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联系人：史璇</w:t>
      </w:r>
    </w:p>
    <w:p>
      <w:pPr>
        <w:pStyle w:val="null3"/>
      </w:pPr>
      <w:r>
        <w:rPr>
          <w:rFonts w:ascii="仿宋_GB2312" w:hAnsi="仿宋_GB2312" w:cs="仿宋_GB2312" w:eastAsia="仿宋_GB2312"/>
        </w:rPr>
        <w:t>联系电话：1399251220</w:t>
      </w:r>
    </w:p>
    <w:p>
      <w:pPr>
        <w:pStyle w:val="null3"/>
      </w:pPr>
      <w:r>
        <w:rPr>
          <w:rFonts w:ascii="仿宋_GB2312" w:hAnsi="仿宋_GB2312" w:cs="仿宋_GB2312" w:eastAsia="仿宋_GB2312"/>
        </w:rPr>
        <w:t>地址：陕西省西安市碑林区长安北路113号大话南门壹中心14楼11401室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2026年地质灾害群专结合监测预警改建和日常运行维护项目过运维期监测设备提供物联网流量卡续费服务，保障监测设备数据稳定传输至省级地质灾害监测预警平台。提供物联网卡流量续费、异常处置、备用卡保障等运维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864,000.00</w:t>
      </w:r>
    </w:p>
    <w:p>
      <w:pPr>
        <w:pStyle w:val="null3"/>
      </w:pPr>
      <w:r>
        <w:rPr>
          <w:rFonts w:ascii="仿宋_GB2312" w:hAnsi="仿宋_GB2312" w:cs="仿宋_GB2312" w:eastAsia="仿宋_GB2312"/>
        </w:rPr>
        <w:t>采购包最高限价（元）: 864,000.00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陕西省2026年物联网流量续费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864,000.00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标的名称：陕西省2026年物联网流量续费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一、采购内容</w:t>
            </w:r>
          </w:p>
          <w:p>
            <w:pPr>
              <w:pStyle w:val="null3"/>
            </w:pPr>
            <w:r>
              <w:rPr>
                <w:rFonts w:ascii="仿宋_GB2312" w:hAnsi="仿宋_GB2312" w:cs="仿宋_GB2312" w:eastAsia="仿宋_GB2312"/>
              </w:rPr>
              <w:t>陕西省2026年地质灾害群专结合监测预警改建和日常运行维护项目过运维期监测设备提供物联网流量卡续费服务，保障监测设备数据稳定传输至省级地质灾害监测预警平台。提供物联网卡流量续费、异常处置、备用卡保障等运维服务。</w:t>
            </w:r>
          </w:p>
          <w:p>
            <w:pPr>
              <w:pStyle w:val="null3"/>
            </w:pPr>
            <w:r>
              <w:rPr>
                <w:rFonts w:ascii="仿宋_GB2312" w:hAnsi="仿宋_GB2312" w:cs="仿宋_GB2312" w:eastAsia="仿宋_GB2312"/>
              </w:rPr>
              <w:t>1.2026年过期待维护设备共20464台，扣除已更新、计划更新和拟核销监测设备，2026年实际需续费物联网卡设备不少于12000台，本项目按12000台计，如有超出不再另计费。</w:t>
            </w:r>
          </w:p>
          <w:p>
            <w:pPr>
              <w:pStyle w:val="null3"/>
            </w:pPr>
            <w:r>
              <w:rPr>
                <w:rFonts w:ascii="仿宋_GB2312" w:hAnsi="仿宋_GB2312" w:cs="仿宋_GB2312" w:eastAsia="仿宋_GB2312"/>
              </w:rPr>
              <w:t>2.提供物联网卡续费、信号测试、在线调试、异常处置、流量监控、备用卡保障等配套运维服务。</w:t>
            </w:r>
          </w:p>
          <w:p>
            <w:pPr>
              <w:pStyle w:val="null3"/>
            </w:pPr>
            <w:r>
              <w:rPr>
                <w:rFonts w:ascii="仿宋_GB2312" w:hAnsi="仿宋_GB2312" w:cs="仿宋_GB2312" w:eastAsia="仿宋_GB2312"/>
              </w:rPr>
              <w:t>3.确保续费后设备网络稳定、数据传输连续，满足服务器监测预警要求。</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采用4G物联网络，单台设备年度流量不低于6GB。个别无4G信号区域，可采用2G。</w:t>
            </w:r>
          </w:p>
          <w:p>
            <w:pPr>
              <w:pStyle w:val="null3"/>
            </w:pPr>
            <w:r>
              <w:rPr>
                <w:rFonts w:ascii="仿宋_GB2312" w:hAnsi="仿宋_GB2312" w:cs="仿宋_GB2312" w:eastAsia="仿宋_GB2312"/>
              </w:rPr>
              <w:t>流量异常响应：甲方反馈因物联网导致的设备流量异常，需3日内完成排查并恢复，特殊情况下5日内完成。</w:t>
            </w:r>
          </w:p>
          <w:p>
            <w:pPr>
              <w:pStyle w:val="null3"/>
            </w:pPr>
            <w:r>
              <w:rPr>
                <w:rFonts w:ascii="仿宋_GB2312" w:hAnsi="仿宋_GB2312" w:cs="仿宋_GB2312" w:eastAsia="仿宋_GB2312"/>
              </w:rPr>
              <w:t>服务需求响应：乙方收到新装、续费需求后72小时内响应，发现流量异常72小时内告知甲方并处置。</w:t>
            </w:r>
          </w:p>
          <w:p>
            <w:pPr>
              <w:pStyle w:val="null3"/>
            </w:pPr>
            <w:r>
              <w:rPr>
                <w:rFonts w:ascii="仿宋_GB2312" w:hAnsi="仿宋_GB2312" w:cs="仿宋_GB2312" w:eastAsia="仿宋_GB2312"/>
              </w:rPr>
              <w:t>安全要求：监测设备所用物联网卡配置IP地址白名单，仅允许访问白名单内IP。</w:t>
            </w:r>
          </w:p>
          <w:p>
            <w:pPr>
              <w:pStyle w:val="null3"/>
            </w:pPr>
            <w:r>
              <w:rPr>
                <w:rFonts w:ascii="仿宋_GB2312" w:hAnsi="仿宋_GB2312" w:cs="仿宋_GB2312" w:eastAsia="仿宋_GB2312"/>
              </w:rPr>
              <w:t>三、服务期限</w:t>
            </w:r>
          </w:p>
          <w:p>
            <w:pPr>
              <w:pStyle w:val="null3"/>
            </w:pPr>
            <w:r>
              <w:rPr>
                <w:rFonts w:ascii="仿宋_GB2312" w:hAnsi="仿宋_GB2312" w:cs="仿宋_GB2312" w:eastAsia="仿宋_GB2312"/>
              </w:rPr>
              <w:t>流量服务周期为1年，自续费生效起算。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具有履行合同所必需的人员，满足项目需求。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具有履行合同所必需的设施设备，满足项目需求。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流量服务周期为1年，自续费生效起算。</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1.提交成果 合同签订后15个工作日内提交委托业务实施方案； 服务期满前1月内，提交年度服务成果报告； 提交续费清单、设备编号、测试记录、响应工单等全套资料，保存年限不低于3年。 项目验收 （1）乙方向甲方提交验收申请及完整资料。 （2）甲方收到验收申请后15个工作日内组织验收，验收费用由乙方承担。 （3）验收内容：续费设备数量、流量服务稳定性、资料完整性、服务质量达标情况。</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第一次付款：合同签订15个工作日内，乙方向甲方支付合同总金额5%的履约保证金并提交合同全额增值税发票后，甲方向乙方约定账户支付合同总金额的60%，达到付款条件起15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进度款，第二次付款：2026年9月30日前，完成9000台设备流量续费并经甲方确认后，支付合同总金额的30%，达到付款条件起22个工作日内，支付合同总金额的30.0%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进度款，第三次付款：2026年12月31日前，完成全部12000台设备流量续费并经甲方确认后，支付合同总金额的10%，达到付款条件起22个工作日内，支付合同总金额的10.0%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1.未按约定时限响应、恢复流量故障，甲方可委托第三方服务，费用从乙方服务费中扣除。 2.服务质量不达标、整改后仍无法满足要求，甲方有权解除合同，乙方应在收到解约通知后5个工作日内退还已收款项，并按合同总额10%支付违约金。 3.因乙方原因导致监测设备断网、数据中断，乙方承担相应责任与损失。 4.不可抗力导致履约延迟，双方互不追责，服务期限相应顺延。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1.采购标的对应的中小企业划分标准所属行业为其他未列明行业。2.落实的政府采购政策： （1）财政部、工业和信息化部关于印发《政府采购促进中小企业发展管理办法》的通知-财库〔2020〕46号；（2）关于进一步加大政府采购支持中小企业力度的通知-财库〔2022〕19号；（3）财政部 司法部关于政府采购支持监狱企业发展有关问题的通知-财库〔2014〕68号；（4）财政部 民政部 中国残疾人联合会关于促进残疾人就业政府采购政策的通知-财库〔2017〕141号；（5）关于调整优化节能产品、环境标志产品政府采购执行机制的通知-财库〔2019〕9号；（6）财政部生态 环境部关于印发环境标志产品政府采购品目清单的通知-财库〔2019〕18号；（7）财政部发展改革委关于印发节能产品政府采购品目清单的通知-财库〔2019〕19号；（8）财政部 农业农村部 国家乡村振兴局关于运用政府采购政策支持乡村产业振兴的通知-财库〔2021〕19 号；（9）财政部、农业农村部、国家乡村振兴局、中华全国供销合作总社关于印发《关于深入开展政府采购脱贫地区农副产品工作推进乡村产业振兴的实施意见》的通知-财库〔2021〕20号；（10）陕西省财政厅关于落实政府采购支持中小企业政策有关事项的通知-陕财办采函〔2022〕10 号；（11）陕西省财政厅关于进一步加强政府绿色采购有关问题的通知-陕财办采〔2021〕29号；（12）陕西省财政厅关于印发《陕西省中小企业政府采购信用融资办法》-陕财办采〔2018〕23号；（13）陕西省财政厅关于加快推进我省中小企业政府采购信用融资工作的通知-陕财办采〔2020〕15号；（14）陕西省财政厅 中国人民银行西安分行关于深入推进政府采购信用融资业务的通知-陕财办采〔2023〕5号；（15）国务院办公厅关于在政府采购中实施本国产品标准及相关政策的通知国办发〔2026〕34号；（16）《财政部 工业和信息化部关于贯彻落实&lt;国务院办公厅关于在政府采购中实施本国产品标准及相关政策的通知&gt;的意见》（财库〔2026〕30 号）；（17）《关于推动解决政府采购异常低价问题的通知》（财库〔2026〕 2号）；（18）如有最新颁布的政府采购政策，按最新的文件执行。3.中标人中标后向招标代理公司提交纸质投标文件叁份、U盘贰份（纸质投标文件应通过专用制作软件直接打印，确保与项目电子化交易系统中的电子响应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能力的法人、其他组织或自然人，并出具合法有效的营业执照或事业单位法人证书等国家规定的相关证明，自然人参与的提供其身份证明； 2、财务状况报告：法人提供经审计的2024或2025年度的财务报告（成立时间至投标文件递交截止时间不足一年的可提供成立后任意时段的资产负债表）或投标文件递交截止时间前六个月内银行出具的资信证明或政府采购信用担保机构出具的担保函；其他组织和自然人提供银行出具的资信证明或财务报表或政府采购信用担保机构出具的担保函。根据《财政部关于注册会计师行业统一监管平台上线运行的通知》财办〔2022〕32号文件要求，审计报告须有清晰可扫描查询的二维码，若审计报告未赋码视为无效。 3、税收缴纳证明：提供投标文件截止时间一年内至少一个月的依法缴纳税收的相关凭据（时间以税款所属日期为准、税种须至少包含增值税或企业所得税），凭据应有税务机关或代收机关的公章或业务专用章。依法免税或无须缴纳税收的投标人，应提供相应证明文件； 4、社会保障资金缴纳证明：提供投标文件截止时间一年内至少一个月的社会保障资金缴存单据或社保机构开具的社会保险参保缴费情况证明或完税证明，单据或证明上应有社保机构或代收机构的公章或业务专用章；（依法不需要缴纳社会保障资金的投标供应商应提供相关证明） 5、信用主体查询及声明：供应商未被列入“信用中国”网站（www.creditchina.gov.cn）记录失信被执行人；不处于中国政府采购网（www.ccgp.gov.cn）政府采购严重违法失信行为信息记录中的禁止参加政府采购活动期间；供应商应提供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三种形式的资料提供任何一种即可）1）提供2024年或2025年经有资质的会计事务所审计的财务审计报告（成立时间至开标时间不足一年的可提供成立后任意时段的资产负债表）；2）提供基本存款账户信息及开标日期前三个月内其基本存款账户开户银行出具的资信证明；3）财政部门认可的政府采购专业担保机构出具的投标担保函；（依法不需要提供财务状况的投标供应商应提供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提供具有履行本项目合同所必需的设备和专业能力的承诺。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本项目不接受联合体投标；单位负责人为同一人或者存在控股、管理关系的不同单位，不得参加同一项目的投标；并提供“国家企业信用信息公示系统”内股东截图。</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（1）货币单位符合磋商文件要求 （2）报价符合唯一性要求 （3）未超出采购包最高限价 （4）符合《报价表》《标的清单》的填报要求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完全响应磋商文件要求的各项技术及服务、商务实质性条款。</w:t>
            </w:r>
          </w:p>
        </w:tc>
        <w:tc>
          <w:tcPr>
            <w:tcW w:type="dxa" w:w="1661"/>
          </w:tcPr>
          <w:p>
            <w:pPr>
              <w:pStyle w:val="null3"/>
            </w:pPr>
            <w:r>
              <w:rPr>
                <w:rFonts w:ascii="仿宋_GB2312" w:hAnsi="仿宋_GB2312" w:cs="仿宋_GB2312" w:eastAsia="仿宋_GB2312"/>
              </w:rPr>
              <w:t>商务应答表 服务方案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签章均符合磋商文件要求，且无遗漏。</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符合法律、法规和竞争性磋商文件中规的其他实质性要求</w:t>
            </w:r>
          </w:p>
        </w:tc>
        <w:tc>
          <w:tcPr>
            <w:tcW w:type="dxa" w:w="3322"/>
          </w:tcPr>
          <w:p>
            <w:pPr>
              <w:pStyle w:val="null3"/>
            </w:pPr>
            <w:r>
              <w:rPr>
                <w:rFonts w:ascii="仿宋_GB2312" w:hAnsi="仿宋_GB2312" w:cs="仿宋_GB2312" w:eastAsia="仿宋_GB2312"/>
              </w:rPr>
              <w:t>符合法律、法规和竞争性磋商文件中规定的其他实质性要求（合格）不符合法律、法规和竞争性磋商文件中规定的其他实质性要求（不合格）</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及授权代表投标截止日前一年内已缴存的至少一个月的社会保险参保缴费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1.评审内容：供应商根据对对项目的理解，对陕西省2026年物联网流量续费提供整体技术方案项目的理解，包括但不限于： ①项目背景及项目工作目标的理解与认识； ②服务范围、服务内容理解与认识； ③服务标准的理解与认识； ④各种协调措施等。 2.评审标准 ①完整性：方案必须全面，对评审内容中的各项要求有详细描述； ②可实施性：切合本项目实际情况，提出步骤清晰、合理的方案； ③针对性：方案能紧扣项目实际情况，内容科学合理。 3.赋分标准（12分） ①项目背景以及项目工作目标的理解与认识：每完全满足一个评审标准得1分，满分3分； ②服务范围、服务内容理解与认识：每完全满足一个评审标准得1分，满分3分； ③服务标准的理解与认识：每完全满足一个评审标准得1分，满分3分； ④各种协调措施：每完全满足一个评审标准得1分，满分3分；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工作进度安排</w:t>
            </w:r>
          </w:p>
        </w:tc>
        <w:tc>
          <w:tcPr>
            <w:tcW w:type="dxa" w:w="2492"/>
          </w:tcPr>
          <w:p>
            <w:pPr>
              <w:pStyle w:val="null3"/>
            </w:pPr>
            <w:r>
              <w:rPr>
                <w:rFonts w:ascii="仿宋_GB2312" w:hAnsi="仿宋_GB2312" w:cs="仿宋_GB2312" w:eastAsia="仿宋_GB2312"/>
              </w:rPr>
              <w:t>1.评审内容：供应商提供针对本项目的工作进度安排，方案内容括但不限于：①运维服务工作进度安排计划②确保服务期进度的保证措施。 2.评审标准 ①完整性：方案必须全面，对评审内容中的各项要求有详细描述； ②可实施性：切合本项 目实际情况，提出步骤清晰、合理的方案； 3.赋分标准（10分） ①运维服务工作进度安排计划：每完全满足一个评审标准得2.5分，满分5分； ②确保服务期进度的保证措施：每完全满足一个评审标准得2.5分，满分5分。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售后服务承诺及培训</w:t>
            </w:r>
          </w:p>
        </w:tc>
        <w:tc>
          <w:tcPr>
            <w:tcW w:type="dxa" w:w="2492"/>
          </w:tcPr>
          <w:p>
            <w:pPr>
              <w:pStyle w:val="null3"/>
            </w:pPr>
            <w:r>
              <w:rPr>
                <w:rFonts w:ascii="仿宋_GB2312" w:hAnsi="仿宋_GB2312" w:cs="仿宋_GB2312" w:eastAsia="仿宋_GB2312"/>
              </w:rPr>
              <w:t>1.评审内容： 根据本项目采购需求 提供售后服务承诺及培训方案，包 括但不限于：①售后服务方案（质 保期、售后服务团队）②维护服务要求响应承诺③售后服务响应时间 承诺④培训计划及组织方案。 2.评审标准 ①完整性：方案必须全面， 对评审内容中的各项要求有详细描 述； ②可实施性：切合本项目实际 情况，提出步骤清晰、合理的方案； ③针对性：方案能紧扣项目实际情况，内容科学合理。 3.赋分标准 （12分） ①售后服务方案（质保期 、售后服务团队）：每完全满足一 个评审标准得1分，满分3分。 ②维 护服务要求响应承诺：每完全满足 一个评审标准得1分，满分3分。 ③售后服务响应时间承诺：每完全满 足一个评审标准得1分，满分3分。 ④培训计划及组织方案：每完全满足一个评审标准得1分，满分3分。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重难点分析及合理化 建议</w:t>
            </w:r>
          </w:p>
        </w:tc>
        <w:tc>
          <w:tcPr>
            <w:tcW w:type="dxa" w:w="2492"/>
          </w:tcPr>
          <w:p>
            <w:pPr>
              <w:pStyle w:val="null3"/>
            </w:pPr>
            <w:r>
              <w:rPr>
                <w:rFonts w:ascii="仿宋_GB2312" w:hAnsi="仿宋_GB2312" w:cs="仿宋_GB2312" w:eastAsia="仿宋_GB2312"/>
              </w:rPr>
              <w:t>1.供应商提供针对本项目的重难点分析及合理化建议。 2.评审标准 ①完整性：方案必须全面，对评审内 容中的各项要求有详细描述； ②可 实施性：切合本项目实际情况，提 出步骤清晰、合理的方案； ③针对 性：方案能紧扣项目实际情况，内 容科学合理。 3.赋分标准（6分） 每完全满足一个评审标准得2分， 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供应商认证证书</w:t>
            </w:r>
          </w:p>
        </w:tc>
        <w:tc>
          <w:tcPr>
            <w:tcW w:type="dxa" w:w="2492"/>
          </w:tcPr>
          <w:p>
            <w:pPr>
              <w:pStyle w:val="null3"/>
            </w:pPr>
            <w:r>
              <w:rPr>
                <w:rFonts w:ascii="仿宋_GB2312" w:hAnsi="仿宋_GB2312" w:cs="仿宋_GB2312" w:eastAsia="仿宋_GB2312"/>
              </w:rPr>
              <w:t>ISO9001质量管理体系认证证书、ISO14001环境管理体系认证证书，供应商须提供在有效期内的证书扫描件，每提供一个有效证书扫描件得5分，满分10分，未提供不计分。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具有专业化的技术队伍，出具国家认可的计算机或电子信息等相关类别的专业技术资格证书（职称），每个中级证书得2分，每个高级证书得4分，该项得分最高不超过20分；（同一人同类证书以最高级别为准）。注：须提供相关证书复印件 加盖公章等证明材料。</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提供近三年（2023年6月至今）承担过同类项目业绩，每份计4分，满分20分。（业绩以合同签订时间为准，提供合同复印件或扫描件加盖公章）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1.经资格审查、符合性审查合格的磋商响应文件，其磋商报价为有效磋商报价。 2.满足磋商文件实质性要求且最后报价最低的供应商的价格为磋商基准价，其价格分为满分10分 3.磋商报价得分=(磋商基准价/最终磋商报价）×10的公式计算得分 。（因落实政府采购政策进行价格调整的，以调整后的价格计算评标基准价和投标报价，详见磋商文件本部分政府采购政策评分标准，专门面向中小企业采购的项目或者采购包，不再执行价格评审优惠的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详见附件：服务合同（流量续费）.docx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