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预算管理一体化核心应用系统运维服务竞争性磋商公告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预算管理一体化核心应用系统运维服务</w:t>
      </w:r>
      <w:r>
        <w:rPr>
          <w:rFonts w:ascii="仿宋_GB2312" w:hAnsi="仿宋_GB2312" w:cs="仿宋_GB2312" w:eastAsia="仿宋_GB2312"/>
        </w:rPr>
        <w:t>采购项目的潜在供应商应在</w:t>
      </w:r>
      <w:r>
        <w:rPr>
          <w:rFonts w:ascii="仿宋_GB2312" w:hAnsi="仿宋_GB2312" w:cs="仿宋_GB2312" w:eastAsia="仿宋_GB2312"/>
        </w:rPr>
        <w:t>【全国公共资源交易平台（陕西省·宝鸡市）】（http://ggzy.baoji.gov.cn/）</w:t>
      </w:r>
      <w:r>
        <w:rPr>
          <w:rFonts w:ascii="仿宋_GB2312" w:hAnsi="仿宋_GB2312" w:cs="仿宋_GB2312" w:eastAsia="仿宋_GB2312"/>
        </w:rPr>
        <w:t>获取采购文件，并于</w:t>
      </w:r>
      <w:r>
        <w:rPr>
          <w:rFonts w:ascii="仿宋_GB2312" w:hAnsi="仿宋_GB2312" w:cs="仿宋_GB2312" w:eastAsia="仿宋_GB2312"/>
        </w:rPr>
        <w:t xml:space="preserve"> 2026年10月09日 09时00分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项目编号：ZZBBJ-CS-2026-0023</w:t>
      </w:r>
    </w:p>
    <w:p>
      <w:pPr>
        <w:pStyle w:val="null3"/>
      </w:pPr>
      <w:r>
        <w:rPr>
          <w:rFonts w:ascii="仿宋_GB2312" w:hAnsi="仿宋_GB2312" w:cs="仿宋_GB2312" w:eastAsia="仿宋_GB2312"/>
        </w:rPr>
        <w:t>项目名称：预算管理一体化核心应用系统运维服务</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预算金额：759,000.00元</w:t>
      </w:r>
    </w:p>
    <w:p>
      <w:pPr>
        <w:pStyle w:val="null3"/>
      </w:pPr>
      <w:r>
        <w:rPr>
          <w:rFonts w:ascii="仿宋_GB2312" w:hAnsi="仿宋_GB2312" w:cs="仿宋_GB2312" w:eastAsia="仿宋_GB2312"/>
        </w:rPr>
        <w:t>采购需求：</w:t>
      </w:r>
    </w:p>
    <w:p>
      <w:pPr>
        <w:pStyle w:val="null3"/>
      </w:pPr>
      <w:r>
        <w:rPr>
          <w:rFonts w:ascii="仿宋_GB2312" w:hAnsi="仿宋_GB2312" w:cs="仿宋_GB2312" w:eastAsia="仿宋_GB2312"/>
        </w:rPr>
        <w:t>合同包1(预算管理一体化核心应用系统运维服务):</w:t>
      </w:r>
    </w:p>
    <w:p>
      <w:pPr>
        <w:pStyle w:val="null3"/>
        <w:ind w:firstLine="630"/>
      </w:pPr>
      <w:r>
        <w:rPr>
          <w:rFonts w:ascii="仿宋_GB2312" w:hAnsi="仿宋_GB2312" w:cs="仿宋_GB2312" w:eastAsia="仿宋_GB2312"/>
        </w:rPr>
        <w:t>合同包预算金额：</w:t>
      </w:r>
      <w:r>
        <w:rPr>
          <w:rFonts w:ascii="仿宋_GB2312" w:hAnsi="仿宋_GB2312" w:cs="仿宋_GB2312" w:eastAsia="仿宋_GB2312"/>
        </w:rPr>
        <w:t>759,000.00元</w:t>
      </w:r>
    </w:p>
    <w:p>
      <w:pPr>
        <w:pStyle w:val="null3"/>
        <w:ind w:firstLine="630"/>
      </w:pPr>
      <w:r>
        <w:rPr>
          <w:rFonts w:ascii="仿宋_GB2312" w:hAnsi="仿宋_GB2312" w:cs="仿宋_GB2312" w:eastAsia="仿宋_GB2312"/>
        </w:rPr>
        <w:t xml:space="preserve"> 合同包最高限价：</w:t>
      </w:r>
      <w:r>
        <w:rPr>
          <w:rFonts w:ascii="仿宋_GB2312" w:hAnsi="仿宋_GB2312" w:cs="仿宋_GB2312" w:eastAsia="仿宋_GB2312"/>
        </w:rPr>
        <w:t>759,000.00元</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pPr>
            <w:r>
              <w:rPr>
                <w:rFonts w:ascii="仿宋_GB2312" w:hAnsi="仿宋_GB2312" w:cs="仿宋_GB2312" w:eastAsia="仿宋_GB2312"/>
              </w:rPr>
              <w:t>品目号</w:t>
            </w:r>
          </w:p>
        </w:tc>
        <w:tc>
          <w:tcPr>
            <w:tcW w:type="dxa" w:w="1384"/>
          </w:tcPr>
          <w:p>
            <w:pPr>
              <w:pStyle w:val="null3"/>
            </w:pPr>
            <w:r>
              <w:rPr>
                <w:rFonts w:ascii="仿宋_GB2312" w:hAnsi="仿宋_GB2312" w:cs="仿宋_GB2312" w:eastAsia="仿宋_GB2312"/>
              </w:rPr>
              <w:t>品目名称</w:t>
            </w:r>
          </w:p>
        </w:tc>
        <w:tc>
          <w:tcPr>
            <w:tcW w:type="dxa" w:w="1384"/>
          </w:tcPr>
          <w:p>
            <w:pPr>
              <w:pStyle w:val="null3"/>
            </w:pPr>
            <w:r>
              <w:rPr>
                <w:rFonts w:ascii="仿宋_GB2312" w:hAnsi="仿宋_GB2312" w:cs="仿宋_GB2312" w:eastAsia="仿宋_GB2312"/>
              </w:rPr>
              <w:t>采购标的</w:t>
            </w:r>
          </w:p>
        </w:tc>
        <w:tc>
          <w:tcPr>
            <w:tcW w:type="dxa" w:w="1384"/>
          </w:tcPr>
          <w:p>
            <w:pPr>
              <w:pStyle w:val="null3"/>
            </w:pPr>
            <w:r>
              <w:rPr>
                <w:rFonts w:ascii="仿宋_GB2312" w:hAnsi="仿宋_GB2312" w:cs="仿宋_GB2312" w:eastAsia="仿宋_GB2312"/>
              </w:rPr>
              <w:t>数量（单位）</w:t>
            </w:r>
          </w:p>
        </w:tc>
        <w:tc>
          <w:tcPr>
            <w:tcW w:type="dxa" w:w="1384"/>
          </w:tcPr>
          <w:p>
            <w:pPr>
              <w:pStyle w:val="null3"/>
            </w:pPr>
            <w:r>
              <w:rPr>
                <w:rFonts w:ascii="仿宋_GB2312" w:hAnsi="仿宋_GB2312" w:cs="仿宋_GB2312" w:eastAsia="仿宋_GB2312"/>
              </w:rPr>
              <w:t>技术规格、参数及要求</w:t>
            </w:r>
          </w:p>
        </w:tc>
        <w:tc>
          <w:tcPr>
            <w:tcW w:type="dxa" w:w="1384"/>
          </w:tcPr>
          <w:p>
            <w:pPr>
              <w:pStyle w:val="null3"/>
            </w:pPr>
            <w:r>
              <w:rPr>
                <w:rFonts w:ascii="仿宋_GB2312" w:hAnsi="仿宋_GB2312" w:cs="仿宋_GB2312" w:eastAsia="仿宋_GB2312"/>
              </w:rPr>
              <w:t>品目预算(元)</w:t>
            </w:r>
          </w:p>
        </w:tc>
      </w:tr>
      <w:tr>
        <w:tc>
          <w:tcPr>
            <w:tcW w:type="dxa" w:w="1384"/>
          </w:tcPr>
          <w:p>
            <w:pPr>
              <w:pStyle w:val="null3"/>
            </w:pPr>
            <w:r>
              <w:rPr>
                <w:rFonts w:ascii="仿宋_GB2312" w:hAnsi="仿宋_GB2312" w:cs="仿宋_GB2312" w:eastAsia="仿宋_GB2312"/>
              </w:rPr>
              <w:t>1-1</w:t>
            </w:r>
          </w:p>
        </w:tc>
        <w:tc>
          <w:tcPr>
            <w:tcW w:type="dxa" w:w="1384"/>
          </w:tcPr>
          <w:p>
            <w:pPr>
              <w:pStyle w:val="null3"/>
            </w:pPr>
            <w:r>
              <w:rPr>
                <w:rFonts w:ascii="仿宋_GB2312" w:hAnsi="仿宋_GB2312" w:cs="仿宋_GB2312" w:eastAsia="仿宋_GB2312"/>
              </w:rPr>
              <w:t>软件运维服务</w:t>
            </w:r>
          </w:p>
        </w:tc>
        <w:tc>
          <w:tcPr>
            <w:tcW w:type="dxa" w:w="1384"/>
          </w:tcPr>
          <w:p>
            <w:pPr>
              <w:pStyle w:val="null3"/>
            </w:pPr>
            <w:r>
              <w:rPr>
                <w:rFonts w:ascii="仿宋_GB2312" w:hAnsi="仿宋_GB2312" w:cs="仿宋_GB2312" w:eastAsia="仿宋_GB2312"/>
              </w:rPr>
              <w:t>软件运维服务</w:t>
            </w:r>
          </w:p>
        </w:tc>
        <w:tc>
          <w:tcPr>
            <w:tcW w:type="dxa" w:w="1384"/>
          </w:tcPr>
          <w:p>
            <w:pPr>
              <w:pStyle w:val="null3"/>
            </w:pPr>
            <w:r>
              <w:rPr>
                <w:rFonts w:ascii="仿宋_GB2312" w:hAnsi="仿宋_GB2312" w:cs="仿宋_GB2312" w:eastAsia="仿宋_GB2312"/>
              </w:rPr>
              <w:t>1(项)</w:t>
            </w:r>
          </w:p>
        </w:tc>
        <w:tc>
          <w:tcPr>
            <w:tcW w:type="dxa" w:w="1384"/>
          </w:tcPr>
          <w:p>
            <w:pPr>
              <w:pStyle w:val="null3"/>
            </w:pPr>
            <w:r>
              <w:rPr>
                <w:rFonts w:ascii="仿宋_GB2312" w:hAnsi="仿宋_GB2312" w:cs="仿宋_GB2312" w:eastAsia="仿宋_GB2312"/>
              </w:rPr>
              <w:t>详见采购文件</w:t>
            </w:r>
          </w:p>
        </w:tc>
        <w:tc>
          <w:tcPr>
            <w:tcW w:type="dxa" w:w="1384"/>
          </w:tcPr>
          <w:p>
            <w:pPr>
              <w:pStyle w:val="null3"/>
            </w:pPr>
            <w:r>
              <w:rPr>
                <w:rFonts w:ascii="仿宋_GB2312" w:hAnsi="仿宋_GB2312" w:cs="仿宋_GB2312" w:eastAsia="仿宋_GB2312"/>
              </w:rPr>
              <w:t>759,000.00</w:t>
            </w:r>
          </w:p>
        </w:tc>
      </w:tr>
    </w:tbl>
    <w:p>
      <w:pPr>
        <w:pStyle w:val="null3"/>
      </w:pPr>
      <w:r>
        <w:rPr>
          <w:rFonts w:ascii="仿宋_GB2312" w:hAnsi="仿宋_GB2312" w:cs="仿宋_GB2312" w:eastAsia="仿宋_GB2312"/>
        </w:rPr>
        <w:t xml:space="preserve"> 本合同包</w:t>
      </w:r>
      <w:r>
        <w:rPr>
          <w:rFonts w:ascii="仿宋_GB2312" w:hAnsi="仿宋_GB2312" w:cs="仿宋_GB2312" w:eastAsia="仿宋_GB2312"/>
        </w:rPr>
        <w:t>不接受</w:t>
      </w:r>
      <w:r>
        <w:rPr>
          <w:rFonts w:ascii="仿宋_GB2312" w:hAnsi="仿宋_GB2312" w:cs="仿宋_GB2312" w:eastAsia="仿宋_GB2312"/>
        </w:rPr>
        <w:t>联合体投标</w:t>
      </w:r>
    </w:p>
    <w:p>
      <w:pPr>
        <w:pStyle w:val="null3"/>
      </w:pPr>
      <w:r>
        <w:rPr>
          <w:rFonts w:ascii="仿宋_GB2312" w:hAnsi="仿宋_GB2312" w:cs="仿宋_GB2312" w:eastAsia="仿宋_GB2312"/>
        </w:rPr>
        <w:t xml:space="preserve"> 合同履行期限：</w:t>
      </w:r>
      <w:r>
        <w:rPr>
          <w:rFonts w:ascii="仿宋_GB2312" w:hAnsi="仿宋_GB2312" w:cs="仿宋_GB2312" w:eastAsia="仿宋_GB2312"/>
        </w:rPr>
        <w:t>详见竞争性磋商文件</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合同包1(预算管理一体化核心应用系统运维服务)落实政府采购政策需满足的资格要求如下:</w:t>
      </w:r>
    </w:p>
    <w:p>
      <w:pPr>
        <w:pStyle w:val="null3"/>
        <w:ind w:left="480"/>
      </w:pPr>
      <w:r>
        <w:rPr>
          <w:rFonts w:ascii="仿宋_GB2312" w:hAnsi="仿宋_GB2312" w:cs="仿宋_GB2312" w:eastAsia="仿宋_GB2312"/>
        </w:rPr>
        <w:t>（1）《三部门联合发布关于促进残疾人就业政府采购政策的通知》（财库[2017]141号）；（2）《政府采购促进中小企业发展管理办法》（财库[2020]46号）；（3）《关于进一步加大政府采购支持中小企业力度的通知》（财库〔2022〕19号）；（4）《财政部、司法部关于政府采购支持监狱企业发展有关问题的通知》（财库[2014]68号））；（5）《国务院办公厅关于建立政府强制采购节能产品制度的通知》（国办发[2007]51号）；（6）《节能产品政府采购实施意见》（财库[2004]185号）； （7）《环境标志产品政府采购实施的意见》（财库[2006]90号；（8）《财政部发展改革委生态环境部市场监管总局关于调整优化节能产品、环境标志产品政府采购执行机制的通知》（财库[2019]9号）；（9）《关于运用政府采购政策支持脱贫攻坚的通知》--财库[2019]27号；（10）《关于运用政府采购政策支持乡村产业振兴的通知》（财库〔2021〕19号）；（11）陕西省财政厅关于印发《陕西省中小企业政府采购信用融资办法》（陕财办采[2018]23号）；（12）其他需要落实的政府采购政策。</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合同包1(预算管理一体化核心应用系统运维服务)特定资格要求如下:</w:t>
      </w:r>
    </w:p>
    <w:p>
      <w:pPr>
        <w:pStyle w:val="null3"/>
        <w:ind w:left="480"/>
      </w:pPr>
      <w:r>
        <w:rPr>
          <w:rFonts w:ascii="仿宋_GB2312" w:hAnsi="仿宋_GB2312" w:cs="仿宋_GB2312" w:eastAsia="仿宋_GB2312"/>
        </w:rPr>
        <w:t>1）营业执照等主体资格证明文件：供应商应为具有独立承担民事责任能力的企业法人、事业法人、其他组织或自然人。企业法人应提供合法有效的营业执照；事业法人应提供合法有效的事业单位法人证书；其他组织应提供合法有效的证明文件；自然人参与的提供其身份证明；</w:t>
      </w:r>
      <w:r>
        <w:br/>
      </w:r>
      <w:r>
        <w:rPr>
          <w:rFonts w:ascii="仿宋_GB2312" w:hAnsi="仿宋_GB2312" w:cs="仿宋_GB2312" w:eastAsia="仿宋_GB2312"/>
        </w:rPr>
        <w:t>2）财务状况报告：供应商须提供2025年经会计师事务所或审计机构出具的财务审计报告（包括审计报告、资产负债表、现金流量表、利润表（损益表）和财务报告附注等资料）或其基本开户银行出具的资信证明（成立时间至提交响应文件截止时间不足一年的可提供成立后任意时段的资产负债表）。其他组织和自然人提供银行出具的资信证明；</w:t>
      </w:r>
      <w:r>
        <w:br/>
      </w:r>
      <w:r>
        <w:rPr>
          <w:rFonts w:ascii="仿宋_GB2312" w:hAnsi="仿宋_GB2312" w:cs="仿宋_GB2312" w:eastAsia="仿宋_GB2312"/>
        </w:rPr>
        <w:t>3）社保缴纳证明：供应商须提供2025年09月至今已缴纳的任意6个月的社会保障资金缴存单据或社保机构开具的社会保险参保缴费情况证明，依法不需要缴纳社会保障资金的单位应提供相关证明材料；</w:t>
      </w:r>
      <w:r>
        <w:br/>
      </w:r>
      <w:r>
        <w:rPr>
          <w:rFonts w:ascii="仿宋_GB2312" w:hAnsi="仿宋_GB2312" w:cs="仿宋_GB2312" w:eastAsia="仿宋_GB2312"/>
        </w:rPr>
        <w:t>4）税收缴纳证明：供应商须提供2025年09月至今已缴纳的任意6个月的纳税证明或完税证明，依法免税的单位应提供相关证明材料；</w:t>
      </w:r>
      <w:r>
        <w:br/>
      </w:r>
      <w:r>
        <w:rPr>
          <w:rFonts w:ascii="仿宋_GB2312" w:hAnsi="仿宋_GB2312" w:cs="仿宋_GB2312" w:eastAsia="仿宋_GB2312"/>
        </w:rPr>
        <w:t>5）信用记录：供应商不得为“信用中国”网站(www.creditchina.gov.cn)中列入失信被执行人和重大税收违法失信主体名单的供应商；不得为“中国政府采购网”(www.ccgp.gov.cn) 政府采购严重违法失信行为记录名单中的供应商；</w:t>
      </w:r>
      <w:r>
        <w:br/>
      </w:r>
      <w:r>
        <w:rPr>
          <w:rFonts w:ascii="仿宋_GB2312" w:hAnsi="仿宋_GB2312" w:cs="仿宋_GB2312" w:eastAsia="仿宋_GB2312"/>
        </w:rPr>
        <w:t>6）控股管理关系：单位负责人为同一人或者存在直接控股、管理关系的不同供应商，不得参加同一合同项下的政府采购活动（提供书面承诺）；</w:t>
      </w:r>
      <w:r>
        <w:br/>
      </w:r>
      <w:r>
        <w:rPr>
          <w:rFonts w:ascii="仿宋_GB2312" w:hAnsi="仿宋_GB2312" w:cs="仿宋_GB2312" w:eastAsia="仿宋_GB2312"/>
        </w:rPr>
        <w:t>7）书面声明：提供参加政府采购活动前3年内在经营活动中没有重大违法记录的书面声明；</w:t>
      </w:r>
      <w:r>
        <w:br/>
      </w:r>
      <w:r>
        <w:rPr>
          <w:rFonts w:ascii="仿宋_GB2312" w:hAnsi="仿宋_GB2312" w:cs="仿宋_GB2312" w:eastAsia="仿宋_GB2312"/>
        </w:rPr>
        <w:t>8）法定代表人授权委托书：供应商法定代表人参加投标的，提供法定代表人身份证明；法定代表人授权他人参加投标的，提供法定代表人授权委托书；</w:t>
      </w:r>
      <w:r>
        <w:br/>
      </w:r>
      <w:r>
        <w:rPr>
          <w:rFonts w:ascii="仿宋_GB2312" w:hAnsi="仿宋_GB2312" w:cs="仿宋_GB2312" w:eastAsia="仿宋_GB2312"/>
        </w:rPr>
        <w:t>9）履行合同所必须的证明资料：具有履行合同所必需的设备和专业技术能力（提供书面承诺）；</w:t>
      </w:r>
      <w:r>
        <w:br/>
      </w:r>
      <w:r>
        <w:rPr>
          <w:rFonts w:ascii="仿宋_GB2312" w:hAnsi="仿宋_GB2312" w:cs="仿宋_GB2312" w:eastAsia="仿宋_GB2312"/>
        </w:rPr>
        <w:t>10）专门面向中小企业声明函：本项目专门面向中小企业采购，供应商须为中小企业，并提供声明函（如有虚假，将依法承担相应责任）；</w:t>
      </w:r>
      <w:r>
        <w:br/>
      </w:r>
      <w:r>
        <w:rPr>
          <w:rFonts w:ascii="仿宋_GB2312" w:hAnsi="仿宋_GB2312" w:cs="仿宋_GB2312" w:eastAsia="仿宋_GB2312"/>
        </w:rPr>
        <w:t>11）非联合体投标声明函：本项目不接受联合体投标，供应商需提供非联合体投标声明函。</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2026年09月20日 </w:t>
      </w:r>
      <w:r>
        <w:rPr>
          <w:rFonts w:ascii="仿宋_GB2312" w:hAnsi="仿宋_GB2312" w:cs="仿宋_GB2312" w:eastAsia="仿宋_GB2312"/>
        </w:rPr>
        <w:t>至</w:t>
      </w:r>
      <w:r>
        <w:rPr>
          <w:rFonts w:ascii="仿宋_GB2312" w:hAnsi="仿宋_GB2312" w:cs="仿宋_GB2312" w:eastAsia="仿宋_GB2312"/>
        </w:rPr>
        <w:t xml:space="preserve"> 2026年09月24日 </w:t>
      </w:r>
      <w:r>
        <w:rPr>
          <w:rFonts w:ascii="仿宋_GB2312" w:hAnsi="仿宋_GB2312" w:cs="仿宋_GB2312" w:eastAsia="仿宋_GB2312"/>
        </w:rPr>
        <w:t>，每天上午</w:t>
      </w:r>
      <w:r>
        <w:rPr>
          <w:rFonts w:ascii="仿宋_GB2312" w:hAnsi="仿宋_GB2312" w:cs="仿宋_GB2312" w:eastAsia="仿宋_GB2312"/>
        </w:rPr>
        <w:t xml:space="preserve"> 08:00:00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14:00:00 </w:t>
      </w:r>
      <w:r>
        <w:rPr>
          <w:rFonts w:ascii="仿宋_GB2312" w:hAnsi="仿宋_GB2312" w:cs="仿宋_GB2312" w:eastAsia="仿宋_GB2312"/>
        </w:rPr>
        <w:t>至</w:t>
      </w:r>
      <w:r>
        <w:rPr>
          <w:rFonts w:ascii="仿宋_GB2312" w:hAnsi="仿宋_GB2312" w:cs="仿宋_GB2312" w:eastAsia="仿宋_GB2312"/>
        </w:rPr>
        <w:t xml:space="preserve"> 18:00:00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【全国公共资源交易平台（陕西省·宝鸡市）】（http://ggzy.baoji.gov.cn/）</w:t>
      </w:r>
    </w:p>
    <w:p>
      <w:pPr>
        <w:pStyle w:val="null3"/>
      </w:pPr>
      <w:r>
        <w:rPr>
          <w:rFonts w:ascii="仿宋_GB2312" w:hAnsi="仿宋_GB2312" w:cs="仿宋_GB2312" w:eastAsia="仿宋_GB2312"/>
        </w:rPr>
        <w:t>方式：</w:t>
      </w:r>
      <w:r>
        <w:rPr>
          <w:rFonts w:ascii="仿宋_GB2312" w:hAnsi="仿宋_GB2312" w:cs="仿宋_GB2312" w:eastAsia="仿宋_GB2312"/>
        </w:rPr>
        <w:t>在线获取</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2026年10月09日 09时00分00秒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宝鸡市公共资源交易中心（不见面开标）</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2026年10月09日 09时00分00秒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宝鸡市公共资源交易中心（不见面开标）</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sz w:val="24"/>
        </w:rPr>
        <w:t>1、本次</w:t>
      </w:r>
      <w:r>
        <w:rPr>
          <w:rFonts w:ascii="仿宋_GB2312" w:hAnsi="仿宋_GB2312" w:cs="仿宋_GB2312" w:eastAsia="仿宋_GB2312"/>
          <w:sz w:val="24"/>
        </w:rPr>
        <w:t>竞争性磋商</w:t>
      </w:r>
      <w:r>
        <w:rPr>
          <w:rFonts w:ascii="仿宋_GB2312" w:hAnsi="仿宋_GB2312" w:cs="仿宋_GB2312" w:eastAsia="仿宋_GB2312"/>
          <w:sz w:val="24"/>
        </w:rPr>
        <w:t>公告在《陕西省政府采购网》、《陕西省公共资源交易中心（陕西省</w:t>
      </w:r>
      <w:r>
        <w:rPr>
          <w:rFonts w:ascii="仿宋_GB2312" w:hAnsi="仿宋_GB2312" w:cs="仿宋_GB2312" w:eastAsia="仿宋_GB2312"/>
          <w:sz w:val="24"/>
        </w:rPr>
        <w:t>▪宝鸡市）》同时发布；</w:t>
      </w:r>
    </w:p>
    <w:p>
      <w:pPr>
        <w:pStyle w:val="null3"/>
        <w:ind w:firstLine="480"/>
        <w:jc w:val="both"/>
      </w:pPr>
      <w:r>
        <w:rPr>
          <w:rFonts w:ascii="仿宋_GB2312" w:hAnsi="仿宋_GB2312" w:cs="仿宋_GB2312" w:eastAsia="仿宋_GB2312"/>
          <w:sz w:val="24"/>
        </w:rPr>
        <w:t>2</w:t>
      </w:r>
      <w:r>
        <w:rPr>
          <w:rFonts w:ascii="仿宋_GB2312" w:hAnsi="仿宋_GB2312" w:cs="仿宋_GB2312" w:eastAsia="仿宋_GB2312"/>
          <w:sz w:val="24"/>
        </w:rPr>
        <w:t>、请供应商按照陕西省财政厅关于政府采购供应商注册登记有关事项的通知中的要求，通过陕西省政府采购网（</w:t>
      </w:r>
      <w:r>
        <w:rPr>
          <w:rFonts w:ascii="仿宋_GB2312" w:hAnsi="仿宋_GB2312" w:cs="仿宋_GB2312" w:eastAsia="仿宋_GB2312"/>
          <w:sz w:val="24"/>
        </w:rPr>
        <w:t>http://www.ccgp-shaanxi.gov.cn/）注册登记加入陕西省政府采购供应商库及办理供应商入库申请并及时办理CA数字证书（陕西CA锁）</w:t>
      </w:r>
    </w:p>
    <w:p>
      <w:pPr>
        <w:pStyle w:val="null3"/>
        <w:ind w:firstLine="480"/>
        <w:jc w:val="both"/>
      </w:pPr>
      <w:r>
        <w:rPr>
          <w:rFonts w:ascii="仿宋_GB2312" w:hAnsi="仿宋_GB2312" w:cs="仿宋_GB2312" w:eastAsia="仿宋_GB2312"/>
          <w:sz w:val="24"/>
        </w:rPr>
        <w:t>3</w:t>
      </w:r>
      <w:r>
        <w:rPr>
          <w:rFonts w:ascii="仿宋_GB2312" w:hAnsi="仿宋_GB2312" w:cs="仿宋_GB2312" w:eastAsia="仿宋_GB2312"/>
          <w:sz w:val="24"/>
        </w:rPr>
        <w:t>、各供应商使用</w:t>
      </w:r>
      <w:r>
        <w:rPr>
          <w:rFonts w:ascii="仿宋_GB2312" w:hAnsi="仿宋_GB2312" w:cs="仿宋_GB2312" w:eastAsia="仿宋_GB2312"/>
          <w:sz w:val="24"/>
        </w:rPr>
        <w:t>CA证书登录全国公共资源交易平台（陕西省宝鸡市）宝鸡市公共资源交易中心（http://ggzy.baoji.gov.cn/）交易平台〖首页〉电子交易平台〉企业端〗后，在〖招标公告/出让公告〗模块中选择有意向的项目点击“我要投标”，并打印报名成功回执单；</w:t>
      </w:r>
    </w:p>
    <w:p>
      <w:pPr>
        <w:pStyle w:val="null3"/>
        <w:ind w:firstLine="480"/>
        <w:jc w:val="both"/>
      </w:pPr>
      <w:r>
        <w:rPr>
          <w:rFonts w:ascii="仿宋_GB2312" w:hAnsi="仿宋_GB2312" w:cs="仿宋_GB2312" w:eastAsia="仿宋_GB2312"/>
          <w:sz w:val="24"/>
        </w:rPr>
        <w:t>4</w:t>
      </w:r>
      <w:r>
        <w:rPr>
          <w:rFonts w:ascii="仿宋_GB2312" w:hAnsi="仿宋_GB2312" w:cs="仿宋_GB2312" w:eastAsia="仿宋_GB2312"/>
          <w:sz w:val="24"/>
        </w:rPr>
        <w:t>、报名成功后可从〖我的项目〉项目流程〉交易文件下载〗中下载电子文件（</w:t>
      </w:r>
      <w:r>
        <w:rPr>
          <w:rFonts w:ascii="仿宋_GB2312" w:hAnsi="仿宋_GB2312" w:cs="仿宋_GB2312" w:eastAsia="仿宋_GB2312"/>
          <w:sz w:val="24"/>
        </w:rPr>
        <w:t>*.SXSZF格式）；</w:t>
      </w:r>
    </w:p>
    <w:p>
      <w:pPr>
        <w:pStyle w:val="null3"/>
        <w:ind w:firstLine="480"/>
        <w:jc w:val="both"/>
      </w:pPr>
      <w:r>
        <w:rPr>
          <w:rFonts w:ascii="仿宋_GB2312" w:hAnsi="仿宋_GB2312" w:cs="仿宋_GB2312" w:eastAsia="仿宋_GB2312"/>
          <w:sz w:val="24"/>
        </w:rPr>
        <w:t>5</w:t>
      </w:r>
      <w:r>
        <w:rPr>
          <w:rFonts w:ascii="仿宋_GB2312" w:hAnsi="仿宋_GB2312" w:cs="仿宋_GB2312" w:eastAsia="仿宋_GB2312"/>
          <w:sz w:val="24"/>
        </w:rPr>
        <w:t>、供应商在网上填写的单位信息（单位名称、营业执照相关信息）应与竞争性磋商文件要求及后期上传的电子磋商响应文件中相关信息一致，否则造成资格审查不通过的后果供应商自负；</w:t>
      </w:r>
    </w:p>
    <w:p>
      <w:pPr>
        <w:pStyle w:val="null3"/>
        <w:ind w:firstLine="480"/>
        <w:jc w:val="both"/>
      </w:pPr>
      <w:r>
        <w:rPr>
          <w:rFonts w:ascii="仿宋_GB2312" w:hAnsi="仿宋_GB2312" w:cs="仿宋_GB2312" w:eastAsia="仿宋_GB2312"/>
          <w:sz w:val="24"/>
        </w:rPr>
        <w:t>6</w:t>
      </w:r>
      <w:r>
        <w:rPr>
          <w:rFonts w:ascii="仿宋_GB2312" w:hAnsi="仿宋_GB2312" w:cs="仿宋_GB2312" w:eastAsia="仿宋_GB2312"/>
          <w:sz w:val="24"/>
        </w:rPr>
        <w:t>、本项目采用电子化不见面开标方式，各供应商可登录全国公共资源交易平台（陕西省</w:t>
      </w:r>
      <w:r>
        <w:rPr>
          <w:rFonts w:ascii="仿宋_GB2312" w:hAnsi="仿宋_GB2312" w:cs="仿宋_GB2312" w:eastAsia="仿宋_GB2312"/>
          <w:sz w:val="24"/>
        </w:rPr>
        <w:t>·宝鸡市）宝鸡市公共资源交易中心（http://ggzy.baoji.gov.cn/）下载《政府采购电子标书制作工具》、《政府采购磋商单位操作手册》和《宝鸡市不见面大厅供应商操作手册》,按照流程制作电子标书并在磋商截止时间前上传电子磋商响应文件；</w:t>
      </w:r>
    </w:p>
    <w:p>
      <w:pPr>
        <w:pStyle w:val="null3"/>
        <w:ind w:firstLine="480"/>
        <w:jc w:val="both"/>
      </w:pPr>
      <w:r>
        <w:rPr>
          <w:rFonts w:ascii="仿宋_GB2312" w:hAnsi="仿宋_GB2312" w:cs="仿宋_GB2312" w:eastAsia="仿宋_GB2312"/>
          <w:sz w:val="24"/>
        </w:rPr>
        <w:t>7</w:t>
      </w:r>
      <w:r>
        <w:rPr>
          <w:rFonts w:ascii="仿宋_GB2312" w:hAnsi="仿宋_GB2312" w:cs="仿宋_GB2312" w:eastAsia="仿宋_GB2312"/>
          <w:sz w:val="24"/>
        </w:rPr>
        <w:t>、为了保证远程不见面开标顺利进行，供应商需使用电脑提前一小时登录网络开标大厅，因供应商自身电脑设备故障或自身原因导致无法完成磋商的，由供应商自行承担后果（建议使用</w:t>
      </w:r>
      <w:r>
        <w:rPr>
          <w:rFonts w:ascii="仿宋_GB2312" w:hAnsi="仿宋_GB2312" w:cs="仿宋_GB2312" w:eastAsia="仿宋_GB2312"/>
          <w:sz w:val="24"/>
        </w:rPr>
        <w:t>IE11或者360极速浏览器兼容模式，磋商单位电脑需配备耳麦）；</w:t>
      </w:r>
    </w:p>
    <w:p>
      <w:pPr>
        <w:pStyle w:val="null3"/>
        <w:ind w:firstLine="480"/>
        <w:jc w:val="both"/>
      </w:pPr>
      <w:r>
        <w:rPr>
          <w:rFonts w:ascii="仿宋_GB2312" w:hAnsi="仿宋_GB2312" w:cs="仿宋_GB2312" w:eastAsia="仿宋_GB2312"/>
          <w:sz w:val="24"/>
        </w:rPr>
        <w:t>8</w:t>
      </w:r>
      <w:r>
        <w:rPr>
          <w:rFonts w:ascii="仿宋_GB2312" w:hAnsi="仿宋_GB2312" w:cs="仿宋_GB2312" w:eastAsia="仿宋_GB2312"/>
          <w:sz w:val="24"/>
        </w:rPr>
        <w:t>、供应商未完成网上磋商或未在规定时间内在平台上下载电子竞争性磋商文件的，导致无法完成后续流程的责任自负；</w:t>
      </w:r>
    </w:p>
    <w:p>
      <w:pPr>
        <w:pStyle w:val="null3"/>
        <w:ind w:firstLine="480"/>
        <w:jc w:val="both"/>
      </w:pPr>
      <w:r>
        <w:rPr>
          <w:rFonts w:ascii="仿宋_GB2312" w:hAnsi="仿宋_GB2312" w:cs="仿宋_GB2312" w:eastAsia="仿宋_GB2312"/>
          <w:sz w:val="24"/>
        </w:rPr>
        <w:t>9</w:t>
      </w:r>
      <w:r>
        <w:rPr>
          <w:rFonts w:ascii="仿宋_GB2312" w:hAnsi="仿宋_GB2312" w:cs="仿宋_GB2312" w:eastAsia="仿宋_GB2312"/>
          <w:sz w:val="24"/>
        </w:rPr>
        <w:t>、电子磋商响应文件制作软件技术支持热线：咨询电话</w:t>
      </w:r>
      <w:r>
        <w:rPr>
          <w:rFonts w:ascii="仿宋_GB2312" w:hAnsi="仿宋_GB2312" w:cs="仿宋_GB2312" w:eastAsia="仿宋_GB2312"/>
          <w:sz w:val="24"/>
        </w:rPr>
        <w:t>:400-636-9888、029-88661267、029-88661266</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千阳县财政局（本级）</w:t>
      </w:r>
    </w:p>
    <w:p>
      <w:pPr>
        <w:pStyle w:val="null3"/>
      </w:pPr>
      <w:r>
        <w:rPr>
          <w:rFonts w:ascii="仿宋_GB2312" w:hAnsi="仿宋_GB2312" w:cs="仿宋_GB2312" w:eastAsia="仿宋_GB2312"/>
        </w:rPr>
        <w:t>地址：</w:t>
      </w:r>
      <w:r>
        <w:rPr>
          <w:rFonts w:ascii="仿宋_GB2312" w:hAnsi="仿宋_GB2312" w:cs="仿宋_GB2312" w:eastAsia="仿宋_GB2312"/>
        </w:rPr>
        <w:t>千阳县东大街</w:t>
      </w:r>
    </w:p>
    <w:p>
      <w:pPr>
        <w:pStyle w:val="null3"/>
      </w:pPr>
      <w:r>
        <w:rPr>
          <w:rFonts w:ascii="仿宋_GB2312" w:hAnsi="仿宋_GB2312" w:cs="仿宋_GB2312" w:eastAsia="仿宋_GB2312"/>
        </w:rPr>
        <w:t>联系方式：</w:t>
      </w:r>
      <w:r>
        <w:rPr>
          <w:rFonts w:ascii="仿宋_GB2312" w:hAnsi="仿宋_GB2312" w:cs="仿宋_GB2312" w:eastAsia="仿宋_GB2312"/>
        </w:rPr>
        <w:t>0917-4241086</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中志标建设项目管理咨询有限公司</w:t>
      </w:r>
    </w:p>
    <w:p>
      <w:pPr>
        <w:pStyle w:val="null3"/>
      </w:pPr>
      <w:r>
        <w:rPr>
          <w:rFonts w:ascii="仿宋_GB2312" w:hAnsi="仿宋_GB2312" w:cs="仿宋_GB2312" w:eastAsia="仿宋_GB2312"/>
        </w:rPr>
        <w:t>地址：</w:t>
      </w:r>
      <w:r>
        <w:rPr>
          <w:rFonts w:ascii="仿宋_GB2312" w:hAnsi="仿宋_GB2312" w:cs="仿宋_GB2312" w:eastAsia="仿宋_GB2312"/>
        </w:rPr>
        <w:t>陕西省宝鸡市金台区凯旋城铭座二楼（融华酒店北隔壁二楼）</w:t>
      </w:r>
    </w:p>
    <w:p>
      <w:pPr>
        <w:pStyle w:val="null3"/>
      </w:pPr>
      <w:r>
        <w:rPr>
          <w:rFonts w:ascii="仿宋_GB2312" w:hAnsi="仿宋_GB2312" w:cs="仿宋_GB2312" w:eastAsia="仿宋_GB2312"/>
        </w:rPr>
        <w:t>联系方式：</w:t>
      </w:r>
      <w:r>
        <w:rPr>
          <w:rFonts w:ascii="仿宋_GB2312" w:hAnsi="仿宋_GB2312" w:cs="仿宋_GB2312" w:eastAsia="仿宋_GB2312"/>
        </w:rPr>
        <w:t>15609170191</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刘秦川</w:t>
      </w:r>
    </w:p>
    <w:p>
      <w:pPr>
        <w:pStyle w:val="null3"/>
      </w:pPr>
      <w:r>
        <w:rPr>
          <w:rFonts w:ascii="仿宋_GB2312" w:hAnsi="仿宋_GB2312" w:cs="仿宋_GB2312" w:eastAsia="仿宋_GB2312"/>
        </w:rPr>
        <w:t>电话：</w:t>
      </w:r>
      <w:r>
        <w:rPr>
          <w:rFonts w:ascii="仿宋_GB2312" w:hAnsi="仿宋_GB2312" w:cs="仿宋_GB2312" w:eastAsia="仿宋_GB2312"/>
        </w:rPr>
        <w:t>15609170191</w:t>
      </w:r>
    </w:p>
    <w:p>
      <w:pPr>
        <w:pStyle w:val="null3"/>
        <w:jc w:val="right"/>
      </w:pPr>
      <w:r>
        <w:rPr>
          <w:rFonts w:ascii="仿宋_GB2312" w:hAnsi="仿宋_GB2312" w:cs="仿宋_GB2312" w:eastAsia="仿宋_GB2312"/>
        </w:rPr>
        <w:t>中志标建设项目管理咨询有限公司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