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版本号：XXLTZB-202601320260519003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业务技术用房附属工程项目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XXLTZB-2026013</w:t>
      </w:r>
      <w:r>
        <w:br/>
      </w:r>
      <w:r>
        <w:br/>
      </w:r>
      <w:r>
        <w:br/>
      </w:r>
    </w:p>
    <w:p>
      <w:pPr>
        <w:pStyle w:val="null3"/>
        <w:jc w:val="center"/>
        <w:outlineLvl w:val="2"/>
      </w:pPr>
      <w:r>
        <w:rPr>
          <w:rFonts w:ascii="仿宋_GB2312" w:hAnsi="仿宋_GB2312" w:cs="仿宋_GB2312" w:eastAsia="仿宋_GB2312"/>
          <w:sz w:val="28"/>
          <w:b/>
        </w:rPr>
        <w:t>铜川市公安局王益分局</w:t>
      </w:r>
    </w:p>
    <w:p>
      <w:pPr>
        <w:pStyle w:val="null3"/>
        <w:jc w:val="center"/>
        <w:outlineLvl w:val="2"/>
      </w:pPr>
      <w:r>
        <w:rPr>
          <w:rFonts w:ascii="仿宋_GB2312" w:hAnsi="仿宋_GB2312" w:cs="仿宋_GB2312" w:eastAsia="仿宋_GB2312"/>
          <w:sz w:val="28"/>
          <w:b/>
        </w:rPr>
        <w:t>陕西象限蓝图项目管理有限公司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陕西象限蓝图项目管理有限公司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铜川市公安局王益分局</w:t>
      </w:r>
      <w:r>
        <w:rPr>
          <w:rFonts w:ascii="仿宋_GB2312" w:hAnsi="仿宋_GB2312" w:cs="仿宋_GB2312" w:eastAsia="仿宋_GB2312"/>
        </w:rPr>
        <w:t>委托，拟对</w:t>
      </w:r>
      <w:r>
        <w:rPr>
          <w:rFonts w:ascii="仿宋_GB2312" w:hAnsi="仿宋_GB2312" w:cs="仿宋_GB2312" w:eastAsia="仿宋_GB2312"/>
        </w:rPr>
        <w:t>业务技术用房附属工程项目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XXLTZB-2026013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业务技术用房附属工程项目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工程范围涵盖给排水、电气、弱电、大门土建、围墙土建、大门电气安装、大门弱电及消防等建设内容。（具体内容详见磋商文件及工程量清单）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采购包1（铜川市公安局王益分局业务技术用房附属工程项目）：属于专门面向中小企业采购。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1、主体资格：具备独立承担民事责任能力的法人、其他组织或自然人，提供合法有效的营业执照、事业单位法人证书或自然人身份证明。</w:t>
      </w:r>
    </w:p>
    <w:p>
      <w:pPr>
        <w:pStyle w:val="null3"/>
      </w:pPr>
      <w:r>
        <w:rPr>
          <w:rFonts w:ascii="仿宋_GB2312" w:hAnsi="仿宋_GB2312" w:cs="仿宋_GB2312" w:eastAsia="仿宋_GB2312"/>
        </w:rPr>
        <w:t>2、法定代表人证明书/授权书：法定代表人直接参加投标的，须出具《法定代表人证明书》及身份证原件；法定代表人授权代表参加投标的，须出具《法定代表人授权书》及授权代表身份证原件。响应文件中凡是需要法定代表人盖章之处，非法人单位的负责人均参照执行。</w:t>
      </w:r>
    </w:p>
    <w:p>
      <w:pPr>
        <w:pStyle w:val="null3"/>
      </w:pPr>
      <w:r>
        <w:rPr>
          <w:rFonts w:ascii="仿宋_GB2312" w:hAnsi="仿宋_GB2312" w:cs="仿宋_GB2312" w:eastAsia="仿宋_GB2312"/>
        </w:rPr>
        <w:t>3、企业资质：供应商须提供由建设行政主管部门颁发的建筑工程施工总承包三级及以上资质或市政公用工程施工总承包三级及以上资质证书，并具备有效的安全生产许可证。</w:t>
      </w:r>
    </w:p>
    <w:p>
      <w:pPr>
        <w:pStyle w:val="null3"/>
      </w:pPr>
      <w:r>
        <w:rPr>
          <w:rFonts w:ascii="仿宋_GB2312" w:hAnsi="仿宋_GB2312" w:cs="仿宋_GB2312" w:eastAsia="仿宋_GB2312"/>
        </w:rPr>
        <w:t>4、项目经理：拟派项目经理须具备建筑工程或市政公用工程专业二级及以上注册建造师执业资格和有效的安全生产考核合格证书（建安B 证），且未担任其他在建工程项目的项目经理。（提供无在建承诺）</w:t>
      </w:r>
    </w:p>
    <w:p>
      <w:pPr>
        <w:pStyle w:val="null3"/>
      </w:pPr>
      <w:r>
        <w:rPr>
          <w:rFonts w:ascii="仿宋_GB2312" w:hAnsi="仿宋_GB2312" w:cs="仿宋_GB2312" w:eastAsia="仿宋_GB2312"/>
        </w:rPr>
        <w:t>5、财务状况报告：提供2024年或2025年度经审计的财务报告（成立时间至提交响应文件递交截止时间不足一年的可提供成立后任意时段的财务报表）；或开标前一年基本存款账户开户银行出具的资信证明；或财政部门认可的政府采购专业担保机构出具的投标担保函及基本账户开户许可证或基本存款账户信息。</w:t>
      </w:r>
    </w:p>
    <w:p>
      <w:pPr>
        <w:pStyle w:val="null3"/>
      </w:pPr>
      <w:r>
        <w:rPr>
          <w:rFonts w:ascii="仿宋_GB2312" w:hAnsi="仿宋_GB2312" w:cs="仿宋_GB2312" w:eastAsia="仿宋_GB2312"/>
        </w:rPr>
        <w:t>6、社会保险参保缴费情况证明：提供递交响应文件截止之日前半年内任意一个月的社会保障资金缴存单据或社保机构开具的社会保险参保缴费情况证明。依法不需要缴纳社会保障资金的供应商，应提供相关合法有效的证明文件。</w:t>
      </w:r>
    </w:p>
    <w:p>
      <w:pPr>
        <w:pStyle w:val="null3"/>
      </w:pPr>
      <w:r>
        <w:rPr>
          <w:rFonts w:ascii="仿宋_GB2312" w:hAnsi="仿宋_GB2312" w:cs="仿宋_GB2312" w:eastAsia="仿宋_GB2312"/>
        </w:rPr>
        <w:t>7、税收缴纳证明：提供递交响应文件截止之日前半年内任意一个月的纳税证明或完税证明，纳税证明或完税证明上应有代收机构或税务机关的公章或业务专用章，确保纳税记录真实有效。依法免税或无须缴纳税收的供应商，应提供相应合法有效的证明文件。</w:t>
      </w:r>
    </w:p>
    <w:p>
      <w:pPr>
        <w:pStyle w:val="null3"/>
      </w:pPr>
      <w:r>
        <w:rPr>
          <w:rFonts w:ascii="仿宋_GB2312" w:hAnsi="仿宋_GB2312" w:cs="仿宋_GB2312" w:eastAsia="仿宋_GB2312"/>
        </w:rPr>
        <w:t>8、具有良好的商业信誉：供应商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若存在上述失信情形，将取消其投标或成交资格。</w:t>
      </w:r>
    </w:p>
    <w:p>
      <w:pPr>
        <w:pStyle w:val="null3"/>
      </w:pPr>
      <w:r>
        <w:rPr>
          <w:rFonts w:ascii="仿宋_GB2312" w:hAnsi="仿宋_GB2312" w:cs="仿宋_GB2312" w:eastAsia="仿宋_GB2312"/>
        </w:rPr>
        <w:t>9、履约能力要求：供应商须具有履行本项目合同所必需的设备和专业技术能力，须提供书面承诺书。</w:t>
      </w:r>
    </w:p>
    <w:p>
      <w:pPr>
        <w:pStyle w:val="null3"/>
      </w:pPr>
      <w:r>
        <w:rPr>
          <w:rFonts w:ascii="仿宋_GB2312" w:hAnsi="仿宋_GB2312" w:cs="仿宋_GB2312" w:eastAsia="仿宋_GB2312"/>
        </w:rPr>
        <w:t>10、无重大违法记录声明：供应商须提供参加本次采购活动近3年内（自递交响应文件之日起倒算）经营活动中无重大违法记录的声明。</w:t>
      </w:r>
    </w:p>
    <w:p>
      <w:pPr>
        <w:pStyle w:val="null3"/>
      </w:pPr>
      <w:r>
        <w:rPr>
          <w:rFonts w:ascii="仿宋_GB2312" w:hAnsi="仿宋_GB2312" w:cs="仿宋_GB2312" w:eastAsia="仿宋_GB2312"/>
        </w:rPr>
        <w:t>11、控股管理关系：单位负责人为同一人或者存在直接控股、管理关系的不同供应商，不得参加同一合同项下的采购活动，若违反本规定，相关投标均视为无效投标。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铜川市公安局王益分局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铜川市王益区柳堤路13号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相皓严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0919-2166855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陕西象限蓝图项目管理有限公司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陕西省铜川市新区开元路中央公元3号楼20209</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18189276056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代理服务费收费标准：本次项目通过网上中介超市公开遴选确定代理服务，双方约定招标代理服务费固定金额为人民币贰万贰仟元整（¥22000.00元）。 成交单位须在领取成交通知书之前，一次性全额付清上述代理服务费用。 本费用不再按照计价格〔2002〕1980 号、发改价格〔2011〕534 号文件差额定率分档累进方式另行核算计取，以本次中介超市遴选约定固定金额为准。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铜川市公安局王益分局</w:t>
      </w:r>
      <w:r>
        <w:rPr>
          <w:rFonts w:ascii="仿宋_GB2312" w:hAnsi="仿宋_GB2312" w:cs="仿宋_GB2312" w:eastAsia="仿宋_GB2312"/>
        </w:rPr>
        <w:t>和</w:t>
      </w:r>
      <w:r>
        <w:rPr>
          <w:rFonts w:ascii="仿宋_GB2312" w:hAnsi="仿宋_GB2312" w:cs="仿宋_GB2312" w:eastAsia="仿宋_GB2312"/>
        </w:rPr>
        <w:t>陕西象限蓝图项目管理有限公司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铜川市公安局王益分局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陕西象限蓝图项目管理有限公司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铜川市公安局王益分局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陕西象限蓝图项目管理有限公司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质量必须达到国家及行业现行技术规范标准，符合国家及行业验收规范合格标准，并满足采购人要求。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陕西象限蓝图项目管理有限公司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陕西象限蓝图项目管理有限公司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陕西象限蓝图项目管理有限公司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联系人：高妮</w:t>
      </w:r>
    </w:p>
    <w:p>
      <w:pPr>
        <w:pStyle w:val="null3"/>
      </w:pPr>
      <w:r>
        <w:rPr>
          <w:rFonts w:ascii="仿宋_GB2312" w:hAnsi="仿宋_GB2312" w:cs="仿宋_GB2312" w:eastAsia="仿宋_GB2312"/>
        </w:rPr>
        <w:t>联系电话：18189276056</w:t>
      </w:r>
    </w:p>
    <w:p>
      <w:pPr>
        <w:pStyle w:val="null3"/>
      </w:pPr>
      <w:r>
        <w:rPr>
          <w:rFonts w:ascii="仿宋_GB2312" w:hAnsi="仿宋_GB2312" w:cs="仿宋_GB2312" w:eastAsia="仿宋_GB2312"/>
        </w:rPr>
        <w:t>地址：陕西省铜川市新区开元路中央公元3号楼20209（电子邮箱：gntjfvip@163.com）</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铜川市公安局王益分局业务技术用房附属工程项目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标的名称：铜川市公安局王益分局业务技术用房附属工程项目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9"/>
                <w:color w:val="000000"/>
              </w:rPr>
              <w:t>一、技术、服务标准和要求</w:t>
            </w:r>
          </w:p>
          <w:p>
            <w:pPr>
              <w:pStyle w:val="null3"/>
            </w:pPr>
            <w:r>
              <w:rPr>
                <w:rFonts w:ascii="仿宋_GB2312" w:hAnsi="仿宋_GB2312" w:cs="仿宋_GB2312" w:eastAsia="仿宋_GB2312"/>
                <w:sz w:val="19"/>
                <w:color w:val="000000"/>
              </w:rPr>
              <w:t>1.本工程的施工过程和成果必须符合国家有关标准和国家或有关部门关于该工程施工方面现行的标准、规范、规程、定额、办法、示例，以及陕西省关于工程施工方面的文件、规定。工程实施过程中所提供的所有产品、材料均是合格产品，质量必须符合国家有关规范和相关政策。所有产品的生产、制造等各项技术标准，应当符合国家（强制性）标准、各项规范要求；国家没有相应标准、规范的 ，可</w:t>
            </w:r>
            <w:r>
              <w:rPr>
                <w:rFonts w:ascii="仿宋_GB2312" w:hAnsi="仿宋_GB2312" w:cs="仿宋_GB2312" w:eastAsia="仿宋_GB2312"/>
                <w:sz w:val="19"/>
                <w:color w:val="000000"/>
              </w:rPr>
              <w:t>适用</w:t>
            </w:r>
            <w:r>
              <w:rPr>
                <w:rFonts w:ascii="仿宋_GB2312" w:hAnsi="仿宋_GB2312" w:cs="仿宋_GB2312" w:eastAsia="仿宋_GB2312"/>
                <w:sz w:val="19"/>
                <w:color w:val="000000"/>
              </w:rPr>
              <w:t>行业标准、规定；非标产品按采购约定的技术要求和规范。并达到采购人要求。所有产品应质量优良、渠道正当，配置合理。</w:t>
            </w:r>
          </w:p>
          <w:p>
            <w:pPr>
              <w:pStyle w:val="null3"/>
            </w:pPr>
            <w:r>
              <w:rPr>
                <w:rFonts w:ascii="仿宋_GB2312" w:hAnsi="仿宋_GB2312" w:cs="仿宋_GB2312" w:eastAsia="仿宋_GB2312"/>
                <w:sz w:val="19"/>
                <w:color w:val="000000"/>
              </w:rPr>
              <w:t>2.供应商在施工过程中使用或参考上述标准、规范以外的技术标准、规范时，应征得采购人的同意。</w:t>
            </w:r>
          </w:p>
          <w:p>
            <w:pPr>
              <w:pStyle w:val="null3"/>
            </w:pPr>
            <w:r>
              <w:rPr>
                <w:rFonts w:ascii="仿宋_GB2312" w:hAnsi="仿宋_GB2312" w:cs="仿宋_GB2312" w:eastAsia="仿宋_GB2312"/>
                <w:sz w:val="19"/>
                <w:color w:val="000000"/>
              </w:rPr>
              <w:t>3.在施工过程中，如果国家或有关部门颁布了新的技术标准或规范，则承包人应采用新的标准或规范进行施工。</w:t>
            </w:r>
          </w:p>
          <w:p>
            <w:pPr>
              <w:pStyle w:val="null3"/>
            </w:pPr>
            <w:r>
              <w:rPr>
                <w:rFonts w:ascii="仿宋_GB2312" w:hAnsi="仿宋_GB2312" w:cs="仿宋_GB2312" w:eastAsia="仿宋_GB2312"/>
                <w:sz w:val="19"/>
                <w:color w:val="000000"/>
              </w:rPr>
              <w:t>4.供应商应先充分了解工地位置、地质情况、进出场道路、拆迁干扰、储存空间、运输能力、装卸限制、行车干扰及任何</w:t>
            </w:r>
            <w:r>
              <w:rPr>
                <w:rFonts w:ascii="仿宋_GB2312" w:hAnsi="仿宋_GB2312" w:cs="仿宋_GB2312" w:eastAsia="仿宋_GB2312"/>
                <w:sz w:val="19"/>
                <w:color w:val="000000"/>
              </w:rPr>
              <w:t>其他</w:t>
            </w:r>
            <w:r>
              <w:rPr>
                <w:rFonts w:ascii="仿宋_GB2312" w:hAnsi="仿宋_GB2312" w:cs="仿宋_GB2312" w:eastAsia="仿宋_GB2312"/>
                <w:sz w:val="19"/>
                <w:color w:val="000000"/>
              </w:rPr>
              <w:t>足以影响承包价格的情况，了解设计施工规范、标准以及施工现场实际等情况，并应考虑现有人、材、机市场水平和供应、投标风险、不利的施工因素等，任何因忽视或误解工地情况而导致的索赔或工期延长申请将不获批准。</w:t>
            </w:r>
          </w:p>
          <w:p>
            <w:pPr>
              <w:pStyle w:val="null3"/>
            </w:pPr>
            <w:r>
              <w:rPr>
                <w:rFonts w:ascii="仿宋_GB2312" w:hAnsi="仿宋_GB2312" w:cs="仿宋_GB2312" w:eastAsia="仿宋_GB2312"/>
                <w:sz w:val="19"/>
                <w:color w:val="000000"/>
              </w:rPr>
              <w:t>5.供应商所提供的材料如需向第三方外购时，供应商应对质量负责。同时，还应满足本磋商文件、工程量清单的相关技术要求。</w:t>
            </w:r>
          </w:p>
          <w:p>
            <w:pPr>
              <w:pStyle w:val="null3"/>
            </w:pPr>
            <w:r>
              <w:rPr>
                <w:rFonts w:ascii="仿宋_GB2312" w:hAnsi="仿宋_GB2312" w:cs="仿宋_GB2312" w:eastAsia="仿宋_GB2312"/>
                <w:sz w:val="19"/>
                <w:color w:val="000000"/>
              </w:rPr>
              <w:t>6.质量必须达到国家及行业现行技术规范标准，符合国家及行业施工验收规范合格标准，以及竞争性磋商文件规定的强制性质量和安全标准要求。</w:t>
            </w:r>
          </w:p>
          <w:p>
            <w:pPr>
              <w:pStyle w:val="null3"/>
            </w:pPr>
            <w:r>
              <w:rPr>
                <w:rFonts w:ascii="仿宋_GB2312" w:hAnsi="仿宋_GB2312" w:cs="仿宋_GB2312" w:eastAsia="仿宋_GB2312"/>
                <w:sz w:val="19"/>
                <w:color w:val="000000"/>
              </w:rPr>
              <w:t>7.供应商成交后，采购人将在签署施工合同前查验项目经理相关资质、身份材料以及成交供应商为项目经理缴纳社保的缴费凭据。项目经理必须履职尽责。</w:t>
            </w:r>
          </w:p>
          <w:p>
            <w:pPr>
              <w:pStyle w:val="null3"/>
            </w:pPr>
            <w:r>
              <w:rPr>
                <w:rFonts w:ascii="仿宋_GB2312" w:hAnsi="仿宋_GB2312" w:cs="仿宋_GB2312" w:eastAsia="仿宋_GB2312"/>
                <w:sz w:val="19"/>
                <w:color w:val="000000"/>
              </w:rPr>
              <w:t>8.本项目如涉及与政府部门（包含且不限于）环保、城管、规划等沟通协调或办理手续，费用及手续办理均由承包人负责，如因沟通协调及办理手续原因造成工期延误或费用增加等由承包人负责。</w:t>
            </w:r>
          </w:p>
          <w:p>
            <w:pPr>
              <w:pStyle w:val="null3"/>
            </w:pPr>
            <w:r>
              <w:rPr>
                <w:rFonts w:ascii="仿宋_GB2312" w:hAnsi="仿宋_GB2312" w:cs="仿宋_GB2312" w:eastAsia="仿宋_GB2312"/>
                <w:sz w:val="19"/>
                <w:color w:val="000000"/>
              </w:rPr>
              <w:t>9.施工过程中，供应商应制定详细可行的防污降噪处理措施，减少对周围环境的影响，每天施工结束后对施工现场进行清扫。</w:t>
            </w:r>
          </w:p>
          <w:p>
            <w:pPr>
              <w:pStyle w:val="null3"/>
            </w:pPr>
            <w:r>
              <w:rPr>
                <w:rFonts w:ascii="仿宋_GB2312" w:hAnsi="仿宋_GB2312" w:cs="仿宋_GB2312" w:eastAsia="仿宋_GB2312"/>
                <w:sz w:val="19"/>
                <w:color w:val="000000"/>
              </w:rPr>
              <w:t>10.承包人不得将其承包的工程转包给他人，也不得将其承包的工程以分包的名义转包给他人。</w:t>
            </w:r>
          </w:p>
          <w:p>
            <w:pPr>
              <w:pStyle w:val="null3"/>
              <w:jc w:val="left"/>
            </w:pPr>
            <w:r>
              <w:rPr>
                <w:rFonts w:ascii="仿宋_GB2312" w:hAnsi="仿宋_GB2312" w:cs="仿宋_GB2312" w:eastAsia="仿宋_GB2312"/>
                <w:sz w:val="19"/>
                <w:color w:val="000000"/>
              </w:rPr>
              <w:t>二、本工程合同形式为固定综合单价合同</w:t>
            </w:r>
          </w:p>
          <w:p>
            <w:pPr>
              <w:pStyle w:val="null3"/>
            </w:pPr>
            <w:r>
              <w:rPr>
                <w:rFonts w:ascii="仿宋_GB2312" w:hAnsi="仿宋_GB2312" w:cs="仿宋_GB2312" w:eastAsia="仿宋_GB2312"/>
                <w:sz w:val="19"/>
                <w:color w:val="000000"/>
              </w:rPr>
              <w:t>1.本工程计价采用固定综合单价，各供应商依据企业自身情况自主报价、风险自负。所有投标报价中的单价和合价均以人民币表示。</w:t>
            </w:r>
          </w:p>
          <w:p>
            <w:pPr>
              <w:pStyle w:val="null3"/>
            </w:pPr>
            <w:r>
              <w:rPr>
                <w:rFonts w:ascii="仿宋_GB2312" w:hAnsi="仿宋_GB2312" w:cs="仿宋_GB2312" w:eastAsia="仿宋_GB2312"/>
                <w:sz w:val="19"/>
                <w:color w:val="000000"/>
              </w:rPr>
              <w:t>2.各供应商对分部分项工程费、措施项目费、其他项目费等进行自主报价、风险自负。</w:t>
            </w:r>
          </w:p>
          <w:p>
            <w:pPr>
              <w:pStyle w:val="null3"/>
            </w:pPr>
            <w:r>
              <w:rPr>
                <w:rFonts w:ascii="仿宋_GB2312" w:hAnsi="仿宋_GB2312" w:cs="仿宋_GB2312" w:eastAsia="仿宋_GB2312"/>
                <w:sz w:val="19"/>
                <w:color w:val="000000"/>
              </w:rPr>
              <w:t>3.招标工程量清单的工程项目仅表达了主要工程做法，报价时各投标单位应依据图纸、相关图集 ，结合图纸、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pPr>
            <w:r>
              <w:rPr>
                <w:rFonts w:ascii="仿宋_GB2312" w:hAnsi="仿宋_GB2312" w:cs="仿宋_GB2312" w:eastAsia="仿宋_GB2312"/>
                <w:sz w:val="19"/>
                <w:color w:val="000000"/>
              </w:rPr>
              <w:t>4.供应商在投标截止前修改投标函中的投标总报价，应同时修改“已标价工程量清单”中的相应报价。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交付标准和方法：（一）验收标准：质量必须达到国家及行业现行技术规范标准，符合国家及行业验收规范合格标准，并满足采购人要求。（二）验收方法：（1）在竣工后，成交供应商应向采购人提交工程竣工报告，申请工程竣工验收，并将施工过程中相关资料提交采购人。（2）采购人收到工程竣工报告后，对符合竣工验收要求的工程，组织相关单位和有关人员验收，签署工程竣工验收意见。（3）验收合格后，采购人出具《工程竣工验收报告》，并在相关主管部门备案。（4）验收不合格的，成交供应商必须在接到通知后15个日历天内确保工程通过验收。如接到通知后30个日历天内验收仍不合格，采购人可提出索赔或取消合同。（三）验收依据：（1）合同文本及合同补充文件（条款）。（2）磋商文件。（3）响应文件。（4）工程量清单。（5）施工质量验收标准。 二、履约验收时间：供应商提出验收申请之日起5日内组织验收。 三、质量保修范围和保修期：（一）质量保修范围：成交供应商对本合同全部工程内容承担保修责任，保障工程正常使用；人为损坏、不可抗力造成的损坏不在免费保修范围内。 （二）保修期： （1）本工程保修期自工程竣工验收合格之日起算；各类分项工程遵照国家法定最低保修标准执行。 （2）保修期内，供应商免费提供保养、排查、维修、更换等服务，不得推诿拖延。 （三）保修责任：（1）因施工、材料、安装质量问题产生的故障，由供应商免费维修并承担全部费用，质量不达标需承担相应赔偿责任。 （2）人为改动、甲方操作失误、不可抗力及第三方因素造成损坏，维修费用另行协商。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（一）其他技术服务要求： 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在施工期间，原有生态环境尽量不破坏，确需破坏的，要严格制定措施，尽量少破坏，严格按照施工图纸执行。4、其他要求详见3 .1条中“一、技术、服务标准和要求”.（二）商务要求： 1、工期：自合同签订之日起120日历天； 2、地点：采购人指定地点； 3、付款方式：分期付款。支付时间及比例：（1）预付款，合同签订生效，并提交合规请款资料后，达到付款条件起10个工作日内，支付合同总金额的30.0%（2）进度款，工程进度完成 100%，经监理单位、甲方共同验收合格，并提交合规请款资料后，达到付款条件起10个工作日内，支付合同总金额的40.0%（3）其他，工程竣工验收合格，并提交合规请款资料后，达到付款条件起15个工作日内，支付合同总金额的30.0%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违约责任与解决争议的方法：（一）违约责任： （1）本合同违约责任认定与处理，适用《中华人民共和国民法典》《中华人民共和国建筑法》《中华人民共和国政府采购法》等相关法律法规规定。 （2）承包人未按合同约定工期竣工的，每逾期一日，应按合同总价款万分之五向发包人支付违约金；逾期超过 15 日的，发包人有权单方解除合同，承包人应按合同总价款 5% 支付违约金，并赔偿发包人因此遭受的全部损失。 （3）工程质量不符合合同约定、设计图纸及国家现行验收规范标准的，承包人应在发包人要求的期限内无偿返修、返工或改建，直至合格，并承担由此增加的费用及工期延误责任；返修后仍不合格或拒绝整改的，发包人有权解除合同，承包人应按合同总价款 10% 支付违约金，并承担质量缺陷修复费用及相关损失，同时发包人有权将违约行为上报行业监管部门依规处理。 （4）承包人擅自转包、违法分包工程或擅自变更工程设计的，发包人有权责令整改，并处合同总价款 5% 的违约金；情节严重的，发包人有权解除合同，承包人应承担合同总价款 10% 的违约金并赔偿全部损失。 （5）承包人违约导致发包人产生损失的，承包人支付违约金后，仍应赔偿发包人全部实际损失，包括但不限于直接经济损失、工期延误损失、第三方索赔费用，以及发包人维权产生的诉讼费、律师费、公证费、保全费、差旅费、鉴定费等。（二）合同争议解决：本合同履行过程中发生的争议，双方应首先友好协商解决；协商不成的，按下列第（2）种方式解决： （1）提交铜川仲裁委员会仲裁； （2）依法向工程所在地人民法院提起诉讼。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具备独立承担民事责任能力的法人、其他组织或自然人，提供合法有效的营业执照、事业单位法人证书或自然人身份证明。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法定代表人证明书/授权书</w:t>
            </w:r>
          </w:p>
        </w:tc>
        <w:tc>
          <w:tcPr>
            <w:tcW w:type="dxa" w:w="3322"/>
          </w:tcPr>
          <w:p>
            <w:pPr>
              <w:pStyle w:val="null3"/>
            </w:pPr>
            <w:r>
              <w:rPr>
                <w:rFonts w:ascii="仿宋_GB2312" w:hAnsi="仿宋_GB2312" w:cs="仿宋_GB2312" w:eastAsia="仿宋_GB2312"/>
              </w:rPr>
              <w:t>法定代表人直接参加投标的，须出具《法定代表人证明书》及身份证原件；法定代表人授权代表参加投标的，须出具《法定代表人授权书》及授权代表身份证原件。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供应商须提供由建设行政主管部门颁发的建筑工程施工总承包三级及以上资质或市政公用工程施工总承包三级及以上资质证书，并具备有效的安全生产许可证。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拟派项目经理须具备建筑工程或市政公用工程专业二级及以上注册建造师执业资格和有效的安全生产考核合格证书（建安B 证），且未担任其他在建工程项目的项目经理。（提供无在建承诺）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成立时间至提交响应文件递交截止时间不足一年的可提供成立后任意时段的财务报表）；或开标前一年基本存款账户开户银行出具的资信证明；或财政部门认可的政府采购专业担保机构出具的投标担保函及基本账户开户许可证或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社会保险参保缴费情况证明</w:t>
            </w:r>
          </w:p>
        </w:tc>
        <w:tc>
          <w:tcPr>
            <w:tcW w:type="dxa" w:w="3322"/>
          </w:tcPr>
          <w:p>
            <w:pPr>
              <w:pStyle w:val="null3"/>
            </w:pPr>
            <w:r>
              <w:rPr>
                <w:rFonts w:ascii="仿宋_GB2312" w:hAnsi="仿宋_GB2312" w:cs="仿宋_GB2312" w:eastAsia="仿宋_GB2312"/>
              </w:rPr>
              <w:t>提供递交响应文件截止之日前半年内任意一个月的社会保障资金缴存单据或社保机构开具的社会保险参保缴费情况证明。依法不需要缴纳社会保障资金的供应商，应提供相关合法有效的证明文件。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半年内任意一个月的纳税证明或完税证明，纳税证明或完税证明上应有代收机构或税务机关的公章或业务专用章，确保纳税记录真实有效。依法免税或无须缴纳税收的供应商，应提供相应合法有效的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在“中国执行信息公开网（http：//zxgk.court.gov.cn/）”网站被列为失信被执行人；不得在“信用中国”（www.creditchina.gov.cn）网站被列入严重失信主体名单和重大税收违法失信主体；不得在“中国政府采购网”（www.ccgp.gov.cn）网站被列入政府采购严重违法失信行为记录名单，若存在上述失信情形，将取消其投标或成交资格。</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履约能力要求</w:t>
            </w:r>
          </w:p>
        </w:tc>
        <w:tc>
          <w:tcPr>
            <w:tcW w:type="dxa" w:w="3322"/>
          </w:tcPr>
          <w:p>
            <w:pPr>
              <w:pStyle w:val="null3"/>
            </w:pPr>
            <w:r>
              <w:rPr>
                <w:rFonts w:ascii="仿宋_GB2312" w:hAnsi="仿宋_GB2312" w:cs="仿宋_GB2312" w:eastAsia="仿宋_GB2312"/>
              </w:rPr>
              <w:t>供应商须具有履行本项目合同所必需的设备和专业技术能力，须提供书面承诺书。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供应商须提供参加本次采购活动近3年内（自递交响应文件之日起倒算）经营活动中无重大违法记录的声明。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单位负责人为同一人或者存在直接控股、管理关系的不同供应商，不得参加同一合同项下的采购活动，若违反本规定，相关投标均视为无效投标。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（1）供应商必须按照磋商文件的规定和要求在响应文件中指定的页面落款处加盖公章或由法定代表人或被授权人签名（或盖章），其余页面逐页盖公章，否则将作为无效响应文件处理 。磋商文件凡是要求法定代表人签名或盖章之处，非法人单位的负责人均参照执行。（2）报价唯一：只能有一个有效报价，不得提交选择性报价，且报价不超过最高限价。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要求必须响应的内容齐全、无遗漏。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（1）竞争性磋商文件响应程度：要求全面响应 ，不能有任何采购人不能接受的附加条件。（2）拟提供的服务要求：应满足竞争性磋商文件提出的技术、商务和服务要求。（3）响应有效期：应满足竞争性磋商文件中的规定。（4）工期和工程质量：应满足竞争性磋商文件中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一、评审内容 供应商针对本项目制定施工组织方案，内容包含：①项目总体概况表述；②施工部署及措施；③项目主要及关键施工方案表述；④施工平面布置。 二、赋分标准（8分） 1.完整性（2 分） 完整包含 4 项全部内容，每项描述详细且有具体参考信息，无任何内容缺失，得 2 分； 包含 3 项完整内容，剩余 1 项仅简要提及核心表述，无具体细节，无缺项，得 1 分； 仅包含 2 项完整内容，剩余 2 项为简略表述，存在少量缺项，得 0.5 分； 仅包含≤1 项内容或仅列 4 项框架标题，无任何实质性描述，缺项≥3 项，得 0 分。 2.可实施性（3 分） 施工流程科学合理，完全贴合项目实际；明确人员配置、设备型号及进场时间、工期节点；具备完善的施工风险规避措施，可直接指导现场施工，得 3 分； 施工流程基本合理，核心措施可行，人员 / 设备 / 工期基本贴合实际；存在 1-2 处可优化环节，不影响整体施工推进，优化后可指导施工，得 2.5 分； 施工流程存在 3 处及以上不合理，关键措施未明确核心信息；方案与项目实际偏差较大，需调整优化后方可使用，得 2 分；调整幅度过大无法直接使用得 1 分； 施工流程混乱，措施空洞无核心信息，方案与项目实际严重脱节，无法指导施工，得 0 分。 3.针对性（3 分） 明确列明项目 3 项及以上核心特点 / 难点；方案完全贴合项目实际，针对难点制定具体解决步骤，无通用模板内容，得 3 分； 明确列明项目 1-2 项核心特点 / 难点；方案主体贴合项目实际，无明显模板化痕迹，得 2.5 分； 未明确列明或描述与实际不符；方案核心施工措施贴合项目，得 1 分； 未结合项目特点 / 难点，完全套用通用模板，无针对性措施，得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重点与难点分析</w:t>
            </w:r>
          </w:p>
        </w:tc>
        <w:tc>
          <w:tcPr>
            <w:tcW w:type="dxa" w:w="2492"/>
          </w:tcPr>
          <w:p>
            <w:pPr>
              <w:pStyle w:val="null3"/>
            </w:pPr>
            <w:r>
              <w:rPr>
                <w:rFonts w:ascii="仿宋_GB2312" w:hAnsi="仿宋_GB2312" w:cs="仿宋_GB2312" w:eastAsia="仿宋_GB2312"/>
              </w:rPr>
              <w:t>一、评审内容 根据供应商对本项目工作重点、难点的识别分析及对应解决对策的制定情况评审。 二、赋分标准（4分） 1.重点与难点分析（2 分） 精准识别 3 项及以上核心工作重点、2 项及以上关键难点，分析全面深入，贴合项目实际，无遗漏、无偏差，得 2 分； 识别 2 项核心重点、1 项关键难点，分析基本贴合实际，无明显偏差，仅遗漏少量非核心内容，得 1 分； 仅识别 1 项重点 + 1 项难点或仅识别其一，分析较为笼统，与项目实际有轻微偏差，得 0.5 分； 未识别任何重点 / 难点，或分析与项目实际严重脱节，无针对性，得 0 分。 2.对应解决对策（2 分） 针对每一项识别的重点 / 难点制定专项对策，明确执行流程、责任节点、实施时限，可直接落地，能有效解决 / 突破问题，得 2 分； 针对大部分重点 / 难点制定对策，核心执行细节明确，无明显不合理，基本能解决项目核心问题，得 1 分； 仅针对少量重点 / 难点制定对策，表述笼统无具体执行细节，落地性一般，仅能解决简单问题，得 0.5 分； 未制定任何对策，或对策与重点 / 难点无关、空泛无实际内容，无法解决问题，得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一、评审内容 供应商针对本项目提供实施过程中的应急服务方案，内容包含：①应急预案体系；②安全保障方案；③应急服务时限保障措施。 二、赋分标准（5分） 1.完整性（1.5 分） 完整包含 3 项全部内容，每项均明确核心细节，无任何缺项，得 1.5 分； 包含 3 项全部内容，仅 1 项表述简略无核心细节，无缺项，基本符合要求，得 1 分； 仅包含 2 项内容或 3 项均为框架标题，无具体表述，缺失 1 项核心内容，得 0.5 分； 仅包含≤1 项内容，多项缺项，或仅列标题无实质性描述，得 0 分。 2.可实施性（1.5 分） 3 项内容均明确执行流程、责任主体、操作步骤，应急处置逻辑清晰，可直接落地，能快速响应各类突发情况，得 1.5 分； 大部分措施明确执行细节，仅个别措施表述空泛，基本可落地，能满足基础应急响应需求，得 1 分； 措施仅为框架性表述，未明确责任主体、操作流程等核心细节，需大幅细化方可执行，响应效率无保障，得 0.5 分； 措施为通用模板，未结合项目实际，无任何可落地细节，无法指导应急处置，得 0 分。 3.针对性（2 分） 紧扣项目实际，结合项目专属应急风险制定专项措施，可有效应对各类突发情况，无通用模板内容，针对性极强，得 2 分； 结合项目应急需求，措施基本适配实际，能满足核心应急需求，得 1 分； 仅提及项目应急需求，措施多为通用化表述，无法有效应对项目专属应急场景，针对性较弱，得 0.5 分； 未结合项目实际，完全套用通用模板，与项目应急需求无关，无任何针对性，得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供应商针对本项目制定质量保证措施，内容包含：①质量管理目标；②管理机构职责分工；③质量管理制度；④质量保证措施。 二、赋分标准（8分） 1.完整性（2 分） 完整包含 4 项全部内容，每项描述详细且明确核心细节，无任何缺项、无简略，得 2 分； 包含 4 项全部内容，其中 1 项仅简要提及核心表述，无具体细节，无缺项，得 1 分； 仅包含 3 项内容，剩余 1 项缺项或仅列标题无实质性描述，已包含内容表述笼统，得 0.5 分； 包含≤2 项内容，缺项≥2 项，或仅列框架标题，无任何实质性描述，得 0 分。 2.可实施性（3 分） 管理目标明确可量化，机构职责分工清晰责任到人，制度完善可执行；保证措施明确执行流程、管控节点、验证标准，可直接落地，得 3 分； 核心内容明确具体，目标清晰，职责 / 制度基本完善；保证措施具备可操作性，仅个别细节未补充，基本可落地，得 2 分； 仅提及质量管控框架性表述，未明确执行细节、管控节点、责任主体，落地性一般，需大幅细化，得 1 分； 无任何质量保证实施细节，措施空泛，无法指导项目质量管控工作，得 0 分。 3.针对性（3 分） 紧扣项目施工场景及质量管控重点，结合潜在质量风险制定专项措施；全内容贴合项目实际，无通用模板，得 3 分； 结合项目实际制定方案，核心措施贴合质量管控需求，得 2 分； 方案关键质量管控措施贴合项目，得 1 分； 未结合项目实际，完全套用通用模板，与项目质量管控需求无关，无任何针对性，得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 供应商针对本项目制定安全生产保证措施，内容包含：①安全管理目标；②安全管理机构职责分工；③安全施工措施；④安全保证措施。 二、赋分标准（6分） 1.完整性（2 分） 完整包含 4 项全部内容，每项描述详细且明确核心细节，无缺项、无简略，得 2 分； 包含 4 项全部内容，仅 1 项未补充具体细节，仅简要提及核心表述，无缺项，得 1 分； 仅包含 3 项内容，剩余 1 项缺项或仅列标题无实质描述，已包含内容表述笼统，得 0.5 分； 包含≤2 项内容，缺项≥2 项，或仅列框架标题，无任何实质性描述，得 0 分。 2.可实施性（2 分） 管理目标量化；职责分工清晰责任到人，措施明确执行流程、管控节点、验证标准，可直接落地，得 2 分； 管理目标清晰，职责分工基本明确；核心安全措施有执行细节，仅 1 处细节未完善，优化后可落地，得 1 分； 管理目标笼统无量化，职责分工模糊；措施仅为框架表述，未明确执行细节，需大幅细化方可落地，得 0.5 分； 安全措施空泛无实际内容，无执行细节、管控节点，无法指导项目安全管控工作，得 0 分。 3.针对性（2 分） 明确列明 2 项及以上核心安全重点 / 风险；措施完全为项目专属，针对风险制定具体应对步骤，得 2 分； 基本把握核心安全重点及 1 项潜在风险；核心措施贴合实际，得 1 分； 未明确列明或描述与实际不符；少量措施贴合项目，针对性较弱，得 0.5 分； 未结合项目安全重点 / 风险，完全套用通用模板，无针对性措施，得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供应商针对本项目编制完整的文明施工措施，内容包含：①文明施工管理目标；②文明施工保证措施。 二、赋分标准（5分） 1.完整性（2 分） 完整包含 2 项全部内容，每项描述详细具体，无任何缺项、无简略表述，得 2 分； 包含 2 项全部内容，其中 1 项仅简要提及核心表述，无具体细节，无缺项，得 1 分； 仅包含 1 项核心内容，另 1 项缺项或仅列标题无实质性描述，得 0.5 分； 未包含任何内容，或仅列标题无任何实质性描述，得 0 分。 2.可实施性（1.5 分） 保证措施具体可操作，明确执行流程、责任主体、管控节点、验证标准，可直接落地，能有效保障文明施工达标，得 1.5 分； 保证措施基本具体，有核心执行细节，无明显不合理之处，无需大幅优化即可落地，得 1 分； 保证措施表述笼统，核心执行细节不明确，需进一步细化方可落地，得 0.5 分； 措施空泛无实际内容，无任何执行细节，无法指导文明施工工作，得 0 分。 3.针对性（1.5 分） 明确列明 2 项及以上项目专属文明施工重点 / 问题；措施完全贴合项目，无通用模板内容，得 1.5 分； 基本把握项目文明施工重点；针对性措施≥2 项，得 1 分； 未明确列明或描述与实际不符；少量措施贴合项目，针对性较弱，得 0.5 分； 未结合项目文明施工特点，完全套用通用模板，无针对性措施，得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 供应商针对本项目制定环境保护管理体系与措施，内容包含：①环境保护管理目标；②环境保护管理机构职责分工；③环境保护管理制度；④环境保护保证措施。 二、赋分标准（4分） 1.完整性（1.5 分） 完整包含 4 项全部内容，每项描述详细具体，无任何缺项、无简略表述，得 1.5 分； 包含 4 项全部内容，其中 1 项仅简要提及核心表述，无具体细节，无缺项，得 1 分； 仅包含 3 项内容，剩余 1 项缺项或仅列标题无实质性描述，得 0.5 分； 包含≤2 项内容，多项缺项，或仅列框架标题无实质描述，得 0 分。 2.可实施性（1.5 分） 管理目标明确可量化，机构职责分工清晰责任到人，制度完善可执行；保证措施明确执行流程、管控节点、验证标准，可直接落地，得 1.5 分； 管理目标清晰，职责分工基本明确，制度基本完善；保证措施有核心执行细节，无需大幅优化即可落地，得 1 分； 管理目标笼统无量化，职责分工模糊，制度仅列框架；措施无具体执行细节，需大幅细化方可落地，得 0.5 分； 无任何可落地的环保执行细节，内容空泛，无法指导项目环保工作，得 0 分。 3.针对性（1 分） 明确列明 2 项及以上项目专属环保重点 / 风险；体系 / 措施完全贴合项目，针对性极强，得 1 分； 基本把握项目环保重点及潜在风险；核心措施贴合实际，针对性较强，得 0.6 分； 未明确列明或描述与实际不符；少量措施贴合项目，针对性较弱，得 0.3 分； 未结合项目环保特点 / 风险，完全套用通用模板，无针对性措施，得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一、评审内容 供应商针对本项目制定工程进度计划与保证措施，内容包含：①总工期及节点工期安排；②施工进度计划安排；③进度保证措施。 二、赋分标准（6分） 1.完整性（2 分） 完整包含 3 项全部内容，每项描述详细具体，无任何缺项、无简略表述，得 2 分； 包含 3 项全部内容，其中 1 项仅简要提及核心表述，无具体细节，无缺项，得 1 分； 仅包含 2 项内容，剩余 1 项缺项或仅列标题无实质描述，已包含内容表述笼统，得 0.5 分； 包含≤1 项内容，多项缺项，或仅列框架标题无实质描述，得 0 分。 2.可实施性（2 分） 总工期 + 节点工期明确可量化，施工进度计划完全贴合项目实际；保证措施明确执行流程、责任主体、管控节点及工期延误应急处置方式，可直接落地，得 2 分； 工期安排清晰，进度计划基本合理；保证措施有核心执行细节，无明显不合理，无需大幅优化即可落地，得 1 分； 工期表述笼统，进度计划缺乏合理性；保证措施无具体执行细节，需大幅细化调整方可落地，得 0.5 分； 进度计划及措施空泛无实际内容，无任何可落地细节，无法指导进度管控工作，得 0 分。 3.针对性（2 分） 明确列明 2 项及以上项目专属延误风险；进度计划及措施完全贴合项目，无通用模板内容，得 2 分； 基本把握项目进度管控重点；贴合项目实际，得 1 分； 对进度管控重点把握不精准；少量内容贴合项目，针对性较弱，得 0.5 分； 未结合项目实际，完全套用通用模板，与进度管控重点 / 风险无关，无任何针对性，得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供应商针对本项目制定资源配备计划，内容包含：①劳动力计划；②主要材料供应计划；③施工机械设备配备计划。 二、赋分标准（5分） 1.完整性（2 分） 完整包含 3 项全部内容，每项描述详细具体，无任何缺项、无简略表述，得 2 分； 包含 3 项全部内容，其中 1 项仅简要提及核心表述，无具体细节，无缺项，得 1 分； 仅包含 2 项内容，剩余 1 项缺项或仅列标题无实质描述，已包含内容表述笼统，得 0.5 分； 包含≤1 项内容，多项缺项，或仅列框架标题无实质描述，得 0 分。 2.可实施性（1.5 分） 劳动力计划明确数量、资质、到岗时间；材料计划明确规格、数量、供应周期、验收标准；设备计划明确型号、数量、进场时间、维护方案，细节具体可操作，得 1.5 分； 各项计划基本清晰，有核心执行细节，与项目施工需求基本匹配，无明显不合理，无需大幅优化即可落地，得 1 分； 各项计划表述笼统，未明确数量、时间、规格等核心细节，需大幅细化调整方可落地，得 0.5 分； 资源计划空泛无实际内容，无任何可落地细节，无法指导项目资源调配管控，得 0 分。 3.针对性（1.5 分） 精准把握项目施工需求及进度节点，各项计划完全贴合项目专属需求，得 1.5 分； 基本把握项目施工需求，各项计划贴合实际，得 1 分； 对施工需求把握不精准；少量计划贴合项目，针对性较弱，得 0.5 分； 未结合项目实际，完全套用通用模板，与施工需求 / 进度节点无关，无任何针对性，得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供应商针对本项目理解程度，提出有利于采购人或项目实施的合理化建议。 二、赋分标准（3分） 1. 完整性（1 分） 提出 3 项及以上合理化建议，覆盖项目策划、施工、验收、运维 / 采购人管理等不同维度，建议无重复、无与项目无关的冗余内容，覆盖全面，得 1 分； 提出 2 项合理化建议，覆盖项目核心实施环节，建议无重复，贴合项目实际，得 0.6 分； 仅提出 1 项合理化建议，表述基本具体，无明显不合理之处，贴合项目基础需求，得 0.3 分； 未提出任何合理化建议，或建议重复、无实质性内容，与项目实际无关，得 0 分。 2.可实施性（1 分） 所有合理化建议均明确具体执行流程、责任主体、实施时限，无不合理之处，可直接落地执行，能有效优化项目实施效率或采购人管理流程，得 1 分； 大部分合理化建议明确执行细节，有核心落地步骤，无明显不合理之处，基本能落地执行，可优化项目核心环节，得 0.6 分； 仅少量合理化建议有具体执行细节，其余建议较为笼统，落地性一般，仅能解决项目简单问题，得 0.3 分； 所有建议均无具体执行细节，空泛无法落地，或建议不合理、不具备执行条件，得 0 分。 3.针对性（1 分） 所有合理化建议均紧密贴合本项目实际、实施重点 / 难点及采购人核心诉求，能精准解决项目专属问题，无任何通用模板化内容，针对性极强，得 1 分； 大部分建议贴合本项目及采购人需求，能解决项目核心重点问题，针对性较强，得 0.6 分； 仅少量建议贴合本项目实际，多为通用化表述，针对性较弱，仅能解决部分基础共性问题，无法应对项目专属难点，得 0.3 分； 建议与本项目实施、采购人需求无关，完全套用通用模板，无任何针对性，得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供应商针对本项目实际需求及特点，制定项目经理部组成方案，内容包含：①团队机构设置；②项目管理机构岗位职责；③组成人员名单（含项目经理、技术负责人、施工员、安全员、质量员、材料员、资料员等）。 二、赋分标准 1.完整性（2 分） 完整包含 3 项全部内容，每项描述详细具体；人员名单齐全，覆盖评审要求的所有岗位，无缺失，得 2 分； 包含 3 项全部内容，其中 1 项仅简要提及核心表述，无缺项，得 1 分； 仅包含 2 项内容，剩余 1 项缺项或仅列标题无实质描述，已包含内容表述笼统，得 0.5 分； 包含≤1 项内容，多项缺项，或仅列框架标题无实质描述，得 0 分。 2.可实施性（1.5 分） 团队机构设置贴合项目实际需求；岗位职责分工清晰责任到人，无交叉、无遗漏；人员资质、数量与项目规模完全适配，可直接落地组建团队，得 1.5 分； 团队机构设置基本合理，岗位职责基本明确；人员名单基本齐全，仅 1 处细节未完善，无需大幅优化即可落地，得 1 分； 团队机构设置笼统，岗位职责分工模糊；人员名单不完整或未明确资质要求，需大幅细化调整方可落地，得 0.5 分； 方案空泛无实际内容，无具体机构、职责、人员信息，无法指导团队组建及运营，得 0 分。 3.针对性（1.5 分） 精准贴合项目实际需求及特点，机构设置、职责分工、人员配置完全适配项目，无通用模板内容，得 1.5 分； 基本贴合项目实际，核心内容适配项目需求，得 1 分； 对项目需求 / 特点把握不精准；少量内容贴合项目，针对性较弱，得 0.5 分； 未结合项目实际，完全套用通用模板，与项目需求 / 规模无关，无任何针对性，得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供应商针对本项目制定施工承诺，内容包含：①施工过程相关承诺；②投入材料质量承诺；③质量保修期服务承诺；④服务响应时间；⑤服务响应措施。 二、赋分标准 1.完整性（2 分） 完整包含 5 项全部内容，每项承诺描述具体、明确，无任何缺项、无空泛表述，覆盖项目全流程服务要求，得 2 分； 包含 5 项全部内容，其中 1 项仅简要提及核心表述，无具体承诺细节，无缺项，得 1 分； 仅包含 3-4 项内容，剩余项缺项或仅列标题无实质描述，已包含内容表述笼统，得 0.5 分； 包含≤2 项内容，多项缺项，或仅列标题无任何实质性承诺内容，得 0 分。 2.可实施性（1.5 分） 所有承诺均明确兑现标准、责任主体、兑现时限，符合项目实际及供应商自身能力，可直接落地兑现，无任何虚假 / 无法实现的承诺，得 1.5 分； 大部分承诺明确兑现细节，核心承诺具备可兑现性，仅个别承诺未明确细节，无明显虚假承诺，基本可落地，得 1 分； 仅少量承诺明确兑现细节，多数表述笼统，落地标准不清晰，存在少量模糊表述，得 0.5 分； 所有承诺无具体兑现细节，或存在明显无法实现的虚假承诺，无实际兑现能力，得 0 分。 3.针对性（1.5 分） 所有承诺均紧扣项目实际需求及施工特点，针对项目专属需求制定个性化承诺，无通用模板化内容，得 1.5 分； 核心承诺贴合项目实际及采购人核心诉求，得 1 分； 仅个别承诺贴合项目实际，多数为通用化承诺，无法满足项目专属需求，针对性较弱，得 0.5 分； 承诺内容完全套用通用模板，与项目实际 / 采购人需求无关，无任何针对性，得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供应商提供响应文件递交之日起近三年内签订的类似项目业绩（以合同签订时间为准），评审仅以响应文件中合同复印件 / 扫描件为唯一计分依据，无合同佐证的业绩不计分。（类似项目界定：与本项目工程类型、主要内容一致即可，不限规模、不限金额、不限地域。） 二、赋分标准 （1）优（6 分）：提供 3 份及以上有效类似项目业绩合同； （2）良（4 分）：提供 2 份有效类似项目业绩合同； （3）中（2 分）：提供 1 份有效类似项目业绩合同； （4）差（0 分）：未提供任何有效类似项目业绩合同。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