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A3080">
      <w:pPr>
        <w:rPr>
          <w:rFonts w:hint="default" w:ascii="仿宋" w:hAnsi="仿宋" w:eastAsia="仿宋" w:cs="仿宋"/>
          <w:b/>
          <w:bCs/>
          <w:sz w:val="36"/>
          <w:szCs w:val="36"/>
          <w:lang w:val="en-US" w:eastAsia="zh-CN"/>
        </w:rPr>
      </w:pPr>
      <w:r>
        <w:rPr>
          <w:rFonts w:hint="eastAsia" w:ascii="仿宋" w:hAnsi="仿宋" w:eastAsia="仿宋" w:cs="仿宋"/>
          <w:b/>
          <w:bCs/>
          <w:sz w:val="36"/>
          <w:szCs w:val="36"/>
        </w:rPr>
        <w:t>项目编号：</w:t>
      </w:r>
      <w:r>
        <w:rPr>
          <w:rFonts w:hint="eastAsia" w:ascii="仿宋" w:hAnsi="仿宋" w:eastAsia="仿宋" w:cs="仿宋"/>
          <w:b/>
          <w:bCs/>
          <w:color w:val="000000" w:themeColor="text1"/>
          <w:sz w:val="36"/>
          <w:szCs w:val="36"/>
          <w:lang w:eastAsia="zh-CN"/>
        </w:rPr>
        <w:t>HLZC-TP-2026-024</w:t>
      </w:r>
    </w:p>
    <w:p w14:paraId="120F025D">
      <w:pPr>
        <w:rPr>
          <w:rFonts w:ascii="仿宋" w:hAnsi="仿宋" w:eastAsia="仿宋" w:cs="仿宋"/>
        </w:rPr>
      </w:pPr>
    </w:p>
    <w:p w14:paraId="6BDB5409">
      <w:pPr>
        <w:jc w:val="center"/>
        <w:rPr>
          <w:rFonts w:ascii="仿宋" w:hAnsi="仿宋" w:eastAsia="仿宋" w:cs="仿宋"/>
          <w:b/>
          <w:bCs/>
          <w:sz w:val="52"/>
          <w:szCs w:val="72"/>
        </w:rPr>
      </w:pPr>
    </w:p>
    <w:p w14:paraId="5B0448EA">
      <w:pPr>
        <w:pStyle w:val="2"/>
      </w:pPr>
    </w:p>
    <w:p w14:paraId="424C93AB">
      <w:pPr>
        <w:pStyle w:val="2"/>
      </w:pPr>
    </w:p>
    <w:p w14:paraId="48A8C103">
      <w:pPr>
        <w:pStyle w:val="2"/>
      </w:pPr>
    </w:p>
    <w:p w14:paraId="0DD4D312">
      <w:pPr>
        <w:jc w:val="center"/>
        <w:rPr>
          <w:rFonts w:hint="eastAsia" w:hAnsi="宋体" w:cs="宋体" w:eastAsiaTheme="minorEastAsia"/>
          <w:b/>
          <w:bCs/>
          <w:color w:val="000000"/>
          <w:kern w:val="44"/>
          <w:sz w:val="48"/>
          <w:szCs w:val="48"/>
          <w:lang w:eastAsia="zh-CN"/>
        </w:rPr>
      </w:pPr>
      <w:r>
        <w:rPr>
          <w:rFonts w:hint="eastAsia" w:hAnsi="宋体" w:cs="宋体"/>
          <w:b/>
          <w:bCs/>
          <w:color w:val="000000"/>
          <w:kern w:val="44"/>
          <w:sz w:val="48"/>
          <w:szCs w:val="48"/>
          <w:lang w:eastAsia="zh-CN"/>
        </w:rPr>
        <w:t>黄陵县新区第二小学</w:t>
      </w:r>
    </w:p>
    <w:p w14:paraId="10B2B39A">
      <w:pPr>
        <w:rPr>
          <w:rFonts w:ascii="仿宋" w:hAnsi="仿宋" w:eastAsia="仿宋" w:cs="仿宋"/>
        </w:rPr>
      </w:pPr>
      <w:r>
        <w:rPr>
          <w:rFonts w:hint="eastAsia" w:ascii="宋体" w:hAnsi="宋体" w:eastAsia="宋体" w:cs="宋体"/>
          <w:b/>
          <w:bCs/>
          <w:sz w:val="48"/>
          <w:szCs w:val="48"/>
          <w:highlight w:val="none"/>
          <w:lang w:val="en-US" w:eastAsia="zh-CN"/>
        </w:rPr>
        <w:t>2026年秋季学期补充教学设备采购项目</w:t>
      </w:r>
    </w:p>
    <w:p w14:paraId="0D23FCBF">
      <w:pPr>
        <w:rPr>
          <w:rFonts w:ascii="仿宋" w:hAnsi="仿宋" w:eastAsia="仿宋" w:cs="仿宋"/>
        </w:rPr>
      </w:pPr>
    </w:p>
    <w:p w14:paraId="65C50738">
      <w:pPr>
        <w:rPr>
          <w:rFonts w:ascii="仿宋" w:hAnsi="仿宋" w:eastAsia="仿宋" w:cs="仿宋"/>
        </w:rPr>
      </w:pPr>
    </w:p>
    <w:p w14:paraId="0D0D6541">
      <w:pPr>
        <w:rPr>
          <w:rFonts w:ascii="仿宋" w:hAnsi="仿宋" w:eastAsia="仿宋" w:cs="仿宋"/>
        </w:rPr>
      </w:pPr>
    </w:p>
    <w:p w14:paraId="5E7A9CD8">
      <w:pPr>
        <w:jc w:val="center"/>
        <w:rPr>
          <w:rFonts w:ascii="仿宋" w:hAnsi="仿宋" w:eastAsia="仿宋" w:cs="仿宋"/>
          <w:b/>
          <w:bCs/>
          <w:sz w:val="72"/>
          <w:szCs w:val="72"/>
        </w:rPr>
      </w:pPr>
    </w:p>
    <w:p w14:paraId="303183C1">
      <w:pPr>
        <w:jc w:val="center"/>
        <w:rPr>
          <w:rFonts w:ascii="仿宋" w:hAnsi="仿宋" w:eastAsia="仿宋" w:cs="仿宋"/>
          <w:b/>
          <w:bCs/>
          <w:sz w:val="72"/>
          <w:szCs w:val="72"/>
        </w:rPr>
      </w:pPr>
      <w:r>
        <w:rPr>
          <w:rFonts w:hint="eastAsia" w:ascii="仿宋" w:hAnsi="仿宋" w:eastAsia="仿宋" w:cs="仿宋"/>
          <w:b/>
          <w:bCs/>
          <w:sz w:val="72"/>
          <w:szCs w:val="72"/>
        </w:rPr>
        <w:t>委托代理协议</w:t>
      </w:r>
    </w:p>
    <w:p w14:paraId="16C4D146">
      <w:pPr>
        <w:rPr>
          <w:rFonts w:ascii="仿宋" w:hAnsi="仿宋" w:eastAsia="仿宋" w:cs="仿宋"/>
        </w:rPr>
      </w:pPr>
    </w:p>
    <w:p w14:paraId="4C0A4905">
      <w:pPr>
        <w:rPr>
          <w:rFonts w:ascii="仿宋" w:hAnsi="仿宋" w:eastAsia="仿宋" w:cs="仿宋"/>
        </w:rPr>
      </w:pPr>
    </w:p>
    <w:p w14:paraId="08D8AD1D">
      <w:pPr>
        <w:rPr>
          <w:rFonts w:ascii="仿宋" w:hAnsi="仿宋" w:eastAsia="仿宋" w:cs="仿宋"/>
        </w:rPr>
      </w:pPr>
    </w:p>
    <w:p w14:paraId="34935CD3">
      <w:pPr>
        <w:rPr>
          <w:rFonts w:ascii="仿宋" w:hAnsi="仿宋" w:eastAsia="仿宋" w:cs="仿宋"/>
        </w:rPr>
      </w:pPr>
    </w:p>
    <w:p w14:paraId="285762CF">
      <w:pPr>
        <w:rPr>
          <w:rFonts w:ascii="仿宋" w:hAnsi="仿宋" w:eastAsia="仿宋" w:cs="仿宋"/>
        </w:rPr>
      </w:pPr>
    </w:p>
    <w:p w14:paraId="2134009F">
      <w:pPr>
        <w:rPr>
          <w:rFonts w:ascii="仿宋" w:hAnsi="仿宋" w:eastAsia="仿宋" w:cs="仿宋"/>
        </w:rPr>
      </w:pPr>
    </w:p>
    <w:p w14:paraId="7A0744F2">
      <w:pPr>
        <w:rPr>
          <w:rFonts w:ascii="仿宋" w:hAnsi="仿宋" w:eastAsia="仿宋" w:cs="仿宋"/>
        </w:rPr>
      </w:pPr>
    </w:p>
    <w:p w14:paraId="777AA937">
      <w:pPr>
        <w:rPr>
          <w:rFonts w:ascii="仿宋" w:hAnsi="仿宋" w:eastAsia="仿宋" w:cs="仿宋"/>
        </w:rPr>
      </w:pPr>
    </w:p>
    <w:p w14:paraId="7CC6478C">
      <w:pPr>
        <w:rPr>
          <w:rFonts w:ascii="仿宋" w:hAnsi="仿宋" w:eastAsia="仿宋" w:cs="仿宋"/>
        </w:rPr>
      </w:pPr>
    </w:p>
    <w:p w14:paraId="017F6053">
      <w:pPr>
        <w:rPr>
          <w:rFonts w:ascii="仿宋" w:hAnsi="仿宋" w:eastAsia="仿宋" w:cs="仿宋"/>
        </w:rPr>
      </w:pPr>
    </w:p>
    <w:p w14:paraId="64ED3637">
      <w:pPr>
        <w:ind w:firstLine="1426" w:firstLineChars="444"/>
        <w:rPr>
          <w:rFonts w:hint="eastAsia" w:ascii="仿宋" w:hAnsi="仿宋" w:eastAsia="仿宋" w:cs="仿宋"/>
          <w:b/>
          <w:bCs/>
          <w:lang w:eastAsia="zh-CN"/>
        </w:rPr>
      </w:pPr>
      <w:r>
        <w:rPr>
          <w:rFonts w:hint="eastAsia" w:ascii="仿宋" w:hAnsi="仿宋" w:eastAsia="仿宋" w:cs="仿宋"/>
          <w:b/>
          <w:bCs/>
          <w:sz w:val="32"/>
          <w:szCs w:val="40"/>
        </w:rPr>
        <w:t>委托人：</w:t>
      </w:r>
      <w:r>
        <w:rPr>
          <w:rFonts w:hint="eastAsia" w:ascii="仿宋" w:hAnsi="仿宋" w:eastAsia="仿宋" w:cs="宋体"/>
          <w:b/>
          <w:bCs/>
          <w:color w:val="000000"/>
          <w:kern w:val="44"/>
          <w:sz w:val="32"/>
          <w:szCs w:val="32"/>
          <w:lang w:eastAsia="zh-CN"/>
        </w:rPr>
        <w:t>黄陵县新区第二小学</w:t>
      </w:r>
    </w:p>
    <w:p w14:paraId="20BC4A57">
      <w:pPr>
        <w:ind w:firstLine="1446" w:firstLineChars="450"/>
        <w:rPr>
          <w:rFonts w:ascii="仿宋" w:hAnsi="仿宋" w:eastAsia="仿宋" w:cs="仿宋"/>
          <w:b/>
          <w:bCs/>
          <w:sz w:val="32"/>
          <w:szCs w:val="40"/>
        </w:rPr>
      </w:pPr>
      <w:r>
        <w:rPr>
          <w:rFonts w:hint="eastAsia" w:ascii="仿宋" w:hAnsi="仿宋" w:eastAsia="仿宋" w:cs="仿宋"/>
          <w:b/>
          <w:bCs/>
          <w:sz w:val="32"/>
          <w:szCs w:val="40"/>
        </w:rPr>
        <w:t>受托人：黄陵县政府采购中心</w:t>
      </w:r>
    </w:p>
    <w:p w14:paraId="61D8A789">
      <w:pPr>
        <w:ind w:firstLine="663" w:firstLineChars="300"/>
        <w:rPr>
          <w:rFonts w:ascii="仿宋" w:hAnsi="仿宋" w:eastAsia="仿宋" w:cs="仿宋"/>
          <w:b/>
          <w:bCs/>
          <w:sz w:val="22"/>
          <w:szCs w:val="28"/>
        </w:rPr>
      </w:pPr>
    </w:p>
    <w:p w14:paraId="14AC7775">
      <w:pPr>
        <w:jc w:val="center"/>
        <w:rPr>
          <w:rFonts w:ascii="仿宋" w:hAnsi="仿宋" w:eastAsia="仿宋" w:cs="仿宋"/>
          <w:b/>
          <w:bCs/>
          <w:sz w:val="32"/>
          <w:szCs w:val="40"/>
        </w:rPr>
      </w:pPr>
      <w:r>
        <w:rPr>
          <w:rFonts w:hint="eastAsia" w:ascii="仿宋" w:hAnsi="仿宋" w:eastAsia="仿宋" w:cs="仿宋"/>
          <w:b/>
          <w:bCs/>
          <w:sz w:val="32"/>
          <w:szCs w:val="40"/>
        </w:rPr>
        <w:t>二零二</w:t>
      </w:r>
      <w:r>
        <w:rPr>
          <w:rFonts w:hint="eastAsia" w:ascii="仿宋" w:hAnsi="仿宋" w:eastAsia="仿宋" w:cs="仿宋"/>
          <w:b/>
          <w:bCs/>
          <w:sz w:val="32"/>
          <w:szCs w:val="40"/>
          <w:lang w:eastAsia="zh-CN"/>
        </w:rPr>
        <w:t>六</w:t>
      </w:r>
      <w:r>
        <w:rPr>
          <w:rFonts w:hint="eastAsia" w:ascii="仿宋" w:hAnsi="仿宋" w:eastAsia="仿宋" w:cs="仿宋"/>
          <w:b/>
          <w:bCs/>
          <w:sz w:val="32"/>
          <w:szCs w:val="40"/>
        </w:rPr>
        <w:t>年</w:t>
      </w:r>
      <w:r>
        <w:rPr>
          <w:rFonts w:hint="eastAsia" w:ascii="仿宋" w:hAnsi="仿宋" w:eastAsia="仿宋" w:cs="仿宋"/>
          <w:b/>
          <w:bCs/>
          <w:sz w:val="32"/>
          <w:szCs w:val="40"/>
          <w:lang w:val="en-US" w:eastAsia="zh-CN"/>
        </w:rPr>
        <w:t>八</w:t>
      </w:r>
      <w:r>
        <w:rPr>
          <w:rFonts w:hint="eastAsia" w:ascii="仿宋" w:hAnsi="仿宋" w:eastAsia="仿宋" w:cs="仿宋"/>
          <w:b/>
          <w:bCs/>
          <w:sz w:val="32"/>
          <w:szCs w:val="40"/>
        </w:rPr>
        <w:t>月</w:t>
      </w:r>
    </w:p>
    <w:p w14:paraId="480991C0">
      <w:pPr>
        <w:rPr>
          <w:rFonts w:ascii="仿宋" w:hAnsi="仿宋" w:eastAsia="仿宋" w:cs="仿宋"/>
          <w:b/>
          <w:bCs/>
          <w:sz w:val="48"/>
          <w:szCs w:val="56"/>
        </w:rPr>
      </w:pPr>
      <w:r>
        <w:rPr>
          <w:rFonts w:hint="eastAsia" w:ascii="仿宋" w:hAnsi="仿宋" w:eastAsia="仿宋" w:cs="仿宋"/>
          <w:b/>
          <w:bCs/>
          <w:sz w:val="48"/>
          <w:szCs w:val="56"/>
        </w:rPr>
        <w:br w:type="page"/>
      </w:r>
    </w:p>
    <w:p w14:paraId="7AA57CA4">
      <w:pPr>
        <w:pStyle w:val="3"/>
        <w:widowControl/>
        <w:spacing w:afterAutospacing="0" w:line="420" w:lineRule="atLeast"/>
        <w:jc w:val="center"/>
        <w:rPr>
          <w:rFonts w:hint="default" w:cs="宋体"/>
          <w:color w:val="333333"/>
          <w:sz w:val="36"/>
          <w:szCs w:val="36"/>
        </w:rPr>
      </w:pPr>
      <w:r>
        <w:rPr>
          <w:rFonts w:cs="宋体"/>
          <w:color w:val="333333"/>
          <w:sz w:val="36"/>
          <w:szCs w:val="36"/>
        </w:rPr>
        <w:t>政府采购委托代理协议</w:t>
      </w:r>
    </w:p>
    <w:p w14:paraId="091ECB8F">
      <w:pPr>
        <w:pStyle w:val="5"/>
        <w:widowControl/>
        <w:spacing w:beforeAutospacing="0" w:after="210" w:afterAutospacing="0" w:line="315" w:lineRule="atLeast"/>
        <w:rPr>
          <w:rFonts w:hint="default" w:cs="宋体"/>
          <w:color w:val="333333"/>
          <w:sz w:val="21"/>
          <w:szCs w:val="21"/>
        </w:rPr>
      </w:pPr>
      <w:r>
        <w:rPr>
          <w:rFonts w:cs="宋体"/>
          <w:color w:val="333333"/>
          <w:sz w:val="21"/>
          <w:szCs w:val="21"/>
        </w:rPr>
        <w:t> </w:t>
      </w:r>
    </w:p>
    <w:p w14:paraId="7031BA74">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根据《中华人民共和国政府采购法》等有关规定，现将自愿委托由</w:t>
      </w:r>
      <w:r>
        <w:rPr>
          <w:rFonts w:hint="eastAsia" w:ascii="宋体" w:hAnsi="宋体" w:eastAsia="宋体" w:cs="宋体"/>
          <w:color w:val="333333"/>
          <w:sz w:val="27"/>
          <w:szCs w:val="27"/>
          <w:u w:val="single"/>
        </w:rPr>
        <w:t>黄陵县政府采购中心</w:t>
      </w:r>
      <w:r>
        <w:rPr>
          <w:rFonts w:hint="eastAsia" w:ascii="宋体" w:hAnsi="宋体" w:eastAsia="宋体" w:cs="宋体"/>
          <w:color w:val="333333"/>
          <w:sz w:val="27"/>
          <w:szCs w:val="27"/>
        </w:rPr>
        <w:t>代理采购，经双方协商一致，有关事项约定如下：</w:t>
      </w:r>
    </w:p>
    <w:p w14:paraId="73AE491F">
      <w:pPr>
        <w:pStyle w:val="4"/>
        <w:widowControl/>
        <w:spacing w:before="210" w:beforeAutospacing="0" w:afterAutospacing="0" w:line="420" w:lineRule="atLeast"/>
        <w:rPr>
          <w:rFonts w:hint="default" w:cs="宋体"/>
          <w:color w:val="333333"/>
          <w:sz w:val="27"/>
          <w:szCs w:val="27"/>
        </w:rPr>
      </w:pPr>
      <w:r>
        <w:rPr>
          <w:rFonts w:cs="宋体"/>
          <w:color w:val="333333"/>
          <w:sz w:val="27"/>
          <w:szCs w:val="27"/>
        </w:rPr>
        <w:t>一、委托代理双方</w:t>
      </w:r>
    </w:p>
    <w:p w14:paraId="6F5B049B">
      <w:pPr>
        <w:rPr>
          <w:rFonts w:ascii="宋体" w:hAnsi="宋体" w:eastAsia="宋体" w:cs="宋体"/>
          <w:color w:val="333333"/>
          <w:kern w:val="0"/>
          <w:sz w:val="27"/>
          <w:szCs w:val="27"/>
          <w:u w:val="single"/>
        </w:rPr>
      </w:pPr>
      <w:r>
        <w:rPr>
          <w:rFonts w:hint="eastAsia" w:ascii="宋体" w:hAnsi="宋体" w:eastAsia="宋体" w:cs="宋体"/>
          <w:color w:val="333333"/>
          <w:sz w:val="27"/>
          <w:szCs w:val="27"/>
        </w:rPr>
        <w:t>委托采购方：</w:t>
      </w:r>
      <w:r>
        <w:rPr>
          <w:rFonts w:hint="eastAsia" w:eastAsia="宋体" w:cs="宋体" w:asciiTheme="minorEastAsia" w:hAnsiTheme="minorEastAsia"/>
          <w:color w:val="333333"/>
          <w:sz w:val="24"/>
          <w:u w:val="single"/>
          <w:lang w:eastAsia="zh-CN"/>
        </w:rPr>
        <w:t>黄陵县新区第二小学</w:t>
      </w:r>
      <w:r>
        <w:rPr>
          <w:rFonts w:hint="eastAsia" w:cs="宋体" w:asciiTheme="minorEastAsia" w:hAnsiTheme="minorEastAsia"/>
          <w:bCs/>
          <w:color w:val="000000"/>
          <w:kern w:val="44"/>
          <w:sz w:val="24"/>
          <w:u w:val="single"/>
        </w:rPr>
        <w:t xml:space="preserve">       </w:t>
      </w:r>
      <w:bookmarkStart w:id="0" w:name="_GoBack"/>
      <w:bookmarkEnd w:id="0"/>
    </w:p>
    <w:p w14:paraId="3D22A9CB">
      <w:pPr>
        <w:pStyle w:val="11"/>
        <w:widowControl/>
        <w:spacing w:beforeAutospacing="0" w:afterAutospacing="0" w:line="420" w:lineRule="atLeast"/>
        <w:rPr>
          <w:rFonts w:ascii="宋体" w:hAnsi="宋体" w:eastAsia="宋体" w:cs="宋体"/>
          <w:color w:val="333333"/>
          <w:sz w:val="27"/>
          <w:szCs w:val="27"/>
        </w:rPr>
      </w:pPr>
      <w:r>
        <w:rPr>
          <w:rFonts w:hint="eastAsia" w:ascii="宋体" w:hAnsi="宋体" w:eastAsia="宋体" w:cs="宋体"/>
          <w:color w:val="333333"/>
          <w:sz w:val="27"/>
          <w:szCs w:val="27"/>
        </w:rPr>
        <w:t>受托代理方：</w:t>
      </w:r>
      <w:r>
        <w:rPr>
          <w:rFonts w:hint="eastAsia" w:ascii="宋体" w:hAnsi="宋体" w:eastAsia="宋体" w:cs="宋体"/>
          <w:color w:val="333333"/>
          <w:sz w:val="27"/>
          <w:szCs w:val="27"/>
          <w:u w:val="single"/>
        </w:rPr>
        <w:t>黄陵县政府采购中心</w:t>
      </w:r>
    </w:p>
    <w:p w14:paraId="75682070">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二、政府采购项目内容、数量及预算总额：</w:t>
      </w:r>
    </w:p>
    <w:tbl>
      <w:tblPr>
        <w:tblStyle w:val="12"/>
        <w:tblW w:w="8250" w:type="dxa"/>
        <w:tblInd w:w="0" w:type="dxa"/>
        <w:tblBorders>
          <w:top w:val="single" w:color="333333" w:sz="6" w:space="0"/>
          <w:left w:val="single" w:color="333333" w:sz="6"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17"/>
        <w:gridCol w:w="4961"/>
        <w:gridCol w:w="716"/>
        <w:gridCol w:w="1856"/>
      </w:tblGrid>
      <w:tr w14:paraId="0B1EEEBA">
        <w:tblPrEx>
          <w:tblBorders>
            <w:top w:val="single" w:color="333333" w:sz="6" w:space="0"/>
            <w:left w:val="single" w:color="333333"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717" w:type="dxa"/>
            <w:tcBorders>
              <w:bottom w:val="single" w:color="333333" w:sz="6" w:space="0"/>
              <w:right w:val="single" w:color="333333" w:sz="6" w:space="0"/>
            </w:tcBorders>
            <w:shd w:val="clear" w:color="auto" w:fill="auto"/>
            <w:noWrap/>
            <w:vAlign w:val="center"/>
          </w:tcPr>
          <w:p w14:paraId="6E550CC5">
            <w:pPr>
              <w:widowControl/>
              <w:spacing w:line="315" w:lineRule="atLeast"/>
              <w:jc w:val="center"/>
              <w:rPr>
                <w:rFonts w:ascii="宋体" w:hAnsi="宋体" w:eastAsia="宋体" w:cs="宋体"/>
                <w:color w:val="333333"/>
                <w:sz w:val="24"/>
              </w:rPr>
            </w:pPr>
            <w:r>
              <w:rPr>
                <w:rFonts w:hint="eastAsia" w:ascii="宋体" w:hAnsi="宋体" w:eastAsia="宋体" w:cs="宋体"/>
                <w:color w:val="333333"/>
                <w:kern w:val="0"/>
                <w:sz w:val="24"/>
              </w:rPr>
              <w:t>序号</w:t>
            </w:r>
          </w:p>
        </w:tc>
        <w:tc>
          <w:tcPr>
            <w:tcW w:w="4961" w:type="dxa"/>
            <w:tcBorders>
              <w:bottom w:val="single" w:color="333333" w:sz="6" w:space="0"/>
              <w:right w:val="single" w:color="333333" w:sz="6" w:space="0"/>
            </w:tcBorders>
            <w:shd w:val="clear" w:color="auto" w:fill="auto"/>
            <w:noWrap/>
            <w:vAlign w:val="center"/>
          </w:tcPr>
          <w:p w14:paraId="367DFC42">
            <w:pPr>
              <w:widowControl/>
              <w:spacing w:line="315" w:lineRule="atLeast"/>
              <w:jc w:val="center"/>
              <w:rPr>
                <w:rFonts w:ascii="宋体" w:hAnsi="宋体" w:eastAsia="宋体" w:cs="宋体"/>
                <w:color w:val="333333"/>
                <w:sz w:val="24"/>
              </w:rPr>
            </w:pPr>
            <w:r>
              <w:rPr>
                <w:rFonts w:hint="eastAsia" w:ascii="宋体" w:hAnsi="宋体" w:eastAsia="宋体" w:cs="宋体"/>
                <w:color w:val="333333"/>
                <w:kern w:val="0"/>
                <w:sz w:val="24"/>
              </w:rPr>
              <w:t>项目名称及内容</w:t>
            </w:r>
          </w:p>
        </w:tc>
        <w:tc>
          <w:tcPr>
            <w:tcW w:w="716" w:type="dxa"/>
            <w:tcBorders>
              <w:bottom w:val="single" w:color="333333" w:sz="6" w:space="0"/>
              <w:right w:val="single" w:color="333333" w:sz="6" w:space="0"/>
            </w:tcBorders>
            <w:shd w:val="clear" w:color="auto" w:fill="auto"/>
            <w:noWrap/>
            <w:vAlign w:val="center"/>
          </w:tcPr>
          <w:p w14:paraId="1F0B6A6D">
            <w:pPr>
              <w:widowControl/>
              <w:spacing w:line="315" w:lineRule="atLeast"/>
              <w:jc w:val="center"/>
              <w:rPr>
                <w:rFonts w:ascii="宋体" w:hAnsi="宋体" w:eastAsia="宋体" w:cs="宋体"/>
                <w:color w:val="333333"/>
                <w:sz w:val="24"/>
              </w:rPr>
            </w:pPr>
            <w:r>
              <w:rPr>
                <w:rFonts w:hint="eastAsia" w:ascii="宋体" w:hAnsi="宋体" w:eastAsia="宋体" w:cs="宋体"/>
                <w:color w:val="333333"/>
                <w:kern w:val="0"/>
                <w:sz w:val="24"/>
              </w:rPr>
              <w:t>数量</w:t>
            </w:r>
          </w:p>
        </w:tc>
        <w:tc>
          <w:tcPr>
            <w:tcW w:w="1856" w:type="dxa"/>
            <w:tcBorders>
              <w:bottom w:val="single" w:color="333333" w:sz="6" w:space="0"/>
              <w:right w:val="single" w:color="333333" w:sz="6" w:space="0"/>
            </w:tcBorders>
            <w:shd w:val="clear" w:color="auto" w:fill="auto"/>
            <w:noWrap/>
            <w:vAlign w:val="center"/>
          </w:tcPr>
          <w:p w14:paraId="5BEA4509">
            <w:pPr>
              <w:widowControl/>
              <w:spacing w:line="315" w:lineRule="atLeast"/>
              <w:jc w:val="center"/>
              <w:rPr>
                <w:rFonts w:ascii="宋体" w:hAnsi="宋体" w:eastAsia="宋体" w:cs="宋体"/>
                <w:color w:val="333333"/>
                <w:sz w:val="24"/>
              </w:rPr>
            </w:pPr>
            <w:r>
              <w:rPr>
                <w:rFonts w:hint="eastAsia" w:ascii="宋体" w:hAnsi="宋体" w:eastAsia="宋体" w:cs="宋体"/>
                <w:color w:val="333333"/>
                <w:kern w:val="0"/>
                <w:sz w:val="24"/>
              </w:rPr>
              <w:t>预算金额（元）</w:t>
            </w:r>
          </w:p>
        </w:tc>
      </w:tr>
      <w:tr w14:paraId="121F130A">
        <w:tblPrEx>
          <w:tblBorders>
            <w:top w:val="single" w:color="333333" w:sz="6" w:space="0"/>
            <w:left w:val="single" w:color="333333"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17" w:type="dxa"/>
            <w:tcBorders>
              <w:bottom w:val="single" w:color="333333" w:sz="6" w:space="0"/>
              <w:right w:val="single" w:color="333333" w:sz="6" w:space="0"/>
            </w:tcBorders>
            <w:shd w:val="clear" w:color="auto" w:fill="FFFFFF"/>
            <w:tcMar>
              <w:left w:w="75" w:type="dxa"/>
              <w:right w:w="75" w:type="dxa"/>
            </w:tcMar>
            <w:vAlign w:val="center"/>
          </w:tcPr>
          <w:p w14:paraId="35EE8DB5">
            <w:pPr>
              <w:widowControl/>
              <w:spacing w:line="315" w:lineRule="atLeast"/>
              <w:jc w:val="center"/>
              <w:rPr>
                <w:rFonts w:ascii="宋体" w:hAnsi="宋体" w:eastAsia="宋体" w:cs="宋体"/>
                <w:color w:val="333333"/>
                <w:sz w:val="24"/>
              </w:rPr>
            </w:pPr>
            <w:r>
              <w:rPr>
                <w:rFonts w:hint="eastAsia" w:ascii="宋体" w:hAnsi="宋体" w:eastAsia="宋体" w:cs="宋体"/>
                <w:color w:val="333333"/>
                <w:kern w:val="0"/>
                <w:sz w:val="24"/>
              </w:rPr>
              <w:t>1</w:t>
            </w:r>
          </w:p>
        </w:tc>
        <w:tc>
          <w:tcPr>
            <w:tcW w:w="4961" w:type="dxa"/>
            <w:tcBorders>
              <w:bottom w:val="single" w:color="333333" w:sz="6" w:space="0"/>
              <w:right w:val="single" w:color="333333" w:sz="6" w:space="0"/>
            </w:tcBorders>
            <w:shd w:val="clear" w:color="auto" w:fill="FFFFFF"/>
            <w:tcMar>
              <w:left w:w="75" w:type="dxa"/>
              <w:right w:w="75" w:type="dxa"/>
            </w:tcMar>
            <w:vAlign w:val="center"/>
          </w:tcPr>
          <w:p w14:paraId="7208DC34">
            <w:pPr>
              <w:jc w:val="center"/>
              <w:rPr>
                <w:rFonts w:hint="eastAsia" w:ascii="宋体" w:hAnsi="宋体" w:eastAsia="宋体" w:cs="宋体"/>
                <w:color w:val="FF0000"/>
                <w:kern w:val="0"/>
                <w:sz w:val="24"/>
                <w:lang w:eastAsia="zh-CN"/>
              </w:rPr>
            </w:pPr>
            <w:r>
              <w:rPr>
                <w:rFonts w:hint="eastAsia" w:ascii="宋体" w:hAnsi="宋体" w:eastAsia="宋体" w:cs="宋体"/>
                <w:b/>
                <w:bCs/>
                <w:sz w:val="24"/>
                <w:szCs w:val="24"/>
                <w:highlight w:val="none"/>
                <w:lang w:val="en-US" w:eastAsia="zh-CN"/>
              </w:rPr>
              <w:t>2026年秋季学期补充教学设备采购项目</w:t>
            </w:r>
          </w:p>
        </w:tc>
        <w:tc>
          <w:tcPr>
            <w:tcW w:w="716" w:type="dxa"/>
            <w:tcBorders>
              <w:bottom w:val="single" w:color="333333" w:sz="6" w:space="0"/>
              <w:right w:val="single" w:color="333333" w:sz="6" w:space="0"/>
            </w:tcBorders>
            <w:shd w:val="clear" w:color="auto" w:fill="FFFFFF"/>
            <w:tcMar>
              <w:left w:w="75" w:type="dxa"/>
              <w:right w:w="75" w:type="dxa"/>
            </w:tcMar>
            <w:vAlign w:val="center"/>
          </w:tcPr>
          <w:p w14:paraId="3C6356BB">
            <w:pPr>
              <w:widowControl/>
              <w:spacing w:line="315" w:lineRule="atLeast"/>
              <w:jc w:val="center"/>
              <w:rPr>
                <w:rFonts w:ascii="宋体" w:hAnsi="宋体" w:eastAsia="宋体" w:cs="宋体"/>
                <w:color w:val="333333"/>
                <w:kern w:val="0"/>
                <w:sz w:val="24"/>
              </w:rPr>
            </w:pPr>
            <w:r>
              <w:rPr>
                <w:rFonts w:hint="eastAsia" w:ascii="宋体" w:hAnsi="宋体" w:eastAsia="宋体" w:cs="宋体"/>
                <w:color w:val="333333"/>
                <w:kern w:val="0"/>
                <w:sz w:val="24"/>
              </w:rPr>
              <w:t>1</w:t>
            </w:r>
          </w:p>
        </w:tc>
        <w:tc>
          <w:tcPr>
            <w:tcW w:w="1856" w:type="dxa"/>
            <w:tcBorders>
              <w:bottom w:val="single" w:color="333333" w:sz="6" w:space="0"/>
              <w:right w:val="single" w:color="333333" w:sz="6" w:space="0"/>
            </w:tcBorders>
            <w:shd w:val="clear" w:color="auto" w:fill="FFFFFF"/>
            <w:tcMar>
              <w:left w:w="75" w:type="dxa"/>
              <w:right w:w="75" w:type="dxa"/>
            </w:tcMar>
            <w:vAlign w:val="center"/>
          </w:tcPr>
          <w:p w14:paraId="5FCF26DB">
            <w:pPr>
              <w:widowControl/>
              <w:spacing w:line="315" w:lineRule="atLeast"/>
              <w:jc w:val="center"/>
              <w:rPr>
                <w:rFonts w:ascii="宋体" w:hAnsi="宋体" w:eastAsia="宋体" w:cs="宋体"/>
                <w:color w:val="FF0000"/>
                <w:kern w:val="0"/>
                <w:szCs w:val="21"/>
              </w:rPr>
            </w:pPr>
            <w:r>
              <w:rPr>
                <w:rFonts w:hint="eastAsia" w:ascii="微软雅黑" w:hAnsi="微软雅黑" w:eastAsia="微软雅黑" w:cs="宋体"/>
                <w:color w:val="000000" w:themeColor="text1"/>
                <w:szCs w:val="21"/>
                <w:lang w:val="en-US" w:eastAsia="zh-CN"/>
              </w:rPr>
              <w:t>385000.00</w:t>
            </w:r>
            <w:r>
              <w:rPr>
                <w:rFonts w:hint="eastAsia" w:ascii="微软雅黑" w:hAnsi="微软雅黑" w:eastAsia="微软雅黑" w:cs="宋体"/>
                <w:color w:val="000000" w:themeColor="text1"/>
                <w:szCs w:val="21"/>
              </w:rPr>
              <w:t>元</w:t>
            </w:r>
          </w:p>
        </w:tc>
      </w:tr>
      <w:tr w14:paraId="4A0FB96F">
        <w:tblPrEx>
          <w:tblBorders>
            <w:top w:val="single" w:color="333333" w:sz="6" w:space="0"/>
            <w:left w:val="single" w:color="333333"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8250" w:type="dxa"/>
            <w:gridSpan w:val="4"/>
            <w:tcBorders>
              <w:bottom w:val="single" w:color="333333" w:sz="6" w:space="0"/>
              <w:right w:val="single" w:color="333333" w:sz="6" w:space="0"/>
            </w:tcBorders>
            <w:shd w:val="clear" w:color="auto" w:fill="FFFFFF"/>
            <w:tcMar>
              <w:left w:w="75" w:type="dxa"/>
              <w:right w:w="75" w:type="dxa"/>
            </w:tcMar>
            <w:vAlign w:val="center"/>
          </w:tcPr>
          <w:p w14:paraId="62D02085">
            <w:pPr>
              <w:widowControl/>
              <w:spacing w:line="315" w:lineRule="atLeast"/>
              <w:jc w:val="left"/>
              <w:rPr>
                <w:rFonts w:ascii="宋体" w:hAnsi="宋体" w:eastAsia="宋体" w:cs="宋体"/>
                <w:color w:val="333333"/>
                <w:sz w:val="24"/>
              </w:rPr>
            </w:pPr>
            <w:r>
              <w:rPr>
                <w:rFonts w:hint="eastAsia" w:ascii="宋体" w:hAnsi="宋体" w:eastAsia="宋体" w:cs="宋体"/>
                <w:color w:val="333333"/>
                <w:kern w:val="0"/>
                <w:sz w:val="24"/>
              </w:rPr>
              <w:t>备注：项目具体采购标准（包括采购需求和有关技术规范及要求等）等另附。</w:t>
            </w:r>
          </w:p>
        </w:tc>
      </w:tr>
    </w:tbl>
    <w:p w14:paraId="00CFB086">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三、委托代理内容</w:t>
      </w:r>
    </w:p>
    <w:p w14:paraId="34540972">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1. 编制采购（包括招标谈判询价等）文件，发布采购公告等信息；</w:t>
      </w:r>
    </w:p>
    <w:p w14:paraId="0445F475">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2. 组织采购活动，包括提出采购方式，组织评审小组，组织开标评标（或谈判询价），推荐（或确定）中标（或成交）供应商，发出中标（或成交）通知书等，提交采购报告；</w:t>
      </w:r>
    </w:p>
    <w:p w14:paraId="0F5813E7">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3. 根据本项目特点及要求，协助评标委员会审查供应商资格；</w:t>
      </w:r>
    </w:p>
    <w:p w14:paraId="7960FF8C">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4. 向相关监督管理部门提交政府采购情况报告。</w:t>
      </w:r>
    </w:p>
    <w:p w14:paraId="4FA67F7F">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四、委托采购方权责</w:t>
      </w:r>
    </w:p>
    <w:p w14:paraId="7D2EA23B">
      <w:pPr>
        <w:pStyle w:val="11"/>
        <w:widowControl/>
        <w:spacing w:beforeAutospacing="0" w:afterAutospacing="0" w:line="420" w:lineRule="atLeast"/>
        <w:ind w:firstLine="420"/>
        <w:rPr>
          <w:rFonts w:hint="eastAsia" w:ascii="宋体" w:hAnsi="宋体" w:eastAsia="宋体" w:cs="宋体"/>
          <w:color w:val="333333"/>
          <w:sz w:val="27"/>
          <w:szCs w:val="27"/>
        </w:rPr>
      </w:pPr>
      <w:r>
        <w:rPr>
          <w:rFonts w:hint="eastAsia" w:ascii="宋体" w:hAnsi="宋体" w:eastAsia="宋体" w:cs="宋体"/>
          <w:color w:val="333333"/>
          <w:sz w:val="27"/>
          <w:szCs w:val="27"/>
        </w:rPr>
        <w:t>1. 向代理方提供采购所需的有关技术、服务需求等资料，并对本政府采购项目和所提供资料的真实性和合法性负责；</w:t>
      </w:r>
    </w:p>
    <w:p w14:paraId="79D87ADF">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2. 对代理方实施的委托代理事项有监督和质疑的权利，但不干涉代理方的采购行为，并按规定履行有关保密的责任；</w:t>
      </w:r>
    </w:p>
    <w:p w14:paraId="16E51396">
      <w:pPr>
        <w:pStyle w:val="11"/>
        <w:widowControl/>
        <w:spacing w:beforeAutospacing="0" w:afterAutospacing="0" w:line="420" w:lineRule="atLeast"/>
        <w:ind w:firstLine="420"/>
        <w:rPr>
          <w:rFonts w:hint="default" w:ascii="宋体" w:hAnsi="宋体" w:eastAsia="宋体" w:cs="宋体"/>
          <w:color w:val="333333"/>
          <w:sz w:val="27"/>
          <w:szCs w:val="27"/>
          <w:lang w:val="en-US" w:eastAsia="zh-CN"/>
        </w:rPr>
      </w:pPr>
      <w:r>
        <w:rPr>
          <w:rFonts w:hint="eastAsia" w:ascii="宋体" w:hAnsi="宋体" w:eastAsia="宋体" w:cs="宋体"/>
          <w:color w:val="333333"/>
          <w:sz w:val="27"/>
          <w:szCs w:val="27"/>
        </w:rPr>
        <w:t xml:space="preserve">3. </w:t>
      </w:r>
      <w:r>
        <w:rPr>
          <w:rFonts w:hint="eastAsia" w:ascii="宋体" w:hAnsi="宋体" w:eastAsia="宋体" w:cs="宋体"/>
          <w:color w:val="333333"/>
          <w:sz w:val="27"/>
          <w:szCs w:val="27"/>
          <w:lang w:val="en-US" w:eastAsia="zh-CN"/>
        </w:rPr>
        <w:t>履行采购人主体责任，派相关人员参加开标、评标活动，审核相关资料，对评审结果及时进行确认。</w:t>
      </w:r>
    </w:p>
    <w:p w14:paraId="6986994A">
      <w:pPr>
        <w:pStyle w:val="11"/>
        <w:widowControl/>
        <w:spacing w:beforeAutospacing="0" w:afterAutospacing="0" w:line="420" w:lineRule="atLeast"/>
        <w:ind w:firstLine="420"/>
        <w:rPr>
          <w:rFonts w:hint="eastAsia" w:ascii="宋体" w:hAnsi="宋体" w:eastAsia="宋体" w:cs="宋体"/>
          <w:color w:val="333333"/>
          <w:sz w:val="27"/>
          <w:szCs w:val="27"/>
        </w:rPr>
      </w:pPr>
      <w:r>
        <w:rPr>
          <w:rFonts w:hint="eastAsia" w:ascii="宋体" w:hAnsi="宋体" w:eastAsia="宋体" w:cs="宋体"/>
          <w:color w:val="333333"/>
          <w:sz w:val="27"/>
          <w:szCs w:val="27"/>
          <w:lang w:val="en-US" w:eastAsia="zh-CN"/>
        </w:rPr>
        <w:t>4.同采购人签订采购合同。采购人成立验收小组对项目进行履约</w:t>
      </w:r>
      <w:r>
        <w:rPr>
          <w:rFonts w:hint="eastAsia" w:ascii="宋体" w:hAnsi="宋体" w:eastAsia="宋体" w:cs="宋体"/>
          <w:color w:val="333333"/>
          <w:sz w:val="27"/>
          <w:szCs w:val="27"/>
        </w:rPr>
        <w:t>验收并签署验收结算意见</w:t>
      </w:r>
      <w:r>
        <w:rPr>
          <w:rFonts w:hint="eastAsia" w:ascii="宋体" w:hAnsi="宋体" w:eastAsia="宋体" w:cs="宋体"/>
          <w:color w:val="333333"/>
          <w:sz w:val="27"/>
          <w:szCs w:val="27"/>
          <w:lang w:eastAsia="zh-CN"/>
        </w:rPr>
        <w:t>，</w:t>
      </w:r>
      <w:r>
        <w:rPr>
          <w:rFonts w:hint="eastAsia" w:ascii="宋体" w:hAnsi="宋体" w:eastAsia="宋体" w:cs="宋体"/>
          <w:color w:val="333333"/>
          <w:sz w:val="27"/>
          <w:szCs w:val="27"/>
          <w:lang w:val="en-US" w:eastAsia="zh-CN"/>
        </w:rPr>
        <w:t>按时上传公示合同及验收资料，</w:t>
      </w:r>
      <w:r>
        <w:rPr>
          <w:rFonts w:hint="eastAsia" w:ascii="宋体" w:hAnsi="宋体" w:eastAsia="宋体" w:cs="宋体"/>
          <w:color w:val="333333"/>
          <w:sz w:val="27"/>
          <w:szCs w:val="27"/>
          <w:lang w:eastAsia="zh-CN"/>
        </w:rPr>
        <w:t>（</w:t>
      </w:r>
      <w:r>
        <w:rPr>
          <w:rFonts w:hint="eastAsia" w:ascii="宋体" w:hAnsi="宋体" w:eastAsia="宋体" w:cs="宋体"/>
          <w:color w:val="333333"/>
          <w:sz w:val="27"/>
          <w:szCs w:val="27"/>
          <w:lang w:val="en-US" w:eastAsia="zh-CN"/>
        </w:rPr>
        <w:t>陕西省财政厅关于进一步加强政府采购履约验收管理有关事项的通知（陕财办采函【2025】19号）</w:t>
      </w:r>
      <w:r>
        <w:rPr>
          <w:rFonts w:hint="eastAsia" w:ascii="宋体" w:hAnsi="宋体" w:eastAsia="宋体" w:cs="宋体"/>
          <w:color w:val="333333"/>
          <w:sz w:val="27"/>
          <w:szCs w:val="27"/>
          <w:lang w:eastAsia="zh-CN"/>
        </w:rPr>
        <w:t>）</w:t>
      </w:r>
      <w:r>
        <w:rPr>
          <w:rFonts w:hint="eastAsia" w:ascii="宋体" w:hAnsi="宋体" w:eastAsia="宋体" w:cs="宋体"/>
          <w:color w:val="333333"/>
          <w:sz w:val="27"/>
          <w:szCs w:val="27"/>
        </w:rPr>
        <w:t>。</w:t>
      </w:r>
    </w:p>
    <w:p w14:paraId="3FA2650E">
      <w:pPr>
        <w:pStyle w:val="11"/>
        <w:widowControl/>
        <w:spacing w:beforeAutospacing="0" w:afterAutospacing="0" w:line="420" w:lineRule="atLeast"/>
        <w:ind w:firstLine="420"/>
        <w:rPr>
          <w:rFonts w:hint="default" w:ascii="宋体" w:hAnsi="宋体" w:eastAsia="宋体" w:cs="宋体"/>
          <w:color w:val="333333"/>
          <w:sz w:val="27"/>
          <w:szCs w:val="27"/>
          <w:lang w:val="en-US" w:eastAsia="zh-CN"/>
        </w:rPr>
      </w:pPr>
      <w:r>
        <w:rPr>
          <w:rFonts w:hint="eastAsia" w:ascii="宋体" w:hAnsi="宋体" w:eastAsia="宋体" w:cs="宋体"/>
          <w:color w:val="333333"/>
          <w:sz w:val="27"/>
          <w:szCs w:val="27"/>
          <w:lang w:val="en-US" w:eastAsia="zh-CN"/>
        </w:rPr>
        <w:t>5、接收采购中心移交的部分采购档案资料（前期报名、及开评标档案资料），并搜集有关采购活动中形成的全部档案资料，及时归档。（陕财办采【2022】08号）</w:t>
      </w:r>
    </w:p>
    <w:p w14:paraId="7DAFB626">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五、受托代理方权责</w:t>
      </w:r>
    </w:p>
    <w:p w14:paraId="079613E5">
      <w:pPr>
        <w:pStyle w:val="11"/>
        <w:widowControl/>
        <w:spacing w:beforeAutospacing="0" w:afterAutospacing="0" w:line="420" w:lineRule="atLeast"/>
        <w:ind w:firstLine="420"/>
        <w:rPr>
          <w:rFonts w:hint="eastAsia" w:ascii="宋体" w:hAnsi="宋体" w:eastAsia="宋体" w:cs="宋体"/>
          <w:color w:val="333333"/>
          <w:sz w:val="27"/>
          <w:szCs w:val="27"/>
          <w:lang w:eastAsia="zh-CN"/>
        </w:rPr>
      </w:pPr>
      <w:r>
        <w:rPr>
          <w:rFonts w:hint="eastAsia" w:ascii="宋体" w:hAnsi="宋体" w:eastAsia="宋体" w:cs="宋体"/>
          <w:color w:val="333333"/>
          <w:sz w:val="27"/>
          <w:szCs w:val="27"/>
        </w:rPr>
        <w:t>1. 在委托代理的范围内按规定处理一切事务，对委托方提出的采购标准等有依法审查和纠正的权利，并对代理事项的合法性负责</w:t>
      </w:r>
      <w:r>
        <w:rPr>
          <w:rFonts w:hint="eastAsia" w:ascii="宋体" w:hAnsi="宋体" w:eastAsia="宋体" w:cs="宋体"/>
          <w:color w:val="333333"/>
          <w:sz w:val="27"/>
          <w:szCs w:val="27"/>
          <w:lang w:eastAsia="zh-CN"/>
        </w:rPr>
        <w:t>。</w:t>
      </w:r>
    </w:p>
    <w:p w14:paraId="474012A6">
      <w:pPr>
        <w:pStyle w:val="11"/>
        <w:widowControl/>
        <w:spacing w:beforeAutospacing="0" w:afterAutospacing="0" w:line="420" w:lineRule="atLeast"/>
        <w:ind w:firstLine="420"/>
        <w:rPr>
          <w:rFonts w:hint="eastAsia" w:ascii="宋体" w:hAnsi="宋体" w:eastAsia="宋体" w:cs="宋体"/>
          <w:color w:val="333333"/>
          <w:sz w:val="27"/>
          <w:szCs w:val="27"/>
          <w:lang w:eastAsia="zh-CN"/>
        </w:rPr>
      </w:pPr>
      <w:r>
        <w:rPr>
          <w:rFonts w:hint="eastAsia" w:ascii="宋体" w:hAnsi="宋体" w:eastAsia="宋体" w:cs="宋体"/>
          <w:color w:val="333333"/>
          <w:sz w:val="27"/>
          <w:szCs w:val="27"/>
        </w:rPr>
        <w:t>2. 按规定的程序和要求独立组织采购活动，接受委托方和有关部门的监督。自觉执行回避制度，遵守廉政规定和采购纪律，并承担保密责任</w:t>
      </w:r>
      <w:r>
        <w:rPr>
          <w:rFonts w:hint="eastAsia" w:ascii="宋体" w:hAnsi="宋体" w:eastAsia="宋体" w:cs="宋体"/>
          <w:color w:val="333333"/>
          <w:sz w:val="27"/>
          <w:szCs w:val="27"/>
          <w:lang w:eastAsia="zh-CN"/>
        </w:rPr>
        <w:t>。</w:t>
      </w:r>
    </w:p>
    <w:p w14:paraId="429C9540">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 xml:space="preserve">3. 向委托方提交采购报告，接受和答复供应商询问、质疑，协助委托方进行履约监督和项目验收，确保政府采购公开、公平、公正。 </w:t>
      </w:r>
    </w:p>
    <w:p w14:paraId="06BFC671">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4.对外发布</w:t>
      </w:r>
      <w:r>
        <w:rPr>
          <w:rFonts w:hint="eastAsia" w:ascii="宋体" w:hAnsi="宋体" w:eastAsia="宋体" w:cs="宋体"/>
          <w:color w:val="333333"/>
          <w:sz w:val="27"/>
          <w:szCs w:val="27"/>
          <w:lang w:val="en-US" w:eastAsia="zh-CN"/>
        </w:rPr>
        <w:t>经采购人确认的</w:t>
      </w:r>
      <w:r>
        <w:rPr>
          <w:rFonts w:hint="eastAsia" w:ascii="宋体" w:hAnsi="宋体" w:eastAsia="宋体" w:cs="宋体"/>
          <w:color w:val="333333"/>
          <w:sz w:val="27"/>
          <w:szCs w:val="27"/>
        </w:rPr>
        <w:t>有关采购文件和采购结果，并及时将有关</w:t>
      </w:r>
      <w:r>
        <w:rPr>
          <w:rFonts w:hint="eastAsia" w:ascii="宋体" w:hAnsi="宋体" w:eastAsia="宋体" w:cs="宋体"/>
          <w:color w:val="333333"/>
          <w:sz w:val="27"/>
          <w:szCs w:val="27"/>
          <w:lang w:val="en-US" w:eastAsia="zh-CN"/>
        </w:rPr>
        <w:t>采购档案资料（报名、开标、评标、评审报告、中标通知书）移交采购人。</w:t>
      </w:r>
    </w:p>
    <w:p w14:paraId="1F922728">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六、项目采购期限</w:t>
      </w:r>
    </w:p>
    <w:p w14:paraId="2FF6CE37">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根据委托方工作安排完成采购工作。</w:t>
      </w:r>
    </w:p>
    <w:p w14:paraId="0CE47F21">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七、招标代理费</w:t>
      </w:r>
    </w:p>
    <w:p w14:paraId="396A46AC">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招标代理费：</w:t>
      </w:r>
      <w:r>
        <w:rPr>
          <w:rFonts w:hint="eastAsia" w:ascii="宋体" w:hAnsi="宋体" w:eastAsia="宋体" w:cs="宋体"/>
          <w:color w:val="333333"/>
          <w:sz w:val="27"/>
          <w:szCs w:val="27"/>
          <w:u w:val="single"/>
        </w:rPr>
        <w:t>不收取</w:t>
      </w:r>
      <w:r>
        <w:rPr>
          <w:rFonts w:hint="eastAsia" w:ascii="宋体" w:hAnsi="宋体" w:eastAsia="宋体" w:cs="宋体"/>
          <w:color w:val="333333"/>
          <w:sz w:val="27"/>
          <w:szCs w:val="27"/>
        </w:rPr>
        <w:t>；</w:t>
      </w:r>
    </w:p>
    <w:p w14:paraId="651FB137">
      <w:pPr>
        <w:pStyle w:val="4"/>
        <w:widowControl/>
        <w:spacing w:before="210" w:beforeAutospacing="0" w:afterAutospacing="0" w:line="420" w:lineRule="atLeast"/>
        <w:rPr>
          <w:rFonts w:hint="default" w:cs="宋体"/>
          <w:color w:val="333333"/>
          <w:sz w:val="24"/>
          <w:szCs w:val="24"/>
        </w:rPr>
      </w:pPr>
      <w:r>
        <w:rPr>
          <w:rFonts w:cs="宋体"/>
          <w:color w:val="333333"/>
          <w:sz w:val="24"/>
          <w:szCs w:val="24"/>
        </w:rPr>
        <w:t>八、其他事项</w:t>
      </w:r>
    </w:p>
    <w:p w14:paraId="4A427A0E">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1. 委托代理各方分别指定1名工作人员为本项目的授权经办人和项目负责人，代表各方收受、审查和签署有关采购文件，具体联系和协调处理采购过程中的有关事务。</w:t>
      </w:r>
    </w:p>
    <w:p w14:paraId="58A7B405">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2. 本协议自双方盖章之日起生效，任何一方不得随意变更解除。</w:t>
      </w:r>
    </w:p>
    <w:p w14:paraId="47F521C8">
      <w:pPr>
        <w:pStyle w:val="11"/>
        <w:widowControl/>
        <w:spacing w:beforeAutospacing="0" w:afterAutospacing="0" w:line="420" w:lineRule="atLeast"/>
        <w:ind w:firstLine="420"/>
        <w:rPr>
          <w:rFonts w:ascii="宋体" w:hAnsi="宋体" w:eastAsia="宋体" w:cs="宋体"/>
          <w:color w:val="333333"/>
          <w:sz w:val="27"/>
          <w:szCs w:val="27"/>
        </w:rPr>
      </w:pPr>
      <w:r>
        <w:rPr>
          <w:rFonts w:hint="eastAsia" w:ascii="宋体" w:hAnsi="宋体" w:eastAsia="宋体" w:cs="宋体"/>
          <w:color w:val="333333"/>
          <w:sz w:val="27"/>
          <w:szCs w:val="27"/>
        </w:rPr>
        <w:t>3. 本协议一式贰份，委托方执壹份，受托方执壹份。</w:t>
      </w:r>
    </w:p>
    <w:p w14:paraId="5AA3A768">
      <w:pPr>
        <w:pStyle w:val="11"/>
        <w:widowControl/>
        <w:spacing w:beforeAutospacing="0" w:afterAutospacing="0" w:line="420" w:lineRule="atLeast"/>
        <w:ind w:firstLine="420"/>
        <w:rPr>
          <w:rFonts w:ascii="宋体" w:hAnsi="宋体" w:eastAsia="宋体" w:cs="宋体"/>
          <w:color w:val="333333"/>
          <w:sz w:val="21"/>
          <w:szCs w:val="21"/>
        </w:rPr>
      </w:pPr>
      <w:r>
        <w:rPr>
          <w:rFonts w:hint="eastAsia" w:ascii="宋体" w:hAnsi="宋体" w:eastAsia="宋体" w:cs="宋体"/>
          <w:color w:val="333333"/>
          <w:sz w:val="27"/>
          <w:szCs w:val="27"/>
        </w:rPr>
        <w:t>4. 其他未尽事宜由委托代理双方协商确定。</w:t>
      </w:r>
    </w:p>
    <w:p w14:paraId="6358FAB4"/>
    <w:p w14:paraId="421F6210">
      <w:pPr>
        <w:pStyle w:val="2"/>
      </w:pPr>
    </w:p>
    <w:p w14:paraId="260F8B30">
      <w:pPr>
        <w:pStyle w:val="2"/>
      </w:pPr>
    </w:p>
    <w:p w14:paraId="1E59E0D4">
      <w:pPr>
        <w:pStyle w:val="2"/>
      </w:pPr>
    </w:p>
    <w:p w14:paraId="110FADA7">
      <w:pPr>
        <w:pStyle w:val="2"/>
      </w:pPr>
    </w:p>
    <w:p w14:paraId="656AB832">
      <w:pPr>
        <w:pStyle w:val="2"/>
      </w:pPr>
    </w:p>
    <w:p w14:paraId="01D30341">
      <w:pPr>
        <w:pStyle w:val="2"/>
      </w:pPr>
    </w:p>
    <w:p w14:paraId="3853F197">
      <w:pPr>
        <w:pStyle w:val="2"/>
        <w:sectPr>
          <w:pgSz w:w="11906" w:h="16838"/>
          <w:pgMar w:top="1440" w:right="1800" w:bottom="1440" w:left="1800" w:header="851" w:footer="992" w:gutter="0"/>
          <w:pgNumType w:fmt="numberInDash" w:start="1"/>
          <w:cols w:space="425" w:num="1"/>
          <w:docGrid w:type="lines" w:linePitch="312" w:charSpace="0"/>
        </w:sectPr>
      </w:pPr>
    </w:p>
    <w:p w14:paraId="78A99509">
      <w:pPr>
        <w:pStyle w:val="5"/>
        <w:widowControl/>
        <w:spacing w:beforeAutospacing="0" w:after="210" w:afterAutospacing="0" w:line="315" w:lineRule="atLeast"/>
        <w:rPr>
          <w:rFonts w:hint="default" w:cs="宋体"/>
          <w:color w:val="333333"/>
          <w:sz w:val="24"/>
          <w:szCs w:val="24"/>
        </w:rPr>
      </w:pPr>
      <w:r>
        <w:rPr>
          <w:rFonts w:cs="宋体"/>
          <w:color w:val="333333"/>
          <w:sz w:val="24"/>
          <w:szCs w:val="24"/>
        </w:rPr>
        <w:t>委托方全称（公章）：</w:t>
      </w:r>
    </w:p>
    <w:p w14:paraId="33F8493E">
      <w:pPr>
        <w:rPr>
          <w:sz w:val="24"/>
        </w:rPr>
      </w:pPr>
    </w:p>
    <w:p w14:paraId="4C8DE8C5">
      <w:pPr>
        <w:rPr>
          <w:b/>
          <w:sz w:val="24"/>
        </w:rPr>
      </w:pPr>
      <w:r>
        <w:rPr>
          <w:rFonts w:hint="eastAsia" w:ascii="宋体" w:hAnsi="宋体" w:eastAsia="宋体" w:cs="宋体"/>
          <w:b/>
          <w:color w:val="333333"/>
          <w:kern w:val="0"/>
          <w:sz w:val="24"/>
        </w:rPr>
        <w:t>委托方授权代表（签字）：</w:t>
      </w:r>
    </w:p>
    <w:p w14:paraId="24A03C19">
      <w:pPr>
        <w:rPr>
          <w:rFonts w:ascii="宋体" w:hAnsi="宋体" w:eastAsia="宋体" w:cs="宋体"/>
          <w:b/>
          <w:color w:val="333333"/>
          <w:kern w:val="0"/>
          <w:sz w:val="24"/>
        </w:rPr>
      </w:pPr>
      <w:r>
        <w:rPr>
          <w:rFonts w:hint="eastAsia" w:ascii="宋体" w:hAnsi="宋体" w:eastAsia="宋体" w:cs="宋体"/>
          <w:b/>
          <w:color w:val="333333"/>
          <w:kern w:val="0"/>
          <w:sz w:val="24"/>
        </w:rPr>
        <w:t>受托方全称（公章）：</w:t>
      </w:r>
    </w:p>
    <w:p w14:paraId="7F57A078">
      <w:pPr>
        <w:rPr>
          <w:rFonts w:ascii="宋体" w:hAnsi="宋体" w:eastAsia="宋体" w:cs="宋体"/>
          <w:b/>
          <w:color w:val="333333"/>
          <w:kern w:val="0"/>
          <w:sz w:val="24"/>
        </w:rPr>
      </w:pPr>
    </w:p>
    <w:p w14:paraId="3FA32B9A">
      <w:pPr>
        <w:rPr>
          <w:rFonts w:ascii="宋体" w:hAnsi="宋体" w:eastAsia="宋体" w:cs="宋体"/>
          <w:b/>
          <w:color w:val="333333"/>
          <w:kern w:val="0"/>
          <w:sz w:val="24"/>
        </w:rPr>
      </w:pPr>
      <w:r>
        <w:rPr>
          <w:rFonts w:hint="eastAsia" w:ascii="宋体" w:hAnsi="宋体" w:eastAsia="宋体" w:cs="宋体"/>
          <w:b/>
          <w:color w:val="333333"/>
          <w:kern w:val="0"/>
          <w:sz w:val="24"/>
        </w:rPr>
        <w:t>受托方授权代表（签字）：</w:t>
      </w:r>
    </w:p>
    <w:p w14:paraId="041B1E93">
      <w:pPr>
        <w:rPr>
          <w:rFonts w:ascii="宋体" w:hAnsi="宋体" w:eastAsia="宋体" w:cs="宋体"/>
          <w:color w:val="333333"/>
          <w:kern w:val="0"/>
          <w:sz w:val="24"/>
        </w:rPr>
        <w:sectPr>
          <w:type w:val="continuous"/>
          <w:pgSz w:w="11906" w:h="16838"/>
          <w:pgMar w:top="1440" w:right="1800" w:bottom="1440" w:left="1800" w:header="851" w:footer="992" w:gutter="0"/>
          <w:cols w:equalWidth="0" w:num="2">
            <w:col w:w="3940" w:space="425"/>
            <w:col w:w="3940"/>
          </w:cols>
          <w:docGrid w:type="lines" w:linePitch="312" w:charSpace="0"/>
        </w:sectPr>
      </w:pPr>
    </w:p>
    <w:p w14:paraId="21078533">
      <w:pPr>
        <w:rPr>
          <w:rFonts w:ascii="宋体" w:hAnsi="宋体" w:eastAsia="宋体" w:cs="宋体"/>
          <w:color w:val="333333"/>
          <w:sz w:val="24"/>
          <w:u w:val="single"/>
        </w:rPr>
      </w:pPr>
    </w:p>
    <w:p w14:paraId="7FC5C58C">
      <w:pPr>
        <w:rPr>
          <w:rFonts w:ascii="宋体" w:hAnsi="宋体" w:eastAsia="宋体" w:cs="宋体"/>
          <w:color w:val="333333"/>
          <w:sz w:val="24"/>
          <w:u w:val="single"/>
        </w:rPr>
        <w:sectPr>
          <w:type w:val="continuous"/>
          <w:pgSz w:w="11906" w:h="16838"/>
          <w:pgMar w:top="1440" w:right="1800" w:bottom="1440" w:left="1800" w:header="851" w:footer="992" w:gutter="0"/>
          <w:cols w:equalWidth="0" w:num="2">
            <w:col w:w="3940" w:space="425"/>
            <w:col w:w="3940"/>
          </w:cols>
          <w:docGrid w:type="lines" w:linePitch="312" w:charSpace="0"/>
        </w:sectPr>
      </w:pPr>
    </w:p>
    <w:p w14:paraId="404A4DDF">
      <w:pPr>
        <w:jc w:val="left"/>
        <w:rPr>
          <w:rFonts w:ascii="宋体" w:hAnsi="宋体" w:eastAsia="宋体" w:cs="宋体"/>
          <w:color w:val="333333"/>
          <w:sz w:val="24"/>
        </w:rPr>
      </w:pPr>
    </w:p>
    <w:p w14:paraId="4F264344">
      <w:pPr>
        <w:ind w:firstLine="720" w:firstLineChars="300"/>
        <w:jc w:val="left"/>
        <w:rPr>
          <w:sz w:val="24"/>
        </w:rPr>
      </w:pPr>
      <w:r>
        <w:rPr>
          <w:rFonts w:hint="eastAsia" w:ascii="宋体" w:hAnsi="宋体" w:eastAsia="宋体" w:cs="宋体"/>
          <w:color w:val="333333"/>
          <w:sz w:val="24"/>
        </w:rPr>
        <w:t xml:space="preserve">年   月    日                             年   月    日 </w:t>
      </w: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nsolas">
    <w:panose1 w:val="020B0609020204030204"/>
    <w:charset w:val="00"/>
    <w:family w:val="modern"/>
    <w:pitch w:val="default"/>
    <w:sig w:usb0="E10002FF" w:usb1="4000FCFF" w:usb2="00000009" w:usb3="00000000" w:csb0="600001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38924E10"/>
    <w:rsid w:val="00013BB3"/>
    <w:rsid w:val="000A330C"/>
    <w:rsid w:val="00323584"/>
    <w:rsid w:val="00333059"/>
    <w:rsid w:val="00360E94"/>
    <w:rsid w:val="003E4E53"/>
    <w:rsid w:val="005B4FA0"/>
    <w:rsid w:val="005E3CBF"/>
    <w:rsid w:val="005E7528"/>
    <w:rsid w:val="007A145A"/>
    <w:rsid w:val="008109A3"/>
    <w:rsid w:val="008871FE"/>
    <w:rsid w:val="009133DE"/>
    <w:rsid w:val="00A66C5B"/>
    <w:rsid w:val="00AC0D63"/>
    <w:rsid w:val="00AC4E6F"/>
    <w:rsid w:val="00BC32FE"/>
    <w:rsid w:val="00C42B8E"/>
    <w:rsid w:val="00C445C2"/>
    <w:rsid w:val="00CC7E83"/>
    <w:rsid w:val="00E7416A"/>
    <w:rsid w:val="00E80BF2"/>
    <w:rsid w:val="00EB4EAD"/>
    <w:rsid w:val="00EF2B25"/>
    <w:rsid w:val="00EF5283"/>
    <w:rsid w:val="00F22A97"/>
    <w:rsid w:val="00F46C72"/>
    <w:rsid w:val="00F614CA"/>
    <w:rsid w:val="00FC10B7"/>
    <w:rsid w:val="02593877"/>
    <w:rsid w:val="02835A47"/>
    <w:rsid w:val="03E67860"/>
    <w:rsid w:val="089F3FA5"/>
    <w:rsid w:val="0AC255BC"/>
    <w:rsid w:val="113111E9"/>
    <w:rsid w:val="1781233C"/>
    <w:rsid w:val="17FA3811"/>
    <w:rsid w:val="182E7E39"/>
    <w:rsid w:val="186D22A5"/>
    <w:rsid w:val="1CBA5F77"/>
    <w:rsid w:val="20FB5DDA"/>
    <w:rsid w:val="278D3C36"/>
    <w:rsid w:val="2FFF4304"/>
    <w:rsid w:val="31BF112D"/>
    <w:rsid w:val="38924E10"/>
    <w:rsid w:val="3DA92069"/>
    <w:rsid w:val="3F276A93"/>
    <w:rsid w:val="46666D4A"/>
    <w:rsid w:val="476B752E"/>
    <w:rsid w:val="5DBF04C4"/>
    <w:rsid w:val="68BD7848"/>
    <w:rsid w:val="696B0802"/>
    <w:rsid w:val="6F31570B"/>
    <w:rsid w:val="785405F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paragraph" w:styleId="5">
    <w:name w:val="heading 6"/>
    <w:basedOn w:val="1"/>
    <w:next w:val="1"/>
    <w:unhideWhenUsed/>
    <w:qFormat/>
    <w:uiPriority w:val="0"/>
    <w:pPr>
      <w:spacing w:beforeAutospacing="1" w:afterAutospacing="1"/>
      <w:jc w:val="left"/>
      <w:outlineLvl w:val="5"/>
    </w:pPr>
    <w:rPr>
      <w:rFonts w:hint="eastAsia" w:ascii="宋体" w:hAnsi="宋体" w:eastAsia="宋体" w:cs="Times New Roman"/>
      <w:b/>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Body Text"/>
    <w:basedOn w:val="1"/>
    <w:qFormat/>
    <w:uiPriority w:val="0"/>
    <w:pPr>
      <w:spacing w:after="120"/>
    </w:pPr>
  </w:style>
  <w:style w:type="paragraph" w:styleId="7">
    <w:name w:val="Body Text Indent 2"/>
    <w:basedOn w:val="1"/>
    <w:qFormat/>
    <w:uiPriority w:val="0"/>
    <w:pPr>
      <w:spacing w:after="120" w:line="480" w:lineRule="auto"/>
      <w:ind w:left="420" w:leftChars="200"/>
    </w:pPr>
  </w:style>
  <w:style w:type="paragraph" w:styleId="8">
    <w:name w:val="Balloon Text"/>
    <w:basedOn w:val="1"/>
    <w:link w:val="33"/>
    <w:qFormat/>
    <w:uiPriority w:val="0"/>
    <w:rPr>
      <w:sz w:val="18"/>
      <w:szCs w:val="18"/>
    </w:rPr>
  </w:style>
  <w:style w:type="paragraph" w:styleId="9">
    <w:name w:val="footer"/>
    <w:basedOn w:val="1"/>
    <w:link w:val="32"/>
    <w:qFormat/>
    <w:uiPriority w:val="99"/>
    <w:pPr>
      <w:tabs>
        <w:tab w:val="center" w:pos="4153"/>
        <w:tab w:val="right" w:pos="8306"/>
      </w:tabs>
      <w:snapToGrid w:val="0"/>
      <w:jc w:val="left"/>
    </w:pPr>
    <w:rPr>
      <w:sz w:val="18"/>
      <w:szCs w:val="18"/>
    </w:rPr>
  </w:style>
  <w:style w:type="paragraph" w:styleId="10">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styleId="15">
    <w:name w:val="FollowedHyperlink"/>
    <w:basedOn w:val="13"/>
    <w:qFormat/>
    <w:uiPriority w:val="0"/>
    <w:rPr>
      <w:color w:val="333333"/>
      <w:u w:val="none"/>
    </w:rPr>
  </w:style>
  <w:style w:type="character" w:styleId="16">
    <w:name w:val="Emphasis"/>
    <w:basedOn w:val="13"/>
    <w:qFormat/>
    <w:uiPriority w:val="0"/>
  </w:style>
  <w:style w:type="character" w:styleId="17">
    <w:name w:val="HTML Definition"/>
    <w:basedOn w:val="13"/>
    <w:qFormat/>
    <w:uiPriority w:val="0"/>
    <w:rPr>
      <w:i/>
    </w:rPr>
  </w:style>
  <w:style w:type="character" w:styleId="18">
    <w:name w:val="Hyperlink"/>
    <w:basedOn w:val="13"/>
    <w:qFormat/>
    <w:uiPriority w:val="0"/>
    <w:rPr>
      <w:color w:val="333333"/>
      <w:u w:val="none"/>
    </w:rPr>
  </w:style>
  <w:style w:type="character" w:styleId="19">
    <w:name w:val="HTML Code"/>
    <w:basedOn w:val="13"/>
    <w:qFormat/>
    <w:uiPriority w:val="0"/>
    <w:rPr>
      <w:rFonts w:hint="default" w:ascii="Consolas" w:hAnsi="Consolas" w:eastAsia="Consolas" w:cs="Consolas"/>
      <w:color w:val="C7254E"/>
      <w:sz w:val="21"/>
      <w:szCs w:val="21"/>
      <w:shd w:val="clear" w:color="auto" w:fill="F9F2F4"/>
    </w:rPr>
  </w:style>
  <w:style w:type="character" w:styleId="20">
    <w:name w:val="HTML Keyboard"/>
    <w:basedOn w:val="13"/>
    <w:qFormat/>
    <w:uiPriority w:val="0"/>
    <w:rPr>
      <w:rFonts w:hint="default" w:ascii="Consolas" w:hAnsi="Consolas" w:eastAsia="Consolas" w:cs="Consolas"/>
      <w:b/>
      <w:color w:val="FFFFFF"/>
      <w:sz w:val="21"/>
      <w:szCs w:val="21"/>
      <w:shd w:val="clear" w:color="auto" w:fill="333333"/>
    </w:rPr>
  </w:style>
  <w:style w:type="character" w:styleId="21">
    <w:name w:val="HTML Sample"/>
    <w:basedOn w:val="13"/>
    <w:qFormat/>
    <w:uiPriority w:val="0"/>
    <w:rPr>
      <w:rFonts w:ascii="Consolas" w:hAnsi="Consolas" w:eastAsia="Consolas" w:cs="Consolas"/>
      <w:sz w:val="21"/>
      <w:szCs w:val="21"/>
    </w:rPr>
  </w:style>
  <w:style w:type="character" w:customStyle="1" w:styleId="22">
    <w:name w:val="indent"/>
    <w:basedOn w:val="13"/>
    <w:qFormat/>
    <w:uiPriority w:val="0"/>
  </w:style>
  <w:style w:type="character" w:customStyle="1" w:styleId="23">
    <w:name w:val="hover3"/>
    <w:basedOn w:val="13"/>
    <w:qFormat/>
    <w:uiPriority w:val="0"/>
    <w:rPr>
      <w:shd w:val="clear" w:color="auto" w:fill="EEEEEE"/>
    </w:rPr>
  </w:style>
  <w:style w:type="character" w:customStyle="1" w:styleId="24">
    <w:name w:val="tmpztreemove_arrow"/>
    <w:basedOn w:val="13"/>
    <w:qFormat/>
    <w:uiPriority w:val="0"/>
    <w:rPr>
      <w:shd w:val="clear" w:color="auto" w:fill="FFFFFF"/>
    </w:rPr>
  </w:style>
  <w:style w:type="character" w:customStyle="1" w:styleId="25">
    <w:name w:val="glyphicon4"/>
    <w:basedOn w:val="13"/>
    <w:qFormat/>
    <w:uiPriority w:val="0"/>
  </w:style>
  <w:style w:type="character" w:customStyle="1" w:styleId="26">
    <w:name w:val="old"/>
    <w:basedOn w:val="13"/>
    <w:qFormat/>
    <w:uiPriority w:val="0"/>
    <w:rPr>
      <w:color w:val="999999"/>
    </w:rPr>
  </w:style>
  <w:style w:type="character" w:customStyle="1" w:styleId="27">
    <w:name w:val="hour_am"/>
    <w:basedOn w:val="13"/>
    <w:qFormat/>
    <w:uiPriority w:val="0"/>
  </w:style>
  <w:style w:type="character" w:customStyle="1" w:styleId="28">
    <w:name w:val="hour_pm"/>
    <w:basedOn w:val="13"/>
    <w:qFormat/>
    <w:uiPriority w:val="0"/>
  </w:style>
  <w:style w:type="paragraph" w:customStyle="1" w:styleId="29">
    <w:name w:val="title11"/>
    <w:basedOn w:val="1"/>
    <w:qFormat/>
    <w:uiPriority w:val="0"/>
    <w:pPr>
      <w:spacing w:before="150" w:line="450" w:lineRule="atLeast"/>
      <w:jc w:val="left"/>
    </w:pPr>
    <w:rPr>
      <w:rFonts w:cs="Times New Roman"/>
      <w:b/>
      <w:kern w:val="0"/>
      <w:sz w:val="24"/>
    </w:rPr>
  </w:style>
  <w:style w:type="character" w:customStyle="1" w:styleId="30">
    <w:name w:val="button"/>
    <w:basedOn w:val="13"/>
    <w:qFormat/>
    <w:uiPriority w:val="0"/>
  </w:style>
  <w:style w:type="character" w:customStyle="1" w:styleId="31">
    <w:name w:val="页眉 Char"/>
    <w:basedOn w:val="13"/>
    <w:link w:val="10"/>
    <w:qFormat/>
    <w:uiPriority w:val="0"/>
    <w:rPr>
      <w:rFonts w:asciiTheme="minorHAnsi" w:hAnsiTheme="minorHAnsi" w:eastAsiaTheme="minorEastAsia" w:cstheme="minorBidi"/>
      <w:kern w:val="2"/>
      <w:sz w:val="18"/>
      <w:szCs w:val="18"/>
    </w:rPr>
  </w:style>
  <w:style w:type="character" w:customStyle="1" w:styleId="32">
    <w:name w:val="页脚 Char"/>
    <w:basedOn w:val="13"/>
    <w:link w:val="9"/>
    <w:qFormat/>
    <w:uiPriority w:val="99"/>
    <w:rPr>
      <w:rFonts w:asciiTheme="minorHAnsi" w:hAnsiTheme="minorHAnsi" w:eastAsiaTheme="minorEastAsia" w:cstheme="minorBidi"/>
      <w:kern w:val="2"/>
      <w:sz w:val="18"/>
      <w:szCs w:val="18"/>
    </w:rPr>
  </w:style>
  <w:style w:type="character" w:customStyle="1" w:styleId="33">
    <w:name w:val="批注框文本 Char"/>
    <w:basedOn w:val="13"/>
    <w:link w:val="8"/>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4</Pages>
  <Words>1238</Words>
  <Characters>1286</Characters>
  <Lines>1</Lines>
  <Paragraphs>2</Paragraphs>
  <TotalTime>18</TotalTime>
  <ScaleCrop>false</ScaleCrop>
  <LinksUpToDate>false</LinksUpToDate>
  <CharactersWithSpaces>1353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2024-03-15T00:23:00Z</dcterms:created>
  <dc:creator>善待</dc:creator>
  <cp:lastModifiedBy>笑傲人生</cp:lastModifiedBy>
  <cp:lastPrinted>2025-05-12T04:43:00Z</cp:lastPrinted>
  <dcterms:modified xsi:type="dcterms:W3CDTF">2026-08-19T08:45:01Z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eyJoZGlkIjoiMzI2MTBiMjA5ZWIxMDFmNGM3NWQ0OWUzNzg3YTQ4ZDciLCJ1c2VySWQiOiIzNDkxMzA3NDcifQ==</vt:lpwstr>
  </property>
  <property fmtid="{D5CDD505-2E9C-101B-9397-08002B2CF9AE}" pid="4" name="ICV">
    <vt:lpwstr>3A4F391EF56D4676ACA8B58607391FB9_12</vt:lpwstr>
  </property>
</Properties>
</file>