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版本号：SXZCZB2026-ZCCS-0647.20260729002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陕西省重点生态区域数据治理及监测能力提升项目（二次）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SXZCZB2026-ZCCS-0647.</w:t>
      </w:r>
      <w:r>
        <w:br/>
      </w:r>
      <w:r>
        <w:br/>
      </w:r>
      <w:r>
        <w:br/>
      </w:r>
    </w:p>
    <w:p>
      <w:pPr>
        <w:pStyle w:val="null3"/>
        <w:jc w:val="center"/>
        <w:outlineLvl w:val="2"/>
      </w:pPr>
      <w:r>
        <w:rPr>
          <w:rFonts w:ascii="仿宋_GB2312" w:hAnsi="仿宋_GB2312" w:cs="仿宋_GB2312" w:eastAsia="仿宋_GB2312"/>
          <w:sz w:val="28"/>
          <w:b/>
        </w:rPr>
        <w:t>陕西省林业调查规划院（陕西省森林资源监测中心）</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陕西省林业调查规划院（陕西省森林资源监测中心）</w:t>
      </w:r>
      <w:r>
        <w:rPr>
          <w:rFonts w:ascii="仿宋_GB2312" w:hAnsi="仿宋_GB2312" w:cs="仿宋_GB2312" w:eastAsia="仿宋_GB2312"/>
        </w:rPr>
        <w:t>委托，拟对</w:t>
      </w:r>
      <w:r>
        <w:rPr>
          <w:rFonts w:ascii="仿宋_GB2312" w:hAnsi="仿宋_GB2312" w:cs="仿宋_GB2312" w:eastAsia="仿宋_GB2312"/>
        </w:rPr>
        <w:t>陕西省重点生态区域数据治理及监测能力提升项目（二次）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SXZCZB2026-ZCCS-0647.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陕西省重点生态区域数据治理及监测能力提升项目（二次）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聚焦陕西林业数据管理短板，以数据治理为主线、能力提升为目标，破解林业数据管理瓶颈，解决数据分散异构、标准不一、安全规范缺失等问题，实现物联设备、林草专项及秦岭等重点生态区域数据的统一归集与规范管理。 建立健全数据安全及管理相关标准规范，形成覆盖数据全生命周期的标准化管理机制，筑牢数据安全防线。 构建全链条数据管理体系，提升林草数据梳理、整合、治理及处理分析的自动化、智能化水平，强化重点生态区域动态监测能力。 形成高质量、可复用的基础数据资源，为陕西省生态云感知系统建设提供坚实数据支撑，助力全省生态保护与林业治理现代化。</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1、营业执照：提供合格有效的法人或者其他组织的营业执照等证明文件，自然人的身份证明；</w:t>
      </w:r>
    </w:p>
    <w:p>
      <w:pPr>
        <w:pStyle w:val="null3"/>
      </w:pPr>
      <w:r>
        <w:rPr>
          <w:rFonts w:ascii="仿宋_GB2312" w:hAnsi="仿宋_GB2312" w:cs="仿宋_GB2312" w:eastAsia="仿宋_GB2312"/>
        </w:rPr>
        <w:t>2、法定代表人授权书：法定代表人直接参加的，须提供法定代表人身份证明；法定代表人授权代表参加的，须提供法定代表人授权委托书；</w:t>
      </w:r>
    </w:p>
    <w:p>
      <w:pPr>
        <w:pStyle w:val="null3"/>
      </w:pPr>
      <w:r>
        <w:rPr>
          <w:rFonts w:ascii="仿宋_GB2312" w:hAnsi="仿宋_GB2312" w:cs="仿宋_GB2312" w:eastAsia="仿宋_GB2312"/>
        </w:rPr>
        <w:t>3、财务状况：提供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4、税收缴纳证明：提供磋商截止日前近一年内至少一个月的纳税证明或完税证明，依法免税的单位应提供相关证明材料；</w:t>
      </w:r>
    </w:p>
    <w:p>
      <w:pPr>
        <w:pStyle w:val="null3"/>
      </w:pPr>
      <w:r>
        <w:rPr>
          <w:rFonts w:ascii="仿宋_GB2312" w:hAnsi="仿宋_GB2312" w:cs="仿宋_GB2312" w:eastAsia="仿宋_GB2312"/>
        </w:rPr>
        <w:t>5、社会保障资金缴纳证明：提供磋商截止日前近一年内至少一个月的社会保障资金缴存单据或社保机构开具的社会保险参保缴费情况证明，依法不需要缴纳社会保障资金的单位应提供相关证明材料；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6、供应商信用记录书面声明函：提供《供应商信用记录书面声明函》供应商未被列入“信用中国”网站记录的“失信被执行人”或 “重大税收违法案件当事人”名单；不处于“中国政府采购网”记录的“政府采购严重违法失信行为信息记录名单”中的禁止参加政府采购活动期间；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7、具有履行合同所必需的设备和专业技术能力的声明：提供具有履行本合同所必需的设备和专业技术能力的声明；</w:t>
      </w:r>
    </w:p>
    <w:p>
      <w:pPr>
        <w:pStyle w:val="null3"/>
      </w:pPr>
      <w:r>
        <w:rPr>
          <w:rFonts w:ascii="仿宋_GB2312" w:hAnsi="仿宋_GB2312" w:cs="仿宋_GB2312" w:eastAsia="仿宋_GB2312"/>
        </w:rPr>
        <w:t>8、没有重大违法记录的书面声明：参加政府采购活动前3年内，在经营活动中没有重大违法记录的书面声明；</w:t>
      </w:r>
    </w:p>
    <w:p>
      <w:pPr>
        <w:pStyle w:val="null3"/>
      </w:pPr>
      <w:r>
        <w:rPr>
          <w:rFonts w:ascii="仿宋_GB2312" w:hAnsi="仿宋_GB2312" w:cs="仿宋_GB2312" w:eastAsia="仿宋_GB2312"/>
        </w:rPr>
        <w:t>9、直接控股和管理关系清单：提供直接控股和管理关系清单。若与其他供应商存在单位负责人为同一人或者存在直接控股、管理关系的，则投标无效；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10、本项目不接受联合体磋商：本项目不接受联合体磋商（提供承诺书）。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1、营业执照：提供合格有效的法人或者其他组织的营业执照等证明文件，自然人的身份证明；</w:t>
      </w:r>
    </w:p>
    <w:p>
      <w:pPr>
        <w:pStyle w:val="null3"/>
      </w:pPr>
      <w:r>
        <w:rPr>
          <w:rFonts w:ascii="仿宋_GB2312" w:hAnsi="仿宋_GB2312" w:cs="仿宋_GB2312" w:eastAsia="仿宋_GB2312"/>
        </w:rPr>
        <w:t>2、法定代表人授权书：法定代表人直接参加的，须提供法定代表人身份证明；法定代表人授权代表参加的，须提供法定代表人授权委托书；</w:t>
      </w:r>
    </w:p>
    <w:p>
      <w:pPr>
        <w:pStyle w:val="null3"/>
      </w:pPr>
      <w:r>
        <w:rPr>
          <w:rFonts w:ascii="仿宋_GB2312" w:hAnsi="仿宋_GB2312" w:cs="仿宋_GB2312" w:eastAsia="仿宋_GB2312"/>
        </w:rPr>
        <w:t>3、财务状况：提供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4、税收缴纳证明：提供磋商截止日前近一年内至少一个月的纳税证明或完税证明，依法免税的单位应提供相关证明材料；</w:t>
      </w:r>
    </w:p>
    <w:p>
      <w:pPr>
        <w:pStyle w:val="null3"/>
      </w:pPr>
      <w:r>
        <w:rPr>
          <w:rFonts w:ascii="仿宋_GB2312" w:hAnsi="仿宋_GB2312" w:cs="仿宋_GB2312" w:eastAsia="仿宋_GB2312"/>
        </w:rPr>
        <w:t>5、社会保障资金缴纳证明：提供磋商截止日前近一年内至少一个月的社会保障资金缴存单据或社保机构开具的社会保险参保缴费情况证明，依法不需要缴纳社会保障资金的单位应提供相关证明材料；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6、供应商信用记录书面声明函：提供《供应商信用记录书面声明函》供应商未被列入“信用中国”网站记录的“失信被执行人”或 “重大税收违法案件当事人”名单；不处于“中国政府采购网”记录的“政府采购严重违法失信行为信息记录名单”中的禁止参加政府采购活动期间；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7、具有履行合同所必需的设备和专业技术能力的声明：提供具有履行本合同所必需的设备和专业技术能力的声明；</w:t>
      </w:r>
    </w:p>
    <w:p>
      <w:pPr>
        <w:pStyle w:val="null3"/>
      </w:pPr>
      <w:r>
        <w:rPr>
          <w:rFonts w:ascii="仿宋_GB2312" w:hAnsi="仿宋_GB2312" w:cs="仿宋_GB2312" w:eastAsia="仿宋_GB2312"/>
        </w:rPr>
        <w:t>8、没有重大违法记录的书面声明：参加政府采购活动前3年内，在经营活动中没有重大违法记录的书面声明；</w:t>
      </w:r>
    </w:p>
    <w:p>
      <w:pPr>
        <w:pStyle w:val="null3"/>
      </w:pPr>
      <w:r>
        <w:rPr>
          <w:rFonts w:ascii="仿宋_GB2312" w:hAnsi="仿宋_GB2312" w:cs="仿宋_GB2312" w:eastAsia="仿宋_GB2312"/>
        </w:rPr>
        <w:t>9、直接控股和管理关系清单：提供直接控股和管理关系清单。若与其他供应商存在单位负责人为同一人或者存在直接控股、管理关系的，则投标无效；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10、本项目不接受联合体磋商：本项目不接受联合体磋商（提供承诺书）。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陕西省林业调查规划院（陕西省森林资源监测中心）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西安市西关正街233号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陕西省林业调查规划院（陕西省森林资源监测中心）经办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13891803906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孙洋、康乐、常瑛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p>
          <w:p>
            <w:pPr>
              <w:pStyle w:val="null3"/>
            </w:pPr>
            <w:r>
              <w:rPr>
                <w:rFonts w:ascii="仿宋_GB2312" w:hAnsi="仿宋_GB2312" w:cs="仿宋_GB2312" w:eastAsia="仿宋_GB2312"/>
              </w:rPr>
              <w:t>采购包2：500,000.00元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依据国家计委颁发的《招标代理服务收费管理暂行办法》（计价格〔2002〕1980号）及国家发展和改革委员会办公厅颁发的《关于招标代理服务收费有关问题的通知》（发改办价格〔2003〕857号）的有关规定执行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陕西省林业调查规划院（陕西省森林资源监测中心）</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陕西省林业调查规划院（陕西省森林资源监测中心）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陕西省林业调查规划院（陕西省森林资源监测中心）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联系人：孙洋、康乐、常瑛</w:t>
      </w:r>
    </w:p>
    <w:p>
      <w:pPr>
        <w:pStyle w:val="null3"/>
      </w:pPr>
      <w:r>
        <w:rPr>
          <w:rFonts w:ascii="仿宋_GB2312" w:hAnsi="仿宋_GB2312" w:cs="仿宋_GB2312" w:eastAsia="仿宋_GB2312"/>
        </w:rPr>
        <w:t>联系电话：13636736761</w:t>
      </w:r>
    </w:p>
    <w:p>
      <w:pPr>
        <w:pStyle w:val="null3"/>
      </w:pPr>
      <w:r>
        <w:rPr>
          <w:rFonts w:ascii="仿宋_GB2312" w:hAnsi="仿宋_GB2312" w:cs="仿宋_GB2312" w:eastAsia="仿宋_GB2312"/>
        </w:rPr>
        <w:t>地址：陕西省西安市经济技术开发区未央路171-1号银池道拉斯财富中心21楼03室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聚焦陕西林业数据管理短板，以数据治理为主线、能力提升为目标，破解林业数据管理瓶颈，解决数据分散异构、标准不一、安全规范缺失等问题，实现物联设备、林草专项及秦岭等重点生态区域数据的统一归集与规范管理。 建立健全数据安全及管理相关标准规范，形成覆盖数据全生命周期的标准化管理机制，筑牢数据安全防线。 构建全链条数据管理体系，提升林草数据梳理、整合、治理及处理分析的自动化、智能化水平，强化重点生态区域动态监测能力。 形成高质量、可复用的基础数据资源，为陕西省生态云感知系统建设提供坚实数据支撑，助力全省生态保护与林业治理现代化。</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物联感知设备接入、标准规范编制及重点区域数据治理技术服务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数据处理工具开发技术服务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标的名称：物联感知设备接入、标准规范编制及重点区域数据治理技术服务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rPr>
              <w:t xml:space="preserve"> </w:t>
            </w:r>
            <w:r>
              <w:rPr>
                <w:rFonts w:ascii="仿宋_GB2312" w:hAnsi="仿宋_GB2312" w:cs="仿宋_GB2312" w:eastAsia="仿宋_GB2312"/>
                <w:sz w:val="21"/>
                <w:b/>
              </w:rPr>
              <w:t>一、建设任务</w:t>
            </w:r>
          </w:p>
          <w:p>
            <w:pPr>
              <w:pStyle w:val="null3"/>
              <w:jc w:val="left"/>
            </w:pPr>
            <w:r>
              <w:rPr>
                <w:rFonts w:ascii="仿宋_GB2312" w:hAnsi="仿宋_GB2312" w:cs="仿宋_GB2312" w:eastAsia="仿宋_GB2312"/>
                <w:sz w:val="21"/>
                <w:b/>
              </w:rPr>
              <w:t xml:space="preserve">   </w:t>
            </w:r>
            <w:r>
              <w:rPr>
                <w:rFonts w:ascii="仿宋_GB2312" w:hAnsi="仿宋_GB2312" w:cs="仿宋_GB2312" w:eastAsia="仿宋_GB2312"/>
                <w:sz w:val="21"/>
                <w:b/>
              </w:rPr>
              <w:t>1.物联感知设备接入、标准规范编制及重点区域数据治理技术服务</w:t>
            </w:r>
          </w:p>
          <w:p>
            <w:pPr>
              <w:pStyle w:val="null3"/>
              <w:jc w:val="left"/>
            </w:pPr>
            <w:r>
              <w:rPr>
                <w:rFonts w:ascii="仿宋_GB2312" w:hAnsi="仿宋_GB2312" w:cs="仿宋_GB2312" w:eastAsia="仿宋_GB2312"/>
                <w:sz w:val="21"/>
                <w:b/>
              </w:rPr>
              <w:t xml:space="preserve">   </w:t>
            </w:r>
            <w:r>
              <w:rPr>
                <w:rFonts w:ascii="仿宋_GB2312" w:hAnsi="仿宋_GB2312" w:cs="仿宋_GB2312" w:eastAsia="仿宋_GB2312"/>
                <w:sz w:val="21"/>
                <w:b/>
              </w:rPr>
              <w:t>1.1制定数据安全等不少于6项的相关标准规范</w:t>
            </w:r>
          </w:p>
          <w:p>
            <w:pPr>
              <w:pStyle w:val="null3"/>
              <w:ind w:firstLine="560"/>
              <w:jc w:val="both"/>
            </w:pPr>
            <w:r>
              <w:rPr>
                <w:rFonts w:ascii="仿宋_GB2312" w:hAnsi="仿宋_GB2312" w:cs="仿宋_GB2312" w:eastAsia="仿宋_GB2312"/>
                <w:sz w:val="21"/>
              </w:rPr>
              <w:t>为提升全省林草数据质量、释放数据价值，在遵循现行国家、行业及地方数据治理标准的前提下，结合陕西林业实际，在广泛调研的基础上，完善涵盖林业数据采集、数据标准化处理、数据共享交换、林业一张图、系统整合等在内的陕西省林业数据标准规范体系，以满足在林业资源监管、林业资源保护、林业经营管理、林业政务服务等业务领域的数据使用需求。</w:t>
            </w:r>
          </w:p>
          <w:p>
            <w:pPr>
              <w:pStyle w:val="null3"/>
              <w:ind w:firstLine="562"/>
              <w:jc w:val="both"/>
            </w:pPr>
            <w:r>
              <w:rPr>
                <w:rFonts w:ascii="仿宋_GB2312" w:hAnsi="仿宋_GB2312" w:cs="仿宋_GB2312" w:eastAsia="仿宋_GB2312"/>
                <w:sz w:val="21"/>
              </w:rPr>
              <w:t>一是针对当前林业信息化全流程中前端物联感知终端安全、数据信息传输安全等关键环节的安全需求，完成契合林业行业业务特性与信息化建设实际的安全类标准编制，为物联感知设备信息安全传输提供技术遵循与规范指引。二是制定《林草数据安全管理办法》《林草数据分类分级指南》等林草数据相关标准规范，规范覆盖林草数据全生命周期管理，为系统性地建立林草数据治理体系奠定基础。</w:t>
            </w:r>
          </w:p>
          <w:p>
            <w:pPr>
              <w:pStyle w:val="null3"/>
              <w:ind w:firstLine="560"/>
              <w:jc w:val="both"/>
            </w:pPr>
            <w:r>
              <w:rPr>
                <w:rFonts w:ascii="仿宋_GB2312" w:hAnsi="仿宋_GB2312" w:cs="仿宋_GB2312" w:eastAsia="仿宋_GB2312"/>
                <w:sz w:val="21"/>
              </w:rPr>
              <w:t>1.2物联设备数据专项治理</w:t>
            </w:r>
          </w:p>
          <w:p>
            <w:pPr>
              <w:pStyle w:val="null3"/>
              <w:ind w:firstLine="560"/>
              <w:jc w:val="both"/>
            </w:pPr>
            <w:r>
              <w:rPr>
                <w:rFonts w:ascii="仿宋_GB2312" w:hAnsi="仿宋_GB2312" w:cs="仿宋_GB2312" w:eastAsia="仿宋_GB2312"/>
                <w:sz w:val="21"/>
              </w:rPr>
              <w:t>当前，林业领域部署的监控视频、红外相机、生境传感器、声纹传感器等物联设备存在显著管理痛点，亟需构建统一管理体系。由于缺乏统筹规划，各类物联设备分散部署于不同区域与场景，未形成集约管理模式，导致设备维护成本高、管理效率低。同时，设备协议标准不一，不同厂商设备采用的通信协议、数据格式各异，难以实现互联互通，阻碍了设备协同工作与数据整合。此外，设备台账管理缺失，设备的型号、安装位置、运行状态、维护记录等关键信息未系统化登记，致使管理混乱，故障排查与更新迭代困难重重。数据孤岛现象严重，各设备产生的数据存储在独立系统中，缺乏共享机制，无法形成有效数据链，难以满足林业资源动态监测、灾害预警、生态分析等业务需求。对物联设备进行统一信息管理，实现物联设备的集中管控、协议标准化、台账数字化及数据共享，降低运维成本、提升设备利用效率，为智慧林业信息化管理提供精准、实时的物联数据支撑，进一步推动林业智能化、精细化管理。</w:t>
            </w:r>
          </w:p>
          <w:p>
            <w:pPr>
              <w:pStyle w:val="null3"/>
              <w:ind w:firstLine="560"/>
              <w:jc w:val="both"/>
            </w:pPr>
            <w:r>
              <w:rPr>
                <w:rFonts w:ascii="仿宋_GB2312" w:hAnsi="仿宋_GB2312" w:cs="仿宋_GB2312" w:eastAsia="仿宋_GB2312"/>
                <w:sz w:val="21"/>
              </w:rPr>
              <w:t>通过调研摸底全省森林草原防火视频、自然保护地中动植物监测视频、红外相机等物联设备，建立标准化的设备台账；升级完善物联感知模块，按照</w:t>
            </w:r>
            <w:r>
              <w:rPr>
                <w:rFonts w:ascii="仿宋_GB2312" w:hAnsi="仿宋_GB2312" w:cs="仿宋_GB2312" w:eastAsia="仿宋_GB2312"/>
                <w:sz w:val="21"/>
              </w:rPr>
              <w:t>“应接尽接”的原则，将具备接入条件的物联感知设备全部接入生态云感知系统（接入梳理不少于800路），实现感知数据汇聚，为全面实现“天空地网”立体监测管理奠定基础。</w:t>
            </w:r>
          </w:p>
          <w:p>
            <w:pPr>
              <w:pStyle w:val="null3"/>
              <w:ind w:firstLine="560"/>
              <w:jc w:val="both"/>
            </w:pPr>
            <w:r>
              <w:rPr>
                <w:rFonts w:ascii="仿宋_GB2312" w:hAnsi="仿宋_GB2312" w:cs="仿宋_GB2312" w:eastAsia="仿宋_GB2312"/>
                <w:sz w:val="21"/>
              </w:rPr>
              <w:t>1.3林草数据梳理编目，秦岭等重点生态区域数据整合及治理</w:t>
            </w:r>
          </w:p>
          <w:p>
            <w:pPr>
              <w:pStyle w:val="null3"/>
              <w:ind w:firstLine="560"/>
              <w:jc w:val="both"/>
            </w:pPr>
            <w:r>
              <w:rPr>
                <w:rFonts w:ascii="仿宋_GB2312" w:hAnsi="仿宋_GB2312" w:cs="仿宋_GB2312" w:eastAsia="仿宋_GB2312"/>
                <w:sz w:val="21"/>
              </w:rPr>
              <w:t>围绕数据数出多门、质量参差不齐、数据准确度不高等问题，开展林业数据整合和融合工作，结合遥感监测、基础调查、三调融合、森林变更清查、生态修复、森林防火、国家公园、自然保护区等专项工作，形成陕西省林业数据目录和</w:t>
            </w:r>
            <w:r>
              <w:rPr>
                <w:rFonts w:ascii="仿宋_GB2312" w:hAnsi="仿宋_GB2312" w:cs="仿宋_GB2312" w:eastAsia="仿宋_GB2312"/>
                <w:sz w:val="21"/>
              </w:rPr>
              <w:t>5类林业数据库。</w:t>
            </w:r>
          </w:p>
          <w:p>
            <w:pPr>
              <w:pStyle w:val="null3"/>
              <w:ind w:firstLine="560"/>
              <w:jc w:val="both"/>
            </w:pPr>
            <w:r>
              <w:rPr>
                <w:rFonts w:ascii="仿宋_GB2312" w:hAnsi="仿宋_GB2312" w:cs="仿宋_GB2312" w:eastAsia="仿宋_GB2312"/>
                <w:sz w:val="21"/>
              </w:rPr>
              <w:t>重点区域数据治理（不少于</w:t>
            </w:r>
            <w:r>
              <w:rPr>
                <w:rFonts w:ascii="仿宋_GB2312" w:hAnsi="仿宋_GB2312" w:cs="仿宋_GB2312" w:eastAsia="仿宋_GB2312"/>
                <w:sz w:val="21"/>
              </w:rPr>
              <w:t>120项数据成果），完成现有林业数据进行质量验证，建设标准化林业综合数据库，实现对林业数据统一管理。内容包括历年林草监测矢量数据、属性数据、样地（样方）数据、样木数据、遥感影像等数据按照行政区、重点区域对林草资源一张图、公益林、自然保护地、古树名木、国土绿化等数据进行整理，形成森林、草原、湿地，分年度、政区形成统计报表、文本成果数据等；以行政区、重点区域为单位按照森林、草原、湿地、荒漠、自然保护地。</w:t>
            </w:r>
          </w:p>
          <w:p>
            <w:pPr>
              <w:pStyle w:val="null3"/>
              <w:ind w:firstLine="560"/>
              <w:jc w:val="both"/>
            </w:pPr>
            <w:r>
              <w:rPr>
                <w:rFonts w:ascii="仿宋_GB2312" w:hAnsi="仿宋_GB2312" w:cs="仿宋_GB2312" w:eastAsia="仿宋_GB2312"/>
                <w:sz w:val="21"/>
                <w:b/>
              </w:rPr>
              <w:t>二、技术要求</w:t>
            </w:r>
          </w:p>
          <w:p>
            <w:pPr>
              <w:pStyle w:val="null3"/>
              <w:ind w:firstLine="560"/>
              <w:jc w:val="both"/>
            </w:pPr>
            <w:r>
              <w:rPr>
                <w:rFonts w:ascii="仿宋_GB2312" w:hAnsi="仿宋_GB2312" w:cs="仿宋_GB2312" w:eastAsia="仿宋_GB2312"/>
                <w:sz w:val="21"/>
              </w:rPr>
              <w:t>2.标准规范编制服务技术要求</w:t>
            </w:r>
          </w:p>
          <w:p>
            <w:pPr>
              <w:pStyle w:val="null3"/>
              <w:ind w:firstLine="560"/>
              <w:jc w:val="both"/>
            </w:pPr>
            <w:r>
              <w:rPr>
                <w:rFonts w:ascii="仿宋_GB2312" w:hAnsi="仿宋_GB2312" w:cs="仿宋_GB2312" w:eastAsia="仿宋_GB2312"/>
                <w:sz w:val="21"/>
              </w:rPr>
              <w:t>2.1标准规范建设原则</w:t>
            </w:r>
          </w:p>
          <w:p>
            <w:pPr>
              <w:pStyle w:val="null3"/>
              <w:ind w:firstLine="560"/>
              <w:jc w:val="both"/>
            </w:pPr>
            <w:r>
              <w:rPr>
                <w:rFonts w:ascii="仿宋_GB2312" w:hAnsi="仿宋_GB2312" w:cs="仿宋_GB2312" w:eastAsia="仿宋_GB2312"/>
                <w:sz w:val="21"/>
              </w:rPr>
              <w:t>标准规范建设总的原则是遵循并充分利用现有标准、规范和管理办法，并结合陕西省生态云感知系统建设实际情况，制定新的标准和规范。在具体制定标准规范时，应遵循以下原则：</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1）系统性原则</w:t>
            </w:r>
          </w:p>
          <w:p>
            <w:pPr>
              <w:pStyle w:val="null3"/>
              <w:ind w:firstLine="560"/>
              <w:jc w:val="both"/>
            </w:pPr>
            <w:r>
              <w:rPr>
                <w:rFonts w:ascii="仿宋_GB2312" w:hAnsi="仿宋_GB2312" w:cs="仿宋_GB2312" w:eastAsia="仿宋_GB2312"/>
                <w:sz w:val="21"/>
              </w:rPr>
              <w:t>在信息化总体标准、基础设施标准、信息资源标准、应用标准、管理标准等各方面制定建设标准，相互协调、紧密联系、相辅相成，以生态云平台建设需求为主导，构成一个有机的整体。</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2）开放性原则</w:t>
            </w:r>
          </w:p>
          <w:p>
            <w:pPr>
              <w:pStyle w:val="null3"/>
              <w:ind w:firstLine="560"/>
              <w:jc w:val="both"/>
            </w:pPr>
            <w:r>
              <w:rPr>
                <w:rFonts w:ascii="仿宋_GB2312" w:hAnsi="仿宋_GB2312" w:cs="仿宋_GB2312" w:eastAsia="仿宋_GB2312"/>
                <w:sz w:val="21"/>
              </w:rPr>
              <w:t>一方面要为林业各部门内部业务提供服务，另一方面还要为相关业务单位提供信息服务。生态空间应用系统之间需要频繁进行数据交换，以及不同空间、非空间数据格式之间的数据转换共享问题，因此机制、规范和标准的制定应具有足够的开放性。</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3）适用性原则</w:t>
            </w:r>
          </w:p>
          <w:p>
            <w:pPr>
              <w:pStyle w:val="null3"/>
              <w:ind w:firstLine="560"/>
              <w:jc w:val="both"/>
            </w:pPr>
            <w:r>
              <w:rPr>
                <w:rFonts w:ascii="仿宋_GB2312" w:hAnsi="仿宋_GB2312" w:cs="仿宋_GB2312" w:eastAsia="仿宋_GB2312"/>
                <w:sz w:val="21"/>
              </w:rPr>
              <w:t>在机制、规范和标准体系设计过程中，还需要比较深入地调研相关应用部门和单位的业务工作流程、技术基础、现有条件、现有数据情况和对平台的需求，确保所制定的标准和管理办法的可行性与适用性。</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4）优先性原则</w:t>
            </w:r>
          </w:p>
          <w:p>
            <w:pPr>
              <w:pStyle w:val="null3"/>
              <w:ind w:firstLine="560"/>
              <w:jc w:val="both"/>
            </w:pPr>
            <w:r>
              <w:rPr>
                <w:rFonts w:ascii="仿宋_GB2312" w:hAnsi="仿宋_GB2312" w:cs="仿宋_GB2312" w:eastAsia="仿宋_GB2312"/>
                <w:sz w:val="21"/>
              </w:rPr>
              <w:t>根据信息化建设需要和应用系统开发的需要，机制、规范和标准的制定遵循优先性原则。优先制定信息化建设中关键性的、重点的、正在建设的以及各建设任务中普遍用到的急需和重点的标准。</w:t>
            </w:r>
          </w:p>
          <w:p>
            <w:pPr>
              <w:pStyle w:val="null3"/>
              <w:ind w:firstLine="560"/>
              <w:jc w:val="both"/>
            </w:pPr>
            <w:r>
              <w:rPr>
                <w:rFonts w:ascii="仿宋_GB2312" w:hAnsi="仿宋_GB2312" w:cs="仿宋_GB2312" w:eastAsia="仿宋_GB2312"/>
                <w:sz w:val="21"/>
              </w:rPr>
              <w:t>2.2标准规范体系技术要求</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1）林草数据分类分级指南</w:t>
            </w:r>
          </w:p>
          <w:p>
            <w:pPr>
              <w:pStyle w:val="null3"/>
              <w:ind w:firstLine="560"/>
              <w:jc w:val="both"/>
            </w:pPr>
            <w:r>
              <w:rPr>
                <w:rFonts w:ascii="仿宋_GB2312" w:hAnsi="仿宋_GB2312" w:cs="仿宋_GB2312" w:eastAsia="仿宋_GB2312"/>
                <w:sz w:val="21"/>
              </w:rPr>
              <w:t>依据《数据分类分级通用要求》《自然资源领域数据安全管理办法》《林草生态网络感知系统数据采集技术要求》等相关规范，制定适合适用于陕西林草行业在调查、监测、管理、共享、开放等活动中，对森林、草原、湿地、荒漠、野生动植物、自然保护地、生态工程、碳汇、遥感、资源经营等全业务域数据的分类分级与目录编制。形成《林草数据分类分级指南》以及配套的规范，为数据治理提供指引。</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2）林草数据管理办法</w:t>
            </w:r>
          </w:p>
          <w:p>
            <w:pPr>
              <w:pStyle w:val="null3"/>
              <w:ind w:firstLine="560"/>
              <w:jc w:val="both"/>
            </w:pPr>
            <w:r>
              <w:rPr>
                <w:rFonts w:ascii="仿宋_GB2312" w:hAnsi="仿宋_GB2312" w:cs="仿宋_GB2312" w:eastAsia="仿宋_GB2312"/>
                <w:sz w:val="21"/>
              </w:rPr>
              <w:t>严格遵循《数据安全法》《网络安全法》及自然资源领域数据安全管理要求，紧密结合林草业务特点，提出覆盖数据采集、传输、存储、处理、共享、销毁全生命周期的林草数据管理办法，规范数据归集、处理、使用等环节。</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3）数据传输建设指南</w:t>
            </w:r>
          </w:p>
          <w:p>
            <w:pPr>
              <w:pStyle w:val="null3"/>
              <w:ind w:firstLine="560"/>
              <w:jc w:val="both"/>
            </w:pPr>
            <w:r>
              <w:rPr>
                <w:rFonts w:ascii="仿宋_GB2312" w:hAnsi="仿宋_GB2312" w:cs="仿宋_GB2312" w:eastAsia="仿宋_GB2312"/>
                <w:sz w:val="21"/>
              </w:rPr>
              <w:t>参考国家《数据安全法》《网络安全法》及行业相关标准的基础上，系统考虑数据采集、传输、处理、存储全链条，采用</w:t>
            </w:r>
            <w:r>
              <w:rPr>
                <w:rFonts w:ascii="仿宋_GB2312" w:hAnsi="仿宋_GB2312" w:cs="仿宋_GB2312" w:eastAsia="仿宋_GB2312"/>
                <w:sz w:val="21"/>
              </w:rPr>
              <w:t>5G、边缘计算等新技术，满足未来3-5年发展需求，分不同的网络环境（互联网、政务外网、专线、无线网络等）、按照不同业务场景（物联网监测、业务系统间交换、实时定位服务等）、数据类型（结构化数据、视频流、遥感影像、时序数据等），规范生态云感知系统数据传输，为生态云感知系统建设提供安全保障。</w:t>
            </w:r>
          </w:p>
          <w:p>
            <w:pPr>
              <w:pStyle w:val="null3"/>
              <w:ind w:firstLine="560"/>
              <w:jc w:val="both"/>
            </w:pPr>
            <w:r>
              <w:rPr>
                <w:rFonts w:ascii="仿宋_GB2312" w:hAnsi="仿宋_GB2312" w:cs="仿宋_GB2312" w:eastAsia="仿宋_GB2312"/>
                <w:sz w:val="21"/>
              </w:rPr>
              <w:t>2.3物联感知设备接入服务技术要求</w:t>
            </w:r>
          </w:p>
          <w:p>
            <w:pPr>
              <w:pStyle w:val="null3"/>
              <w:ind w:firstLine="560"/>
              <w:jc w:val="both"/>
            </w:pPr>
            <w:r>
              <w:rPr>
                <w:rFonts w:ascii="仿宋_GB2312" w:hAnsi="仿宋_GB2312" w:cs="仿宋_GB2312" w:eastAsia="仿宋_GB2312"/>
                <w:sz w:val="21"/>
              </w:rPr>
              <w:t>森林草原防火视频、自然保护地动植物监测视频、红外相机等物联设备分散建设，品牌</w:t>
            </w:r>
            <w:r>
              <w:rPr>
                <w:rFonts w:ascii="仿宋_GB2312" w:hAnsi="仿宋_GB2312" w:cs="仿宋_GB2312" w:eastAsia="仿宋_GB2312"/>
                <w:sz w:val="21"/>
              </w:rPr>
              <w:t>/协议/网络各异，缺乏统一台账，数据孤岛严重，无法形成"天空地网"立体监测能力。</w:t>
            </w:r>
          </w:p>
          <w:p>
            <w:pPr>
              <w:pStyle w:val="null3"/>
              <w:ind w:firstLine="560"/>
              <w:jc w:val="both"/>
            </w:pPr>
            <w:r>
              <w:rPr>
                <w:rFonts w:ascii="仿宋_GB2312" w:hAnsi="仿宋_GB2312" w:cs="仿宋_GB2312" w:eastAsia="仿宋_GB2312"/>
                <w:sz w:val="21"/>
              </w:rPr>
              <w:t>通过系统摸底，查清全省防火视频监控、自然保护地动植物监测视频、红外相机三类设备总量、分布、状态、协议、网络等关键信息，建立形成</w:t>
            </w:r>
            <w:r>
              <w:rPr>
                <w:rFonts w:ascii="仿宋_GB2312" w:hAnsi="仿宋_GB2312" w:cs="仿宋_GB2312" w:eastAsia="仿宋_GB2312"/>
                <w:sz w:val="21"/>
              </w:rPr>
              <w:t>"一机一档"电子台账，实现设备统一编码、GIS落图。</w:t>
            </w:r>
          </w:p>
          <w:p>
            <w:pPr>
              <w:pStyle w:val="null3"/>
              <w:ind w:firstLine="560"/>
              <w:jc w:val="both"/>
            </w:pPr>
            <w:r>
              <w:rPr>
                <w:rFonts w:ascii="仿宋_GB2312" w:hAnsi="仿宋_GB2312" w:cs="仿宋_GB2312" w:eastAsia="仿宋_GB2312"/>
                <w:sz w:val="21"/>
              </w:rPr>
              <w:t>依据调查摸底情况，对现有物联感知模块升级完善，按照</w:t>
            </w:r>
            <w:r>
              <w:rPr>
                <w:rFonts w:ascii="仿宋_GB2312" w:hAnsi="仿宋_GB2312" w:cs="仿宋_GB2312" w:eastAsia="仿宋_GB2312"/>
                <w:sz w:val="21"/>
              </w:rPr>
              <w:t>“应接尽接”的原则，将具备接入条件的物联感知设备全部接入生态云感知系统，实现感知数据汇聚，为防火指挥调度、重点区域人类活动智能监管奠定基础。</w:t>
            </w:r>
          </w:p>
          <w:p>
            <w:pPr>
              <w:pStyle w:val="null3"/>
              <w:ind w:firstLine="560"/>
              <w:jc w:val="both"/>
            </w:pPr>
            <w:r>
              <w:rPr>
                <w:rFonts w:ascii="仿宋_GB2312" w:hAnsi="仿宋_GB2312" w:cs="仿宋_GB2312" w:eastAsia="仿宋_GB2312"/>
                <w:sz w:val="21"/>
              </w:rPr>
              <w:t>2.4重点区域数据治理服务技术要求</w:t>
            </w:r>
          </w:p>
          <w:p>
            <w:pPr>
              <w:pStyle w:val="null3"/>
              <w:ind w:firstLine="560"/>
              <w:jc w:val="both"/>
            </w:pPr>
            <w:r>
              <w:rPr>
                <w:rFonts w:ascii="仿宋_GB2312" w:hAnsi="仿宋_GB2312" w:cs="仿宋_GB2312" w:eastAsia="仿宋_GB2312"/>
                <w:sz w:val="21"/>
              </w:rPr>
              <w:t>开展重点区域数据治理，遵循分层治理架构，规划构建原始库、基础库、主题库、专题库、归档数据库五大核心数据库：原始库实时汇聚多源异构林业数据，基础库通过标准化清洗形成规范数据集，主题库按生态保护、资源监管等业务主题重构数据体系，专题库聚焦森林防火、物种监测等专项场景构建高颗粒度数据立方体，归档数据库实现历史数据分级存储管理。</w:t>
            </w:r>
          </w:p>
          <w:p>
            <w:pPr>
              <w:pStyle w:val="null3"/>
              <w:ind w:firstLine="560"/>
              <w:jc w:val="both"/>
            </w:pPr>
            <w:r>
              <w:rPr>
                <w:rFonts w:ascii="仿宋_GB2312" w:hAnsi="仿宋_GB2312" w:cs="仿宋_GB2312" w:eastAsia="仿宋_GB2312"/>
                <w:sz w:val="21"/>
              </w:rPr>
              <w:t>建设林草数据仓，以支持林业数据资源的科学管理、决策支持及信息共享，包含原始库、基础库、主题库、专题库和归档库。</w:t>
            </w:r>
          </w:p>
          <w:p>
            <w:pPr>
              <w:pStyle w:val="null3"/>
              <w:ind w:firstLine="560"/>
              <w:jc w:val="both"/>
            </w:pPr>
            <w:r>
              <w:rPr>
                <w:rFonts w:ascii="仿宋_GB2312" w:hAnsi="仿宋_GB2312" w:cs="仿宋_GB2312" w:eastAsia="仿宋_GB2312"/>
                <w:sz w:val="21"/>
              </w:rPr>
              <w:t>(1)原始库。原始数据库存储未经加工的原始数据，保持数据的原始性和完整性，是基础地理空间数据支撑数据。主要来自林业监测设备、野外调查记录、卫星遥感影像、林业相关业务系统（如森林资源管理系统、林业病虫害防治系统等）的原始数据，以其原始格式如文本、图像、表格等存储。</w:t>
            </w:r>
          </w:p>
          <w:p>
            <w:pPr>
              <w:pStyle w:val="null3"/>
              <w:ind w:firstLine="560"/>
              <w:jc w:val="both"/>
            </w:pPr>
            <w:r>
              <w:rPr>
                <w:rFonts w:ascii="仿宋_GB2312" w:hAnsi="仿宋_GB2312" w:cs="仿宋_GB2312" w:eastAsia="仿宋_GB2312"/>
                <w:sz w:val="21"/>
              </w:rPr>
              <w:t>(2)基础库。对原始数据进行整理、清洗、标准化处理后形成的高质量数据集，作为核心的数据资产，形成基础库。该库承载着林业核心业务及应用的基础信息数据，为整个林业数据体系提供支撑。基础库数据包括地理信息数据、林草湿基础数据、管理界线数据等。</w:t>
            </w:r>
          </w:p>
          <w:p>
            <w:pPr>
              <w:pStyle w:val="null3"/>
              <w:ind w:firstLine="560"/>
              <w:jc w:val="both"/>
            </w:pPr>
            <w:r>
              <w:rPr>
                <w:rFonts w:ascii="仿宋_GB2312" w:hAnsi="仿宋_GB2312" w:cs="仿宋_GB2312" w:eastAsia="仿宋_GB2312"/>
                <w:sz w:val="21"/>
              </w:rPr>
              <w:t>(3)主题库。围绕林业用地相关主题构建，整合林地、草地、湿地等资源数据，形成林业主题库。</w:t>
            </w:r>
          </w:p>
          <w:p>
            <w:pPr>
              <w:pStyle w:val="null3"/>
              <w:ind w:firstLine="560"/>
              <w:jc w:val="both"/>
            </w:pPr>
            <w:r>
              <w:rPr>
                <w:rFonts w:ascii="仿宋_GB2312" w:hAnsi="仿宋_GB2312" w:cs="仿宋_GB2312" w:eastAsia="仿宋_GB2312"/>
                <w:sz w:val="21"/>
              </w:rPr>
              <w:t>(4)专题库。专题库是面向林业专项业务、特定场景的融合数据池。包含森林防火、国土绿化、林长制、林业产业、碳汇计量、有害生物等专题内容。</w:t>
            </w:r>
          </w:p>
          <w:p>
            <w:pPr>
              <w:pStyle w:val="null3"/>
              <w:ind w:firstLine="560"/>
              <w:jc w:val="both"/>
            </w:pPr>
            <w:r>
              <w:rPr>
                <w:rFonts w:ascii="仿宋_GB2312" w:hAnsi="仿宋_GB2312" w:cs="仿宋_GB2312" w:eastAsia="仿宋_GB2312"/>
                <w:sz w:val="21"/>
              </w:rPr>
              <w:t>(5)归档库。归档库是存储具有长期保存价值的业务原始记录。</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标的名称：数据处理工具开发技术服务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rPr>
              <w:t xml:space="preserve">            一、建设任务</w:t>
            </w:r>
          </w:p>
          <w:p>
            <w:pPr>
              <w:pStyle w:val="null3"/>
              <w:jc w:val="left"/>
            </w:pPr>
            <w:r>
              <w:rPr>
                <w:rFonts w:ascii="仿宋_GB2312" w:hAnsi="仿宋_GB2312" w:cs="仿宋_GB2312" w:eastAsia="仿宋_GB2312"/>
                <w:sz w:val="21"/>
                <w:b/>
              </w:rPr>
              <w:t xml:space="preserve">       </w:t>
            </w:r>
            <w:r>
              <w:rPr>
                <w:rFonts w:ascii="仿宋_GB2312" w:hAnsi="仿宋_GB2312" w:cs="仿宋_GB2312" w:eastAsia="仿宋_GB2312"/>
                <w:sz w:val="21"/>
              </w:rPr>
              <w:t xml:space="preserve">    </w:t>
            </w:r>
            <w:r>
              <w:rPr>
                <w:rFonts w:ascii="仿宋_GB2312" w:hAnsi="仿宋_GB2312" w:cs="仿宋_GB2312" w:eastAsia="仿宋_GB2312"/>
                <w:sz w:val="21"/>
              </w:rPr>
              <w:t>1.数据处理工具开发技术服务</w:t>
            </w:r>
          </w:p>
          <w:p>
            <w:pPr>
              <w:pStyle w:val="null3"/>
              <w:ind w:firstLine="560"/>
              <w:jc w:val="both"/>
            </w:pPr>
            <w:r>
              <w:rPr>
                <w:rFonts w:ascii="仿宋_GB2312" w:hAnsi="仿宋_GB2312" w:cs="仿宋_GB2312" w:eastAsia="仿宋_GB2312"/>
                <w:sz w:val="21"/>
              </w:rPr>
              <w:t>目前林业数据管理存在数出多门、质量参差不齐、历年数据标准不一等问题，现有管理模式以传统文件存储于计算机硬盘，结合表格索引成果目录信息，缺乏统一标准与规范，致使林业专题数据检索、统计效率低下，历年数据目录化管理、综合监测数据子表提取、管理单元数据裁切统计等工作难以高效开展。</w:t>
            </w:r>
          </w:p>
          <w:p>
            <w:pPr>
              <w:pStyle w:val="null3"/>
              <w:ind w:firstLine="560"/>
              <w:jc w:val="both"/>
            </w:pPr>
            <w:r>
              <w:rPr>
                <w:rFonts w:ascii="仿宋_GB2312" w:hAnsi="仿宋_GB2312" w:cs="仿宋_GB2312" w:eastAsia="仿宋_GB2312"/>
                <w:sz w:val="21"/>
              </w:rPr>
              <w:t>研发数据治理工具，构建统一数据管理平台，实现多源异构矢量数据的标准化入库、集中存储和智能目录管理，支持空间数据库建设与元数据规范管理，对全省各类林草资源数据进行统一存储和管理，建立标准化的林业综合数据库；定制开发通用数据处理分析软件，内置立木材积模型、蓄积等模型，实现数据从质检入库、查询、统计分析以及专题图制作等业务自动化，提升数据分析支撑能力。</w:t>
            </w:r>
          </w:p>
          <w:p>
            <w:pPr>
              <w:pStyle w:val="null3"/>
              <w:ind w:firstLine="560"/>
              <w:jc w:val="both"/>
            </w:pPr>
            <w:r>
              <w:rPr>
                <w:rFonts w:ascii="仿宋_GB2312" w:hAnsi="仿宋_GB2312" w:cs="仿宋_GB2312" w:eastAsia="仿宋_GB2312"/>
                <w:sz w:val="21"/>
                <w:b/>
              </w:rPr>
              <w:t>二、技术要求</w:t>
            </w:r>
          </w:p>
          <w:p>
            <w:pPr>
              <w:pStyle w:val="null3"/>
              <w:ind w:firstLine="560"/>
              <w:jc w:val="both"/>
            </w:pPr>
            <w:r>
              <w:rPr>
                <w:rFonts w:ascii="仿宋_GB2312" w:hAnsi="仿宋_GB2312" w:cs="仿宋_GB2312" w:eastAsia="仿宋_GB2312"/>
                <w:sz w:val="21"/>
              </w:rPr>
              <w:t>2.数据处理工具开发技术要求</w:t>
            </w:r>
          </w:p>
          <w:p>
            <w:pPr>
              <w:pStyle w:val="null3"/>
              <w:ind w:firstLine="560"/>
              <w:jc w:val="both"/>
            </w:pPr>
            <w:r>
              <w:rPr>
                <w:rFonts w:ascii="仿宋_GB2312" w:hAnsi="仿宋_GB2312" w:cs="仿宋_GB2312" w:eastAsia="仿宋_GB2312"/>
                <w:sz w:val="21"/>
              </w:rPr>
              <w:t>开发数据治理工具，主要包含数据管理、数据分析、数据质检、数据统计以及定制专题业务分析等功能模块。</w:t>
            </w:r>
          </w:p>
          <w:p>
            <w:pPr>
              <w:pStyle w:val="null3"/>
              <w:ind w:firstLine="560"/>
              <w:jc w:val="both"/>
            </w:pPr>
            <w:r>
              <w:rPr>
                <w:rFonts w:ascii="仿宋_GB2312" w:hAnsi="仿宋_GB2312" w:cs="仿宋_GB2312" w:eastAsia="仿宋_GB2312"/>
                <w:sz w:val="21"/>
              </w:rPr>
              <w:t>数据治理工具软件管理的对象主要是林业资源调查等相关林业专题数据成果资源。采用地理信息与空间数据库引擎技术，实现空间数据的转换和读取，数据库技术组件遵循OpenGIS的规范，能够提供空间对象、空间索引、空间操作函数和空间操作符等空间信息服务功能。针对复杂的空间拓扑关系校验与质量检查场景，实现快速数据检索与响应，确保系统在处理省级林业调查数据时的高性能与高可用性。数据分析与统计模块应集成林业专业模型库，支持森林蓄积量等计算，并提供灵活的报表定制。数据质检模块需实现从“语法正确”到“语义合规”的质检，提供自动推导并验证调查因子间的逻辑约束关系能力。定制专题业务分析模块应结合特定应用场景，提供流程化分析功能，自动标记问题、生成标准化的审核报告；支持用户通过拖拽式配置统计报表；能实现针对特定场景、特定区域的分析模型，满足数据分析的差异化需求。</w:t>
            </w:r>
          </w:p>
          <w:p>
            <w:pPr>
              <w:pStyle w:val="null3"/>
              <w:ind w:firstLine="560"/>
              <w:jc w:val="both"/>
            </w:pPr>
            <w:r>
              <w:rPr>
                <w:rFonts w:ascii="仿宋_GB2312" w:hAnsi="仿宋_GB2312" w:cs="仿宋_GB2312" w:eastAsia="仿宋_GB2312"/>
                <w:sz w:val="21"/>
              </w:rPr>
              <w:t>数据处理工具开发需严格遵循需求调研、数据收集、需求分析、系统设计、开发、测试、部署、试运行和最终验收交付的标准流程。在系统设计阶段，必须采用原型法进行功能与界面设计，通过多轮用户反馈实现快速迭代优化，确保系统功能与林业实际业务场景的高度契合。数据库设计与系统架构方案注重高性能、高可维护性，确保能够满足需求，具备较强的扩展性、兼容性及安全性。</w:t>
            </w:r>
          </w:p>
          <w:p>
            <w:pPr>
              <w:pStyle w:val="null3"/>
              <w:ind w:firstLine="560"/>
              <w:jc w:val="both"/>
            </w:pPr>
            <w:r>
              <w:rPr>
                <w:rFonts w:ascii="仿宋_GB2312" w:hAnsi="仿宋_GB2312" w:cs="仿宋_GB2312" w:eastAsia="仿宋_GB2312"/>
                <w:sz w:val="21"/>
              </w:rPr>
              <w:t>最终验收交付提供完整的技术文档、操作手册及培训服务，确保用户能够独立、高效地使用系统，实现林业资源数据治理能力的全面提升。</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需满足采购文件要求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需满足采购文件要求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需满足采购文件要求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需满足采购文件要求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合同签订后至2026年11月30日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合同签订后至2026年11月30日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进度款，验收合格后，达到付款条件起10个工作日内，支付合同总金额的40.0%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进度款，验收合格后，达到付款条件起10个工作日内，支付合同总金额的40.0%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代理服务费账户： 采购代理机构开户名称: 陕西至诚项目管理集团有限公司； 开户行名称：中国建设银行股份有限公司 西安高新技术产业开发区支行； 账号：61050192090000002152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法定代表人直接参加的，须提供法定代表人身份证明；法定代表人授权代表参加的，须提供法定代表人授权委托书；</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提供磋商截止日前近一年内至少一个月的纳税证明或完税证明，依法免税的单位应提供相关证明材料；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提供磋商截止日前近一年内至少一个月的社会保障资金缴存单据或社保机构开具的社会保险参保缴费情况证明，依法不需要缴纳社会保障资金的单位应提供相关证明材料；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供应商信用记录书面声明函</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 “重大税收违法案件当事人”名单；不处于“中国政府采购网”记录的“政府采购严重违法失信行为信息记录名单”中的禁止参加政府采购活动期间；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直接控股和管理关系清单</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本项目不接受联合体磋商（提供承诺书）。</w:t>
            </w:r>
          </w:p>
        </w:tc>
        <w:tc>
          <w:tcPr>
            <w:tcW w:type="dxa" w:w="1661"/>
          </w:tcPr>
          <w:p>
            <w:pPr>
              <w:pStyle w:val="null3"/>
            </w:pPr>
            <w:r>
              <w:rPr>
                <w:rFonts w:ascii="仿宋_GB2312" w:hAnsi="仿宋_GB2312" w:cs="仿宋_GB2312" w:eastAsia="仿宋_GB2312"/>
              </w:rPr>
              <w:t>1特定资格证明文件.docx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法定代表人直接参加的，须提供法定代表人身份证明；法定代表人授权代表参加的，须提供法定代表人授权委托书；</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提供磋商截止日前近一年内至少一个月的纳税证明或完税证明，依法免税的单位应提供相关证明材料；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提供磋商截止日前近一年内至少一个月的社会保障资金缴存单据或社保机构开具的社会保险参保缴费情况证明，依法不需要缴纳社会保障资金的单位应提供相关证明材料；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供应商信用记录书面声明函</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 “重大税收违法案件当事人”名单；不处于“中国政府采购网”记录的“政府采购严重违法失信行为信息记录名单”中的禁止参加政府采购活动期间；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直接控股和管理关系清单</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本项目不接受联合体磋商（提供承诺书）。</w:t>
            </w:r>
          </w:p>
        </w:tc>
        <w:tc>
          <w:tcPr>
            <w:tcW w:type="dxa" w:w="1661"/>
          </w:tcPr>
          <w:p>
            <w:pPr>
              <w:pStyle w:val="null3"/>
            </w:pPr>
            <w:r>
              <w:rPr>
                <w:rFonts w:ascii="仿宋_GB2312" w:hAnsi="仿宋_GB2312" w:cs="仿宋_GB2312" w:eastAsia="仿宋_GB2312"/>
              </w:rPr>
              <w:t>1特定资格证明文件.docx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中小企业声明函 2陕西省政府采购供应商拒绝政府采购领域商业贿赂承诺书.docx 商务应答表 供应商应提交的相关资格证明材料 服务内容及服务要求应答表 报价表 1特定资格证明文件.docx 响应文件封面 残疾人福利性单位声明函 3类似项目业绩.docx 6分项报价表.docx 服务方案 4服务要求及商务要求偏离表.docx 标的清单 5其他.docx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竞争性磋商响应文件的完整性</w:t>
            </w:r>
          </w:p>
        </w:tc>
        <w:tc>
          <w:tcPr>
            <w:tcW w:type="dxa" w:w="3322"/>
          </w:tcPr>
          <w:p>
            <w:pPr>
              <w:pStyle w:val="null3"/>
            </w:pPr>
            <w:r>
              <w:rPr>
                <w:rFonts w:ascii="仿宋_GB2312" w:hAnsi="仿宋_GB2312" w:cs="仿宋_GB2312" w:eastAsia="仿宋_GB2312"/>
              </w:rPr>
              <w:t>竞争性磋商响应文件构成是否有重大缺项，是否按照竞争性磋商文件要求的格式编写竞争性磋商响应文件。</w:t>
            </w:r>
          </w:p>
        </w:tc>
        <w:tc>
          <w:tcPr>
            <w:tcW w:type="dxa" w:w="1661"/>
          </w:tcPr>
          <w:p>
            <w:pPr>
              <w:pStyle w:val="null3"/>
            </w:pPr>
            <w:r>
              <w:rPr>
                <w:rFonts w:ascii="仿宋_GB2312" w:hAnsi="仿宋_GB2312" w:cs="仿宋_GB2312" w:eastAsia="仿宋_GB2312"/>
              </w:rPr>
              <w:t>中小企业声明函 2陕西省政府采购供应商拒绝政府采购领域商业贿赂承诺书.docx 商务应答表 供应商应提交的相关资格证明材料 服务内容及服务要求应答表 1特定资格证明文件.docx 响应文件封面 残疾人福利性单位声明函 3类似项目业绩.docx 6分项报价表.docx 服务方案 4服务要求及商务要求偏离表.docx 标的清单 5其他.docx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竞争性磋商响应文件的有效性</w:t>
            </w:r>
          </w:p>
        </w:tc>
        <w:tc>
          <w:tcPr>
            <w:tcW w:type="dxa" w:w="3322"/>
          </w:tcPr>
          <w:p>
            <w:pPr>
              <w:pStyle w:val="null3"/>
            </w:pPr>
            <w:r>
              <w:rPr>
                <w:rFonts w:ascii="仿宋_GB2312" w:hAnsi="仿宋_GB2312" w:cs="仿宋_GB2312" w:eastAsia="仿宋_GB2312"/>
              </w:rPr>
              <w:t>竞争性磋商响应文件的签署、加盖印章是否合格、有效；提供的各种证明文件、数据、资料是否真实、有效。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中小企业声明函 2陕西省政府采购供应商拒绝政府采购领域商业贿赂承诺书.docx 商务应答表 供应商应提交的相关资格证明材料 服务内容及服务要求应答表 1特定资格证明文件.docx 响应文件封面 残疾人福利性单位声明函 3类似项目业绩.docx 6分项报价表.docx 服务方案 4服务要求及商务要求偏离表.docx 标的清单 5其他.docx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竞争性磋商响应文件的响应性</w:t>
            </w:r>
          </w:p>
        </w:tc>
        <w:tc>
          <w:tcPr>
            <w:tcW w:type="dxa" w:w="3322"/>
          </w:tcPr>
          <w:p>
            <w:pPr>
              <w:pStyle w:val="null3"/>
            </w:pPr>
            <w:r>
              <w:rPr>
                <w:rFonts w:ascii="仿宋_GB2312" w:hAnsi="仿宋_GB2312" w:cs="仿宋_GB2312" w:eastAsia="仿宋_GB2312"/>
              </w:rPr>
              <w:t>磋商有效期是否符合竞争性磋商文件要求；是否满足本次磋商的特殊要求；磋商方案是否有重大缺漏项；磋商服务的技术规格是否有重大偏离；磋商商务响应条款是否有重大偏离；对合同中规定的双方的权利和义务是否做出了实质性修改。</w:t>
            </w:r>
          </w:p>
        </w:tc>
        <w:tc>
          <w:tcPr>
            <w:tcW w:type="dxa" w:w="1661"/>
          </w:tcPr>
          <w:p>
            <w:pPr>
              <w:pStyle w:val="null3"/>
            </w:pPr>
            <w:r>
              <w:rPr>
                <w:rFonts w:ascii="仿宋_GB2312" w:hAnsi="仿宋_GB2312" w:cs="仿宋_GB2312" w:eastAsia="仿宋_GB2312"/>
              </w:rPr>
              <w:t>中小企业声明函 2陕西省政府采购供应商拒绝政府采购领域商业贿赂承诺书.docx 商务应答表 供应商应提交的相关资格证明材料 服务内容及服务要求应答表 1特定资格证明文件.docx 响应文件封面 残疾人福利性单位声明函 3类似项目业绩.docx 6分项报价表.docx 服务方案 4服务要求及商务要求偏离表.docx 标的清单 5其他.docx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2陕西省政府采购供应商拒绝政府采购领域商业贿赂承诺书.docx 中小企业声明函 商务应答表 供应商应提交的相关资格证明材料 服务内容及服务要求应答表 报价表 1特定资格证明文件.docx 响应文件封面 3类似项目业绩.docx 6分项报价表.docx 残疾人福利性单位声明函 4服务要求及商务要求偏离表.docx 服务方案 标的清单 5其他.docx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竞争性磋商响应文件的完整性</w:t>
            </w:r>
          </w:p>
        </w:tc>
        <w:tc>
          <w:tcPr>
            <w:tcW w:type="dxa" w:w="3322"/>
          </w:tcPr>
          <w:p>
            <w:pPr>
              <w:pStyle w:val="null3"/>
            </w:pPr>
            <w:r>
              <w:rPr>
                <w:rFonts w:ascii="仿宋_GB2312" w:hAnsi="仿宋_GB2312" w:cs="仿宋_GB2312" w:eastAsia="仿宋_GB2312"/>
              </w:rPr>
              <w:t>竞争性磋商响应文件构成是否有重大缺项，是否按照竞争性磋商文件要求的格式编写竞争性磋商响应文件。</w:t>
            </w:r>
          </w:p>
        </w:tc>
        <w:tc>
          <w:tcPr>
            <w:tcW w:type="dxa" w:w="1661"/>
          </w:tcPr>
          <w:p>
            <w:pPr>
              <w:pStyle w:val="null3"/>
            </w:pPr>
            <w:r>
              <w:rPr>
                <w:rFonts w:ascii="仿宋_GB2312" w:hAnsi="仿宋_GB2312" w:cs="仿宋_GB2312" w:eastAsia="仿宋_GB2312"/>
              </w:rPr>
              <w:t>2陕西省政府采购供应商拒绝政府采购领域商业贿赂承诺书.docx 中小企业声明函 商务应答表 供应商应提交的相关资格证明材料 服务内容及服务要求应答表 1特定资格证明文件.docx 响应文件封面 3类似项目业绩.docx 6分项报价表.docx 残疾人福利性单位声明函 4服务要求及商务要求偏离表.docx 服务方案 标的清单 5其他.docx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竞争性磋商响应文件的有效性</w:t>
            </w:r>
          </w:p>
        </w:tc>
        <w:tc>
          <w:tcPr>
            <w:tcW w:type="dxa" w:w="3322"/>
          </w:tcPr>
          <w:p>
            <w:pPr>
              <w:pStyle w:val="null3"/>
            </w:pPr>
            <w:r>
              <w:rPr>
                <w:rFonts w:ascii="仿宋_GB2312" w:hAnsi="仿宋_GB2312" w:cs="仿宋_GB2312" w:eastAsia="仿宋_GB2312"/>
              </w:rPr>
              <w:t>竞争性磋商响应文件的签署、加盖印章是否合格、有效；提供的各种证明文件、数据、资料是否真实、有效。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中小企业声明函 2陕西省政府采购供应商拒绝政府采购领域商业贿赂承诺书.docx 商务应答表 供应商应提交的相关资格证明材料 服务内容及服务要求应答表 1特定资格证明文件.docx 响应文件封面 残疾人福利性单位声明函 3类似项目业绩.docx 6分项报价表.docx 服务方案 4服务要求及商务要求偏离表.docx 标的清单 5其他.docx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竞争性磋商响应文件的响应性</w:t>
            </w:r>
          </w:p>
        </w:tc>
        <w:tc>
          <w:tcPr>
            <w:tcW w:type="dxa" w:w="3322"/>
          </w:tcPr>
          <w:p>
            <w:pPr>
              <w:pStyle w:val="null3"/>
            </w:pPr>
            <w:r>
              <w:rPr>
                <w:rFonts w:ascii="仿宋_GB2312" w:hAnsi="仿宋_GB2312" w:cs="仿宋_GB2312" w:eastAsia="仿宋_GB2312"/>
              </w:rPr>
              <w:t>磋商有效期是否符合竞争性磋商文件要求；是否满足本次磋商的特殊要求；磋商方案是否有重大缺漏项；磋商服务的技术规格是否有重大偏离；磋商商务响应条款是否有重大偏离；对合同中规定的双方的权利和义务是否做出了实质性修改。</w:t>
            </w:r>
          </w:p>
        </w:tc>
        <w:tc>
          <w:tcPr>
            <w:tcW w:type="dxa" w:w="1661"/>
          </w:tcPr>
          <w:p>
            <w:pPr>
              <w:pStyle w:val="null3"/>
            </w:pPr>
            <w:r>
              <w:rPr>
                <w:rFonts w:ascii="仿宋_GB2312" w:hAnsi="仿宋_GB2312" w:cs="仿宋_GB2312" w:eastAsia="仿宋_GB2312"/>
              </w:rPr>
              <w:t>中小企业声明函 2陕西省政府采购供应商拒绝政府采购领域商业贿赂承诺书.docx 商务应答表 供应商应提交的相关资格证明材料 服务内容及服务要求应答表 1特定资格证明文件.docx 响应文件封面 残疾人福利性单位声明函 3类似项目业绩.docx 6分项报价表.docx 服务方案 4服务要求及商务要求偏离表.docx 标的清单 5其他.docx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针对本项目提出适用于本项目的实施方案，方案包括： ①需求分析；②重点、难点分析并给出相应的解决方案； ③总体建设目标及功能设计方案；④技术架构；⑤数据资源库管理服务。 二、评审标准 1、完整性：方案必须全面，对评审内容中的各项要求有详细描述； 2、可实施性：切合本项目实际情况，提出步骤清晰、合理的方案； 3、针对性：方案能够紧扣项目实际情况，内容科学合理。 三、赋分标准（满分15分） ①需求分析：每完全满足一个评审标准得1分，满分3分； ②重点、难点分析并给出相应的解决方案：每完全满足一个评审标准得1分，满分3分； ③总体建设目标及功能设计方案：每完全满足一个评审标准得1分，满分3分； ④技术架构：每完全满足一个评审标准得1分，满分3分； ⑤数据资源库管理服务：每完全满足一个评审标准得1分，满分3分；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一、评审内容 针对采购需求提出适用于本项目的项目理解方案，方案包括：①项目概述；②服务目标、服务范围；③采购人的义务及配合条件。 二、评审标准 1、完整性：方案必须全面，对评审内容中的各项要求有详细描述； 2、可实施性：切合本项目实际情况，提出步骤清晰、合理的方案； 3、针对性：方案能够紧扣项目实际情况，内容科学合理。 三、赋分标准（满分9分） ①项目概述：每完全满足一个评审标准得1分，满分3分； ②服务目标、服务范围：每完全满足一个评审标准得1分，满分3分； ③采购人的义务及配合条件：每完全满足一个评审标准得1分，满分3分。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项目进度及保障措施</w:t>
            </w:r>
          </w:p>
        </w:tc>
        <w:tc>
          <w:tcPr>
            <w:tcW w:type="dxa" w:w="2492"/>
          </w:tcPr>
          <w:p>
            <w:pPr>
              <w:pStyle w:val="null3"/>
            </w:pPr>
            <w:r>
              <w:rPr>
                <w:rFonts w:ascii="仿宋_GB2312" w:hAnsi="仿宋_GB2312" w:cs="仿宋_GB2312" w:eastAsia="仿宋_GB2312"/>
              </w:rPr>
              <w:t>一、评审内容 针对采购需求提出适用于本项目的项目进度及保障措施，方案包括：①项目进度安排；②质量保障措施；③项目验收计划。 二、评审标准 1、完整性：方案必须全面，对评审内容中的各项要求有详细描述； 2、可实施性：切合本项目实际情况，提出步骤清晰、合理的方案； 3、针对性：方案能够紧扣项目实际情况，内容科学合理。 三、赋分标准（满分9分） ①项目进度安排：每完全满足一个评审标准得1分，满分3分； ②质量保障措施：每完全满足一个评审标准得1分，满分3分； ③项目验收计划：每完全满足一个评审标准得1分，满分3分。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针对采购需求提出适用于本项目的应急处理方案，方案包括：①项目实施过程中故障处置应对方案；②应急响应应对方案； 二、评审标准 1、完整性：方案必须全面，对评审内容中的各项要求有详细描述； 2、可实施性：切合本项目实际情况，提出步骤清晰、合理的方案； 3、针对性：方案能够紧扣项目实际情况，内容科学合理。 三、赋分标准（满分6分） ①项目实施过程中故障处置应对方案：每完全满足一个评审标准得1分，满分3分； ②应急响应应对方案：每完全满足一个评审标准得1分，满分3分。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针对本项⽬，每提供⼀条有利于项⽬实施的合理化建议得2分，满分6分。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针对本项⽬提供： ①服务的响应时间承诺； ②所提供服务的重点及难点解决措施承诺； ③服务质量承诺； 每提供1个承诺得3分，满分9分。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1、项目负责人具有正高级职称的得2分； 2、技术负责人同时具有高级以上职称和注册测绘师证书的得2分； 3、其他人员（负责人除外）具有高级以上职称的，每4个得1分，最高得4分。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1、供应商提供针对本项目的培训计划得2分；2、供应商提供针对本项目的培训内容得2分；3、供应商提供针对本项目的培训方式得2分。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1、供应商同时具备质量管理体系认证证书、信息技术服务管理体系认证证书、信息安全管理体系认证证书的得2分； 2、供应商具备数据治理相关专利和计算机软件著作权的，每1个得0.5分，最高得2分。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提供2023年1月1日至今类似本项目业绩证明，每提供一份得2分，最高得8分。（业绩证明材料以合同复印件或中标通知书加盖公章为准）。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评标基准价=满足磋商文件要求且最低的评标价格 合格供应商的有效价格得分=（评标基准价/评标价格)×20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针对本项目提出适用于本项目的实施方案，方案包括： ①需求分析；②重点、难点分析并给出相应的解决方案； ③总体建设目标及功能设计方案；④技术架构；⑤数据资源库管理服务。 二、评审标准 1、完整性：方案必须全面，对评审内容中的各项要求有详细描述； 2、可实施性：切合本项目实际情况，提出步骤清晰、合理的方案； 3、针对性：方案能够紧扣项目实际情况，内容科学合理。 三、赋分标准（满分15分）①需求分析：每完全满足一个评审标准得1分，满分3分； ②重点、难点分析并给出相应的解决方案：每完全满足一个评审标准得1分，满分3分； ③总体建设目标及功能设计方案：每完全满足一个评审标准得1分，满分3分；④技术架构：每完全满足一个评审标准得1分，满分3分； ⑤数据资源库管理服务：每完全满足一个评审标准得1分，满分3分；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一、评审内容 针对采购需求提出适用于本项目的项目理解方案，方案包括：①项目概述；②服务目标、服务范围；③采购人的义务及配合条件。 二、评审标准 1、完整性：方案必须全面，对评审内容中的各项要求有详细描述； 2、可实施性：切合本项目实际情况，提出步骤清晰、合理的方案； 3、针对性：方案能够紧扣项目实际情况，内容科学合理。 三、赋分标准（满分9分） ①项目概述：每完全满足一个评审标准得1分，满分3分； ②服务目标、服务范围：每完全满足一个评审标准得1分，满分3分； ③采购人的义务及配合条件：每完全满足一个评审标准得1分，满分3分。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项目进度及保障措施</w:t>
            </w:r>
          </w:p>
        </w:tc>
        <w:tc>
          <w:tcPr>
            <w:tcW w:type="dxa" w:w="2492"/>
          </w:tcPr>
          <w:p>
            <w:pPr>
              <w:pStyle w:val="null3"/>
            </w:pPr>
            <w:r>
              <w:rPr>
                <w:rFonts w:ascii="仿宋_GB2312" w:hAnsi="仿宋_GB2312" w:cs="仿宋_GB2312" w:eastAsia="仿宋_GB2312"/>
              </w:rPr>
              <w:t>一、评审内容 针对采购需求提出适用于本项目的项目进度及保障措施，方案包括：①项目进度安排；②质量保障措施；③项目验收计划。 二、评审标准 1、完整性：方案必须全面，对评审内容中的各项要求有详细描述； 2、可实施性：切合本项目实际情况，提出步骤清晰、合理的方案； 3、针对性：方案能够紧扣项目实际情况，内容科学合理。 三、赋分标准（满分9分） ①项目进度安排：每完全满足一个评审标准得1分，满分3分； ②质量保障措施：每完全满足一个评审标准得1分，满分3分； ③项目验收计划：每完全满足一个评审标准得1分，满分3分。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针对采购需求提出适用于本项目的应急处理方案，方案包括：①项目实施过程中故障处置应对方案；②应急响应应对方案； 二、评审标准 1、完整性：方案必须全面，对评审内容中的各项要求有详细描述； 2、可实施性：切合本项目实际情况，提出步骤清晰、合理的方案； 3、针对性：方案能够紧扣项目实际情况，内容科学合理。 三、赋分标准（满分6分） ①项目实施过程中故障处置应对方案：每完全满足一个评审标准得1分，满分3分； ②应急响应应对方案：每完全满足一个评审标准得1分，满分3分。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针对本项⽬，每提供⼀条有利于项⽬实施的合理化建议得2分，满分6分。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针对本项⽬提供： ①服务的响应时间承诺； ②所提供服务的重点及难点解决措施承诺； ③服务质量承诺； 每提供1个承诺得3分，满分9分。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1、项目负责人具有中级职称得2分，具有高级职称得4分；2、项目团队人员具有信息系统管理师、注册数据安全治理专业人员、数据库管理工程师，每提供1个证明得1分，共计4分。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1、供应商提供针对本项目的培训计划得2分；2、供应商提供针对本项目的培训内容得2分；3、供应商提供针对本项目的培训方式得2分。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提供2023年1月1日至今类似本项目业绩证明，每提供一份得3分，最高得12分。（业绩证明材料以合同复印件或中标通知书加盖公章为准）。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评标基准价=满足磋商文件要求且最低的评标价格 合格供应商的有效价格得分=（评标基准价/评标价格)×20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详见附件：1特定资格证明文件.docx</w:t>
      </w:r>
    </w:p>
    <w:p>
      <w:pPr>
        <w:pStyle w:val="null3"/>
        <w:ind w:firstLine="960"/>
      </w:pPr>
      <w:r>
        <w:rPr>
          <w:rFonts w:ascii="仿宋_GB2312" w:hAnsi="仿宋_GB2312" w:cs="仿宋_GB2312" w:eastAsia="仿宋_GB2312"/>
        </w:rPr>
        <w:t>详见附件：2陕西省政府采购供应商拒绝政府采购领域商业贿赂承诺书.docx</w:t>
      </w:r>
    </w:p>
    <w:p>
      <w:pPr>
        <w:pStyle w:val="null3"/>
        <w:ind w:firstLine="960"/>
      </w:pPr>
      <w:r>
        <w:rPr>
          <w:rFonts w:ascii="仿宋_GB2312" w:hAnsi="仿宋_GB2312" w:cs="仿宋_GB2312" w:eastAsia="仿宋_GB2312"/>
        </w:rPr>
        <w:t>详见附件：3类似项目业绩.docx</w:t>
      </w:r>
    </w:p>
    <w:p>
      <w:pPr>
        <w:pStyle w:val="null3"/>
        <w:ind w:firstLine="960"/>
      </w:pPr>
      <w:r>
        <w:rPr>
          <w:rFonts w:ascii="仿宋_GB2312" w:hAnsi="仿宋_GB2312" w:cs="仿宋_GB2312" w:eastAsia="仿宋_GB2312"/>
        </w:rPr>
        <w:t>详见附件：4服务要求及商务要求偏离表.docx</w:t>
      </w:r>
    </w:p>
    <w:p>
      <w:pPr>
        <w:pStyle w:val="null3"/>
        <w:ind w:firstLine="960"/>
      </w:pPr>
      <w:r>
        <w:rPr>
          <w:rFonts w:ascii="仿宋_GB2312" w:hAnsi="仿宋_GB2312" w:cs="仿宋_GB2312" w:eastAsia="仿宋_GB2312"/>
        </w:rPr>
        <w:t>详见附件：5其他.docx</w:t>
      </w:r>
    </w:p>
    <w:p>
      <w:pPr>
        <w:pStyle w:val="null3"/>
        <w:ind w:firstLine="960"/>
      </w:pPr>
      <w:r>
        <w:rPr>
          <w:rFonts w:ascii="仿宋_GB2312" w:hAnsi="仿宋_GB2312" w:cs="仿宋_GB2312" w:eastAsia="仿宋_GB2312"/>
        </w:rPr>
        <w:t>详见附件：6分项报价表.docx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详见附件：1特定资格证明文件.docx</w:t>
      </w:r>
    </w:p>
    <w:p>
      <w:pPr>
        <w:pStyle w:val="null3"/>
        <w:ind w:firstLine="960"/>
      </w:pPr>
      <w:r>
        <w:rPr>
          <w:rFonts w:ascii="仿宋_GB2312" w:hAnsi="仿宋_GB2312" w:cs="仿宋_GB2312" w:eastAsia="仿宋_GB2312"/>
        </w:rPr>
        <w:t>详见附件：2陕西省政府采购供应商拒绝政府采购领域商业贿赂承诺书.docx</w:t>
      </w:r>
    </w:p>
    <w:p>
      <w:pPr>
        <w:pStyle w:val="null3"/>
        <w:ind w:firstLine="960"/>
      </w:pPr>
      <w:r>
        <w:rPr>
          <w:rFonts w:ascii="仿宋_GB2312" w:hAnsi="仿宋_GB2312" w:cs="仿宋_GB2312" w:eastAsia="仿宋_GB2312"/>
        </w:rPr>
        <w:t>详见附件：3类似项目业绩.docx</w:t>
      </w:r>
    </w:p>
    <w:p>
      <w:pPr>
        <w:pStyle w:val="null3"/>
        <w:ind w:firstLine="960"/>
      </w:pPr>
      <w:r>
        <w:rPr>
          <w:rFonts w:ascii="仿宋_GB2312" w:hAnsi="仿宋_GB2312" w:cs="仿宋_GB2312" w:eastAsia="仿宋_GB2312"/>
        </w:rPr>
        <w:t>详见附件：4服务要求及商务要求偏离表.docx</w:t>
      </w:r>
    </w:p>
    <w:p>
      <w:pPr>
        <w:pStyle w:val="null3"/>
        <w:ind w:firstLine="960"/>
      </w:pPr>
      <w:r>
        <w:rPr>
          <w:rFonts w:ascii="仿宋_GB2312" w:hAnsi="仿宋_GB2312" w:cs="仿宋_GB2312" w:eastAsia="仿宋_GB2312"/>
        </w:rPr>
        <w:t>详见附件：5其他.docx</w:t>
      </w:r>
    </w:p>
    <w:p>
      <w:pPr>
        <w:pStyle w:val="null3"/>
        <w:ind w:firstLine="960"/>
      </w:pPr>
      <w:r>
        <w:rPr>
          <w:rFonts w:ascii="仿宋_GB2312" w:hAnsi="仿宋_GB2312" w:cs="仿宋_GB2312" w:eastAsia="仿宋_GB2312"/>
        </w:rPr>
        <w:t>详见附件：6分项报价表.docx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