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版本号：HZJ2026-CS-00420260709001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南郊中学1-3号教学楼提升改造工程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HZJ2026-CS-004</w:t>
      </w:r>
      <w:r>
        <w:br/>
      </w:r>
      <w:r>
        <w:br/>
      </w:r>
      <w:r>
        <w:br/>
      </w:r>
    </w:p>
    <w:p>
      <w:pPr>
        <w:pStyle w:val="null3"/>
        <w:jc w:val="center"/>
        <w:outlineLvl w:val="2"/>
      </w:pPr>
      <w:r>
        <w:rPr>
          <w:rFonts w:ascii="仿宋_GB2312" w:hAnsi="仿宋_GB2312" w:cs="仿宋_GB2312" w:eastAsia="仿宋_GB2312"/>
          <w:sz w:val="28"/>
          <w:b/>
        </w:rPr>
        <w:t>三原县南郊中学</w:t>
      </w:r>
    </w:p>
    <w:p>
      <w:pPr>
        <w:pStyle w:val="null3"/>
        <w:jc w:val="center"/>
        <w:outlineLvl w:val="2"/>
      </w:pPr>
      <w:r>
        <w:rPr>
          <w:rFonts w:ascii="仿宋_GB2312" w:hAnsi="仿宋_GB2312" w:cs="仿宋_GB2312" w:eastAsia="仿宋_GB2312"/>
          <w:sz w:val="28"/>
          <w:b/>
        </w:rPr>
        <w:t>华智建项目管理有限公司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华智建项目管理有限公司</w:t>
      </w:r>
      <w:r>
        <w:rPr>
          <w:rFonts w:ascii="仿宋_GB2312" w:hAnsi="仿宋_GB2312" w:cs="仿宋_GB2312" w:eastAsia="仿宋_GB2312"/>
        </w:rPr>
        <w:t>（以下简称“代理机构”）受</w:t>
      </w:r>
      <w:r>
        <w:rPr>
          <w:rFonts w:ascii="仿宋_GB2312" w:hAnsi="仿宋_GB2312" w:cs="仿宋_GB2312" w:eastAsia="仿宋_GB2312"/>
        </w:rPr>
        <w:t>三原县南郊中学</w:t>
      </w:r>
      <w:r>
        <w:rPr>
          <w:rFonts w:ascii="仿宋_GB2312" w:hAnsi="仿宋_GB2312" w:cs="仿宋_GB2312" w:eastAsia="仿宋_GB2312"/>
        </w:rPr>
        <w:t>委托，拟对</w:t>
      </w:r>
      <w:r>
        <w:rPr>
          <w:rFonts w:ascii="仿宋_GB2312" w:hAnsi="仿宋_GB2312" w:cs="仿宋_GB2312" w:eastAsia="仿宋_GB2312"/>
        </w:rPr>
        <w:t>南郊中学1-3号教学楼提升改造工程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HZJ2026-CS-004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南郊中学1-3号教学楼提升改造工程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本项目为三原县南郊中学 1 -3 号教学楼整体改造提升工程，内容涵盖门窗拆换、内外墙翻新、地面铺装、走廊吊顶、讲台重做、栏杆改造、灯具安装，配套施工防护、垃圾清运及开荒保洁等全套装饰装修施工，配套完整安全文明施工等各类措施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采购包1（三原县南郊中学 1-3 号教学楼提升改造工程）：属于专门面向中小企业采购。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1、响应主体：独立承担民事责任的法人或其他组织有效的营业执照（或统一社会信用代码的营业执照）等相应证明文件，自然人的提供身份证明文件；</w:t>
      </w:r>
    </w:p>
    <w:p>
      <w:pPr>
        <w:pStyle w:val="null3"/>
      </w:pPr>
      <w:r>
        <w:rPr>
          <w:rFonts w:ascii="仿宋_GB2312" w:hAnsi="仿宋_GB2312" w:cs="仿宋_GB2312" w:eastAsia="仿宋_GB2312"/>
        </w:rPr>
        <w:t>2、法定代表人授权委托书：法定代表人或负责人参加投标时，提供本人身份证，并与营业执照中法定代表人或负责人信息相符；授权代表参加投标时，提供授权书和被授权人身份证；</w:t>
      </w:r>
    </w:p>
    <w:p>
      <w:pPr>
        <w:pStyle w:val="null3"/>
      </w:pPr>
      <w:r>
        <w:rPr>
          <w:rFonts w:ascii="仿宋_GB2312" w:hAnsi="仿宋_GB2312" w:cs="仿宋_GB2312" w:eastAsia="仿宋_GB2312"/>
        </w:rPr>
        <w:t>3、财务状况报告：提供2024年度或2025年度经审计的财务报告（成立时间至提交响应文件截止时间不足一年的可提供成立后任意时段的资产负债表），或其开标前三个月内银行出具的资信证明，（以上两种形式的资料提供任何一种即可）</w:t>
      </w:r>
    </w:p>
    <w:p>
      <w:pPr>
        <w:pStyle w:val="null3"/>
      </w:pPr>
      <w:r>
        <w:rPr>
          <w:rFonts w:ascii="仿宋_GB2312" w:hAnsi="仿宋_GB2312" w:cs="仿宋_GB2312" w:eastAsia="仿宋_GB2312"/>
        </w:rPr>
        <w:t>4、税收缴纳证明：提供开标截止时间前6个月内任意1个月的完税证明，完税证明上应有代收机构或税务机关的公章或业务专用章。依法免税或新成立的供应商应提供相关文件证明</w:t>
      </w:r>
    </w:p>
    <w:p>
      <w:pPr>
        <w:pStyle w:val="null3"/>
      </w:pPr>
      <w:r>
        <w:rPr>
          <w:rFonts w:ascii="仿宋_GB2312" w:hAnsi="仿宋_GB2312" w:cs="仿宋_GB2312" w:eastAsia="仿宋_GB2312"/>
        </w:rPr>
        <w:t>5、社会保障资金缴纳证明：提供开标截止时间前6个月内任意1个月的社会保障资金缴存单据或社保机构开具的社会保险参保缴费情况证明，单据或证明上应有社保机构或代收机构的公章或业务专用章。依法不需要缴纳社会保障资金或新成立的供应商应提供相关文件证明</w:t>
      </w:r>
    </w:p>
    <w:p>
      <w:pPr>
        <w:pStyle w:val="null3"/>
      </w:pPr>
      <w:r>
        <w:rPr>
          <w:rFonts w:ascii="仿宋_GB2312" w:hAnsi="仿宋_GB2312" w:cs="仿宋_GB2312" w:eastAsia="仿宋_GB2312"/>
        </w:rPr>
        <w:t>6、信用中国：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7、非联合体声明：本项目不接受联合体投标，单位负责人为同一人或者存在直接控股、管理关系的不同投标人，不得参加同一合同项下的政府采购活动（提供非联合体投标声明，包括控股管理声明）</w:t>
      </w:r>
    </w:p>
    <w:p>
      <w:pPr>
        <w:pStyle w:val="null3"/>
      </w:pPr>
      <w:r>
        <w:rPr>
          <w:rFonts w:ascii="仿宋_GB2312" w:hAnsi="仿宋_GB2312" w:cs="仿宋_GB2312" w:eastAsia="仿宋_GB2312"/>
        </w:rPr>
        <w:t>8、重大违法声明：供应商参加采购活动近3年内经营活动中没有重大违法记录声明，以及未被列入失信被执行人、重大税收违法失信主体、政府采购严重违法失信行为记录名单的书面声明</w:t>
      </w:r>
    </w:p>
    <w:p>
      <w:pPr>
        <w:pStyle w:val="null3"/>
      </w:pPr>
      <w:r>
        <w:rPr>
          <w:rFonts w:ascii="仿宋_GB2312" w:hAnsi="仿宋_GB2312" w:cs="仿宋_GB2312" w:eastAsia="仿宋_GB2312"/>
        </w:rPr>
        <w:t>9、专业技术能力声明：提供具有履行本合同所必需的设备和专业技术能力的声明；</w:t>
      </w:r>
    </w:p>
    <w:p>
      <w:pPr>
        <w:pStyle w:val="null3"/>
      </w:pPr>
      <w:r>
        <w:rPr>
          <w:rFonts w:ascii="仿宋_GB2312" w:hAnsi="仿宋_GB2312" w:cs="仿宋_GB2312" w:eastAsia="仿宋_GB2312"/>
        </w:rPr>
        <w:t>10、公司资质：供应商具备建设行政主管部门颁发的建筑工程施工总承包三级(含三级)或建筑装修装饰工程专业承包二级(含二级)及以上资质并具有有效的安全生产许可证</w:t>
      </w:r>
    </w:p>
    <w:p>
      <w:pPr>
        <w:pStyle w:val="null3"/>
      </w:pPr>
      <w:r>
        <w:rPr>
          <w:rFonts w:ascii="仿宋_GB2312" w:hAnsi="仿宋_GB2312" w:cs="仿宋_GB2312" w:eastAsia="仿宋_GB2312"/>
        </w:rPr>
        <w:t>11、项目负责人：拟派往项目负责人须具备建筑工程专业二级及以上注册建造师执业资格，并持有有效的安全生产考核合格证书(B证)，且未担任其他在建工程项目的项目经理。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三原县南郊中学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三原县南环路东段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13991022668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华智建项目管理有限公司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陕西省西安市莲湖区陕西省西安市莲湖区丰庆路48号1幢308室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13325304067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采购包1：2,974,064.28元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代理服务费收费标准：国家计委《关于印发〈招标代理服务收费管理暂行办法〉的通知》（计价格〔2002〕1980号）及国家发展改革委办公厅《关于招标代理服务收费有关问题的通知》（发改办价格〔2003〕857号）</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三原县南郊中学</w:t>
      </w:r>
      <w:r>
        <w:rPr>
          <w:rFonts w:ascii="仿宋_GB2312" w:hAnsi="仿宋_GB2312" w:cs="仿宋_GB2312" w:eastAsia="仿宋_GB2312"/>
        </w:rPr>
        <w:t>和</w:t>
      </w:r>
      <w:r>
        <w:rPr>
          <w:rFonts w:ascii="仿宋_GB2312" w:hAnsi="仿宋_GB2312" w:cs="仿宋_GB2312" w:eastAsia="仿宋_GB2312"/>
        </w:rPr>
        <w:t>华智建项目管理有限公司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三原县南郊中学</w:t>
      </w:r>
      <w:r>
        <w:rPr>
          <w:rFonts w:ascii="仿宋_GB2312" w:hAnsi="仿宋_GB2312" w:cs="仿宋_GB2312" w:eastAsia="仿宋_GB2312"/>
        </w:rPr>
        <w:t>负责解释。除上述磋商文件内容，其他内容由</w:t>
      </w:r>
      <w:r>
        <w:rPr>
          <w:rFonts w:ascii="仿宋_GB2312" w:hAnsi="仿宋_GB2312" w:cs="仿宋_GB2312" w:eastAsia="仿宋_GB2312"/>
        </w:rPr>
        <w:t>华智建项目管理有限公司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三原县南郊中学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华智建项目管理有限公司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知识产权归采购方所有，双方共同承担保密义务</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符合国家相关标准及采购文件要求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联系人：吴工</w:t>
      </w:r>
    </w:p>
    <w:p>
      <w:pPr>
        <w:pStyle w:val="null3"/>
      </w:pPr>
      <w:r>
        <w:rPr>
          <w:rFonts w:ascii="仿宋_GB2312" w:hAnsi="仿宋_GB2312" w:cs="仿宋_GB2312" w:eastAsia="仿宋_GB2312"/>
        </w:rPr>
        <w:t>联系电话：13325304067</w:t>
      </w:r>
    </w:p>
    <w:p>
      <w:pPr>
        <w:pStyle w:val="null3"/>
      </w:pPr>
      <w:r>
        <w:rPr>
          <w:rFonts w:ascii="仿宋_GB2312" w:hAnsi="仿宋_GB2312" w:cs="仿宋_GB2312" w:eastAsia="仿宋_GB2312"/>
        </w:rPr>
        <w:t>地址：陕西省西安市莲湖区陕西省西安市莲湖区丰庆路48号1幢308室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2,974,064.28</w:t>
      </w:r>
    </w:p>
    <w:p>
      <w:pPr>
        <w:pStyle w:val="null3"/>
      </w:pPr>
      <w:r>
        <w:rPr>
          <w:rFonts w:ascii="仿宋_GB2312" w:hAnsi="仿宋_GB2312" w:cs="仿宋_GB2312" w:eastAsia="仿宋_GB2312"/>
        </w:rPr>
        <w:t>采购包最高限价（元）: 2,974,064.28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三原县南郊中学 1-3 号教学楼提升改造工程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2,974,064.28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标的名称：三原县南郊中学 1-3 号教学楼提升改造工程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门窗系统：采用专用教室制式钢制门与双层钢化玻璃断桥铝推拉窗，配套同材质五金构件，安装完成后整体密封、抗形变，适配校园教室常规洞口，拆除与安装工序同步包含基层清理、废渣场内转运及缝隙密封打胶处理。</w:t>
            </w:r>
          </w:p>
          <w:p>
            <w:pPr>
              <w:pStyle w:val="null3"/>
            </w:pPr>
            <w:r>
              <w:rPr>
                <w:rFonts w:ascii="仿宋_GB2312" w:hAnsi="仿宋_GB2312" w:cs="仿宋_GB2312" w:eastAsia="仿宋_GB2312"/>
              </w:rPr>
              <w:t>2、墙面涂装与饰面板：室内采用无机涂料喷涂工艺，基层涂刷界面剂搭配抗裂砂浆找平；走廊、室内墙裙分别铺设同色系防火装饰板材，以木工板为基层固定，外墙采用仿砖质感真石漆，面层耐候、抗污、不易起皮脱落。</w:t>
            </w:r>
          </w:p>
          <w:p>
            <w:pPr>
              <w:pStyle w:val="null3"/>
            </w:pPr>
            <w:r>
              <w:rPr>
                <w:rFonts w:ascii="仿宋_GB2312" w:hAnsi="仿宋_GB2312" w:cs="仿宋_GB2312" w:eastAsia="仿宋_GB2312"/>
              </w:rPr>
              <w:t>3、地面铺装体系：基层经自流平修补找平后铺设石塑地板，走廊区域施工仿水磨石耐磨涂料面层，配套金属拉丝踢脚线与专用铝合金收口线条，整体防滑耐磨，适配教室高频通行场景。</w:t>
            </w:r>
          </w:p>
          <w:p>
            <w:pPr>
              <w:pStyle w:val="null3"/>
            </w:pPr>
            <w:r>
              <w:rPr>
                <w:rFonts w:ascii="仿宋_GB2312" w:hAnsi="仿宋_GB2312" w:cs="仿宋_GB2312" w:eastAsia="仿宋_GB2312"/>
              </w:rPr>
              <w:t>4、吊顶及配套构造：走廊采用铝方通吊顶搭配金属方管焊接骨架，吊顶侧边定制板材封堵收口，所有吊顶构件完整完成基层清理、吊杆固定、龙骨铺设与面层封板全套工序。</w:t>
            </w:r>
          </w:p>
          <w:p>
            <w:pPr>
              <w:pStyle w:val="null3"/>
            </w:pPr>
            <w:r>
              <w:rPr>
                <w:rFonts w:ascii="仿宋_GB2312" w:hAnsi="仿宋_GB2312" w:cs="仿宋_GB2312" w:eastAsia="仿宋_GB2312"/>
              </w:rPr>
              <w:t>5、栏杆、讲台及附属构件：原有钢质栏杆现场焊接加高并整体刷漆翻新，配套栏杆基层抹灰维修；原有讲台拆除重做防腐木架空讲台，所有金属构件防锈防腐处理，结构稳固符合校园安全标准。</w:t>
            </w:r>
          </w:p>
          <w:p>
            <w:pPr>
              <w:pStyle w:val="null3"/>
            </w:pPr>
            <w:r>
              <w:rPr>
                <w:rFonts w:ascii="仿宋_GB2312" w:hAnsi="仿宋_GB2312" w:cs="仿宋_GB2312" w:eastAsia="仿宋_GB2312"/>
              </w:rPr>
              <w:t>6、施工配套保障要求：施工前对室内灯具、监控、教学设施全覆盖防尘防护，拆除建筑垃圾统一装袋外运，完工后开展全屋开荒保洁；配套完整安全文明、冬雨季、夜间施工等标准化措施保障施工质量。</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符合国家技术规范标准要求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已标价工程量清单 项目管理机构组成表 报价函 技术服务合同条款及其他商务要求应答表 供应商应提交的相关资格证明材料 标的清单 供应商类似项目业绩一览表 响应函 主要人员简历表 服务方案.docx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独立承担民事责任的法人或其他组织有效的营业执照（或统一社会信用代码的营业执照）等相应证明文件，自然人的提供身份证明文件；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法定代表人或负责人参加投标时，提供本人身份证，并与营业执照中法定代表人或负责人信息相符；授权代表参加投标时，提供授权书和被授权人身份证；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其开标前三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提供开标截止时间前6个月内任意1个月的完税证明，完税证明上应有代收机构或税务机关的公章或业务专用章。依法免税或新成立的供应商应提供相关文件证明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6个月内任意1个月的社会保障资金缴存单据或社保机构开具的社会保险参保缴费情况证明，单据或证明上应有社保机构或代收机构的公章或业务专用章。依法不需要缴纳社会保障资金或新成立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本项目不接受联合体投标，单位负责人为同一人或者存在直接控股、管理关系的不同投标人，不得参加同一合同项下的政府采购活动（提供非联合体投标声明，包括控股管理声明）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重大违法声明</w:t>
            </w:r>
          </w:p>
        </w:tc>
        <w:tc>
          <w:tcPr>
            <w:tcW w:type="dxa" w:w="3322"/>
          </w:tcPr>
          <w:p>
            <w:pPr>
              <w:pStyle w:val="null3"/>
            </w:pPr>
            <w:r>
              <w:rPr>
                <w:rFonts w:ascii="仿宋_GB2312" w:hAnsi="仿宋_GB2312" w:cs="仿宋_GB2312" w:eastAsia="仿宋_GB2312"/>
              </w:rPr>
              <w:t>供应商参加采购活动近3年内经营活动中没有重大违法记录声明，以及未被列入失信被执行人、重大税收违法失信主体、政府采购严重违法失信行为记录名单的书面声明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公司资质</w:t>
            </w:r>
          </w:p>
        </w:tc>
        <w:tc>
          <w:tcPr>
            <w:tcW w:type="dxa" w:w="3322"/>
          </w:tcPr>
          <w:p>
            <w:pPr>
              <w:pStyle w:val="null3"/>
            </w:pPr>
            <w:r>
              <w:rPr>
                <w:rFonts w:ascii="仿宋_GB2312" w:hAnsi="仿宋_GB2312" w:cs="仿宋_GB2312" w:eastAsia="仿宋_GB2312"/>
              </w:rPr>
              <w:t>供应商具备建设行政主管部门颁发的建筑工程施工总承包三级(含三级)或建筑装修装饰工程专业承包二级(含二级)及以上资质并具有有效的安全生产许可证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拟派往项目负责人须具备建筑工程专业二级及以上注册建造师执业资格，并持有有效的安全生产考核合格证书(B证)，且未担任其他在建工程项目的项目经理。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已标价工程量清单 项目管理机构组成表 报价函 技术服务合同条款及其他商务要求应答表 供应商应提交的相关资格证明材料 标的清单 供应商类似项目业绩一览表 响应函 主要人员简历表 服务方案.docx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w:t>
            </w:r>
          </w:p>
        </w:tc>
        <w:tc>
          <w:tcPr>
            <w:tcW w:type="dxa" w:w="3322"/>
          </w:tcPr>
          <w:p>
            <w:pPr>
              <w:pStyle w:val="null3"/>
            </w:pPr>
            <w:r>
              <w:rPr>
                <w:rFonts w:ascii="仿宋_GB2312" w:hAnsi="仿宋_GB2312" w:cs="仿宋_GB2312" w:eastAsia="仿宋_GB2312"/>
              </w:rPr>
              <w:t>针对同一项目提交两份或多份内容不同的响应文件，未书面声明哪一份是有效的或出现选择性报价的</w:t>
            </w:r>
          </w:p>
        </w:tc>
        <w:tc>
          <w:tcPr>
            <w:tcW w:type="dxa" w:w="1661"/>
          </w:tcPr>
          <w:p>
            <w:pPr>
              <w:pStyle w:val="null3"/>
            </w:pPr>
            <w:r>
              <w:rPr>
                <w:rFonts w:ascii="仿宋_GB2312" w:hAnsi="仿宋_GB2312" w:cs="仿宋_GB2312" w:eastAsia="仿宋_GB2312"/>
              </w:rPr>
              <w:t>响应文件封面 已标价工程量清单 项目管理机构组成表 报价函 技术服务合同条款及其他商务要求应答表 供应商应提交的相关资格证明材料 标的清单 供应商类似项目业绩一览表 响应函 主要人员简历表 服务方案.docx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限价</w:t>
            </w:r>
          </w:p>
        </w:tc>
        <w:tc>
          <w:tcPr>
            <w:tcW w:type="dxa" w:w="3322"/>
          </w:tcPr>
          <w:p>
            <w:pPr>
              <w:pStyle w:val="null3"/>
            </w:pPr>
            <w:r>
              <w:rPr>
                <w:rFonts w:ascii="仿宋_GB2312" w:hAnsi="仿宋_GB2312" w:cs="仿宋_GB2312" w:eastAsia="仿宋_GB2312"/>
              </w:rPr>
              <w:t>报价不超过采购预算/限价</w:t>
            </w:r>
          </w:p>
        </w:tc>
        <w:tc>
          <w:tcPr>
            <w:tcW w:type="dxa" w:w="1661"/>
          </w:tcPr>
          <w:p>
            <w:pPr>
              <w:pStyle w:val="null3"/>
            </w:pPr>
            <w:r>
              <w:rPr>
                <w:rFonts w:ascii="仿宋_GB2312" w:hAnsi="仿宋_GB2312" w:cs="仿宋_GB2312" w:eastAsia="仿宋_GB2312"/>
              </w:rPr>
              <w:t>响应文件封面 已标价工程量清单 项目管理机构组成表 报价函 技术服务合同条款及其他商务要求应答表 供应商应提交的相关资格证明材料 标的清单 供应商类似项目业绩一览表 响应函 主要人员简历表 服务方案.docx 强制优先采购产品承诺函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有效期不符合招标文件的要求</w:t>
            </w:r>
          </w:p>
        </w:tc>
        <w:tc>
          <w:tcPr>
            <w:tcW w:type="dxa" w:w="1661"/>
          </w:tcPr>
          <w:p>
            <w:pPr>
              <w:pStyle w:val="null3"/>
            </w:pPr>
            <w:r>
              <w:rPr>
                <w:rFonts w:ascii="仿宋_GB2312" w:hAnsi="仿宋_GB2312" w:cs="仿宋_GB2312" w:eastAsia="仿宋_GB2312"/>
              </w:rPr>
              <w:t>响应文件封面 已标价工程量清单 项目管理机构组成表 报价函 技术服务合同条款及其他商务要求应答表 供应商应提交的相关资格证明材料 标的清单 供应商类似项目业绩一览表 响应函 主要人员简历表 服务方案.docx 强制优先采购产品承诺函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法律、法规规定的其他情形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服务方案.docx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针对本项目提供的项目施工方案，内容包括但不限于①前期筹备全面部署②施工流程科学规划及成本控制精准高③安全管理全程覆盖 ④工程质量保证措施⑤施工机械设备配备⑥劳动力计划及主要材料供应计划计划效评审标准：方案内容详细完整、针对性强、可行性高，符合项目实际要求。每项满分2分，缺项不得分，每项内容存在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材料进场及现场仓储保障措施</w:t>
            </w:r>
          </w:p>
        </w:tc>
        <w:tc>
          <w:tcPr>
            <w:tcW w:type="dxa" w:w="2492"/>
          </w:tcPr>
          <w:p>
            <w:pPr>
              <w:pStyle w:val="null3"/>
            </w:pPr>
            <w:r>
              <w:rPr>
                <w:rFonts w:ascii="仿宋_GB2312" w:hAnsi="仿宋_GB2312" w:cs="仿宋_GB2312" w:eastAsia="仿宋_GB2312"/>
              </w:rPr>
              <w:t>针对本项目材料进场及现场仓储保障措施，内容包括但不限于①材料进场验收管控②现场分区规范仓储③材料领用与周转管理等评审标准：方案内容详细完整、针对性强、可行性高，符合项目实际要求。每项满分2分，缺项不得分，每项内容存在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针对本项目提供的项目管理机构及项目经理部组成，内容包括但不限于①项目管理机构②项目经理部组成③专业化项目经理部组建原则评审标准：方案内容详细完整、针对性强、可行性高，符合项目实际要求。每项满分2分，缺项不得分，每项内容存在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确保安全生产的技术组织措施及应急预案</w:t>
            </w:r>
          </w:p>
        </w:tc>
        <w:tc>
          <w:tcPr>
            <w:tcW w:type="dxa" w:w="2492"/>
          </w:tcPr>
          <w:p>
            <w:pPr>
              <w:pStyle w:val="null3"/>
            </w:pPr>
            <w:r>
              <w:rPr>
                <w:rFonts w:ascii="仿宋_GB2312" w:hAnsi="仿宋_GB2312" w:cs="仿宋_GB2312" w:eastAsia="仿宋_GB2312"/>
              </w:rPr>
              <w:t>针对本项目确保安全生产的技术组织措施及应急预案，内容包括但不限于①确保安全生产的技术组织措施②应急预案③危险源分级管控与技术防护体系④安全防护与文明施工措施⑤多场景应急处置预案与演练机制评审标准：方案内容详细完整、针对性强、可行性高，符合项目实际要求。每项满分2分，缺项不得分，每项内容存在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针对本项目确保文明施工的技术措施及环境保护措施，内容包括但不限于①确保文明施工的技术措施②环境保护措施③施工区域标准化封闭管理措施④精细化扬尘与噪音防控技术方案⑤施工废弃物分类处理与资源化利用措施评审标准：方案内容详细完整、针对性强、可行性高，符合项目实际要求。每项满分2分，缺项不得分，每项内容存在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针对本项目施工进度计划及确保工期的技术措施，内容包括但不限于①施工进度计划②确保工期的技术措施③分阶段精细化施工进度计划编制评审标准：方案内容详细完整、针对性强、可行性高，符合项目实际要求。每项满分2分，缺项不得分，每项内容存在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垃圾清运方案</w:t>
            </w:r>
          </w:p>
        </w:tc>
        <w:tc>
          <w:tcPr>
            <w:tcW w:type="dxa" w:w="2492"/>
          </w:tcPr>
          <w:p>
            <w:pPr>
              <w:pStyle w:val="null3"/>
            </w:pPr>
            <w:r>
              <w:rPr>
                <w:rFonts w:ascii="仿宋_GB2312" w:hAnsi="仿宋_GB2312" w:cs="仿宋_GB2312" w:eastAsia="仿宋_GB2312"/>
              </w:rPr>
              <w:t>针对本项目垃圾清运方案，内容包括但不限于①清运管控与环境防护措施②垃圾清运方案 评审标准：方案内容详细完整、针对性强、可行性高，符合项目实际要求。每项满分2分，缺项不得分，每项内容存在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针对本项目服务承诺，内容包括但不限于①服务过程中的相关承诺②投入材料质量承诺③质量保修期内的服务承诺④合理化建议 评审标准：方案内容详细完整、针对性强、可行性高，符合项目实际要求。每项满分2分，缺项不得分，每项内容存在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公司业绩</w:t>
            </w:r>
          </w:p>
        </w:tc>
        <w:tc>
          <w:tcPr>
            <w:tcW w:type="dxa" w:w="2492"/>
          </w:tcPr>
          <w:p>
            <w:pPr>
              <w:pStyle w:val="null3"/>
            </w:pPr>
            <w:r>
              <w:rPr>
                <w:rFonts w:ascii="仿宋_GB2312" w:hAnsi="仿宋_GB2312" w:cs="仿宋_GB2312" w:eastAsia="仿宋_GB2312"/>
              </w:rPr>
              <w:t>供应商自2023 年 1月至今具有类似项目业绩 ，每提供一份合同得2分，共计8分。（注：业绩以中标通知书或合同为准，时间以中标通知书发出时间或合同签订时间为准。）。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