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版本号：HXGJXM2026-ZC-GK101120260507001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液相法碳化硅晶体制备系统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HXGJXM2026-ZC-GK1011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液相法碳化硅晶体制备系统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液相法碳化硅晶体制备系统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液相法碳化硅晶体制备系统，分为两个采购包，采购包1为CVD 外延炉采购，采购包2为液相法碳化硅晶体生长炉及籽晶压接机采购。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投标截止日前一年内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投标截止日前一年内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采购包1：630,000.00元</w:t>
            </w:r>
          </w:p>
          <w:p>
            <w:pPr>
              <w:pStyle w:val="null3"/>
            </w:pPr>
            <w:r>
              <w:rPr>
                <w:rFonts w:ascii="仿宋_GB2312" w:hAnsi="仿宋_GB2312" w:cs="仿宋_GB2312" w:eastAsia="仿宋_GB2312"/>
              </w:rPr>
              <w:t>采购包2：1,570,000.00元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开户名称：华夏国际项目管理（西安）有限公司(转账时备注项目编号+采购包1/2)</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代理服务费收费标准：1.代理服务费由中标单位支付，采购预算在80万元（不含）以下，向中标人定额收取8000元。 2.采购预算在80万元（含）以上400万元（不含）以下，参照《招标代理服务收费暂行办法》（计价格[2002]1980号）文件规定收费标准下浮20%向中标人收。 3.成交单位在领取成交通知书前,须向采购代理机构一次性支付招标代理服务费。 4.招标代理服务费由中标供应商支付,在领取《中标通知书》前,由中标供应商一次性支付给华夏国际项目管理有限公司。 招标代理服务费缴纳账户: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（1）乙方负责安装调试，甲方提供必要的工作条件。 （2）甲方对乙方所交产品依照国家有关技术标准和三方确认的技术标准进行现场验收，甲方作为列席人全程参与。性能达到技术要求的，验收通过；验收不合格的，限期整改；整改仍达不到要求的，作退货处理。 （3）如因产品的质量问题发生争议，由甲方属地技术质量监督部门进行质量鉴定；产品不符合质量标准的，鉴定费由乙方承担。 （4）产品知识产权要求：产品为原制造商制造的全新产品，整体无污染，无侵权。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采购包2： （1）乙方负责安装调试，甲方提供必要的工作条件。 （2）甲方对乙方所交产品依照国家有关技术标准和三方确认的技术标准进行现场验收，甲方作为列席人全程参与。性能达到技术要求的，验收通过；验收不合格的，限期整改；整改仍达不到要求的，作退货处理。 （3）如因产品的质量问题发生争议，由甲方属地技术质量监督部门进行质量鉴定；产品不符合质量标准的，鉴定费由乙方承担。 （4）产品知识产权要求：产品为原制造商制造的全新产品，整体无污染，无侵权。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联系人：王攀宏、康敏茹、张宝育、张艳萍</w:t>
      </w:r>
    </w:p>
    <w:p>
      <w:pPr>
        <w:pStyle w:val="null3"/>
      </w:pPr>
      <w:r>
        <w:rPr>
          <w:rFonts w:ascii="仿宋_GB2312" w:hAnsi="仿宋_GB2312" w:cs="仿宋_GB2312" w:eastAsia="仿宋_GB2312"/>
        </w:rPr>
        <w:t>联系电话：029-88899970/72/73/75-802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液相法碳化硅晶体制备系统，分为两个采购包，采购包</w:t>
      </w:r>
      <w:r>
        <w:rPr>
          <w:rFonts w:ascii="仿宋_GB2312" w:hAnsi="仿宋_GB2312" w:cs="仿宋_GB2312" w:eastAsia="仿宋_GB2312"/>
          <w:sz w:val="21"/>
        </w:rPr>
        <w:t>1为CVD 外延炉采购，采购包2为液相法碳化硅晶体生长炉及籽晶压接机采购。</w:t>
      </w:r>
    </w:p>
    <w:p>
      <w:pPr>
        <w:pStyle w:val="null3"/>
        <w:ind w:firstLine="422"/>
      </w:pPr>
      <w:r>
        <w:rPr>
          <w:rFonts w:ascii="仿宋_GB2312" w:hAnsi="仿宋_GB2312" w:cs="仿宋_GB2312" w:eastAsia="仿宋_GB2312"/>
          <w:sz w:val="21"/>
          <w:b/>
        </w:rPr>
        <w:t>采购包</w:t>
      </w:r>
      <w:r>
        <w:rPr>
          <w:rFonts w:ascii="仿宋_GB2312" w:hAnsi="仿宋_GB2312" w:cs="仿宋_GB2312" w:eastAsia="仿宋_GB2312"/>
          <w:sz w:val="21"/>
          <w:b/>
        </w:rPr>
        <w:t>1：</w:t>
      </w:r>
    </w:p>
    <w:p>
      <w:pPr>
        <w:pStyle w:val="null3"/>
        <w:ind w:firstLine="420"/>
      </w:pPr>
      <w:r>
        <w:rPr>
          <w:rFonts w:ascii="仿宋_GB2312" w:hAnsi="仿宋_GB2312" w:cs="仿宋_GB2312" w:eastAsia="仿宋_GB2312"/>
          <w:sz w:val="21"/>
        </w:rPr>
        <w:t>CVD外延炉：适用于碳化硅衬底的外延生长，支持同质或异质外延，能够满足不同应用场景器件制造所需的衬底要求，作为碳化硅外延单步工艺探索的主要设备，进一步提升碳化晶体制备的完整性和多样性，从而为碳化硅器件研制提供合格衬底材料。外延炉应包含尾气处理系统。</w:t>
      </w:r>
    </w:p>
    <w:p>
      <w:pPr>
        <w:pStyle w:val="null3"/>
        <w:ind w:firstLine="422"/>
      </w:pPr>
      <w:r>
        <w:rPr>
          <w:rFonts w:ascii="仿宋_GB2312" w:hAnsi="仿宋_GB2312" w:cs="仿宋_GB2312" w:eastAsia="仿宋_GB2312"/>
          <w:sz w:val="21"/>
          <w:b/>
        </w:rPr>
        <w:t>采购包</w:t>
      </w:r>
      <w:r>
        <w:rPr>
          <w:rFonts w:ascii="仿宋_GB2312" w:hAnsi="仿宋_GB2312" w:cs="仿宋_GB2312" w:eastAsia="仿宋_GB2312"/>
          <w:sz w:val="21"/>
          <w:b/>
        </w:rPr>
        <w:t>2：</w:t>
      </w:r>
    </w:p>
    <w:p>
      <w:pPr>
        <w:pStyle w:val="null3"/>
        <w:ind w:firstLine="400"/>
      </w:pPr>
      <w:r>
        <w:rPr>
          <w:rFonts w:ascii="仿宋_GB2312" w:hAnsi="仿宋_GB2312" w:cs="仿宋_GB2312" w:eastAsia="仿宋_GB2312"/>
        </w:rPr>
        <w:t>液相法碳化硅晶体生长炉：采用先进的液相法生长技术，支持</w:t>
      </w:r>
      <w:r>
        <w:rPr>
          <w:rFonts w:ascii="仿宋_GB2312" w:hAnsi="仿宋_GB2312" w:cs="仿宋_GB2312" w:eastAsia="仿宋_GB2312"/>
        </w:rPr>
        <w:t>8吋及以下晶体生长。该生长炉具备以下特点：</w:t>
      </w:r>
    </w:p>
    <w:p>
      <w:pPr>
        <w:pStyle w:val="null3"/>
        <w:ind w:firstLine="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热场支持：配备优化的热场设计，为晶体生长提供稳定的温度环境。</w:t>
      </w:r>
    </w:p>
    <w:p>
      <w:pPr>
        <w:pStyle w:val="null3"/>
        <w:ind w:firstLine="420"/>
      </w:pPr>
      <w:r>
        <w:rPr>
          <w:rFonts w:ascii="仿宋_GB2312" w:hAnsi="仿宋_GB2312" w:cs="仿宋_GB2312" w:eastAsia="仿宋_GB2312"/>
          <w:sz w:val="21"/>
          <w:color w:val="000000"/>
        </w:rPr>
        <w:t>(2)</w:t>
      </w:r>
      <w:r>
        <w:rPr>
          <w:rFonts w:ascii="仿宋_GB2312" w:hAnsi="仿宋_GB2312" w:cs="仿宋_GB2312" w:eastAsia="仿宋_GB2312"/>
          <w:sz w:val="21"/>
          <w:color w:val="000000"/>
        </w:rPr>
        <w:t>远程监控：可实现远程操作与监控，实时掌握生长过程。</w:t>
      </w:r>
    </w:p>
    <w:p>
      <w:pPr>
        <w:pStyle w:val="null3"/>
        <w:ind w:firstLine="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加热系统稳定：加热均匀，确保晶体生长过程的稳定性。</w:t>
      </w:r>
    </w:p>
    <w:p>
      <w:pPr>
        <w:pStyle w:val="null3"/>
        <w:ind w:firstLine="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测温准确：高精度测温系统，保障温度控制的精确性。</w:t>
      </w:r>
    </w:p>
    <w:p>
      <w:pPr>
        <w:pStyle w:val="null3"/>
        <w:ind w:firstLine="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真空系统稳定：稳定的真空环境，减少杂质干扰，提升晶体质量。</w:t>
      </w:r>
    </w:p>
    <w:p>
      <w:pPr>
        <w:pStyle w:val="null3"/>
        <w:ind w:firstLine="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安全报警功能：配备完善的安全报警系统，保障设备及操作人员的安全，满足最新液相法生长碳化硅晶体的实验要求。</w:t>
      </w:r>
    </w:p>
    <w:p>
      <w:pPr>
        <w:pStyle w:val="null3"/>
        <w:ind w:firstLine="420"/>
      </w:pPr>
      <w:r>
        <w:rPr>
          <w:rFonts w:ascii="仿宋_GB2312" w:hAnsi="仿宋_GB2312" w:cs="仿宋_GB2312" w:eastAsia="仿宋_GB2312"/>
          <w:sz w:val="21"/>
        </w:rPr>
        <w:t>(7)工艺支持：配备6寸p型4H-SiC单晶液相生长基础工艺包，确保生长晶锭厚度≥1mm，并配备2次生长全部物料。</w:t>
      </w:r>
    </w:p>
    <w:p>
      <w:pPr>
        <w:pStyle w:val="null3"/>
        <w:ind w:firstLine="420"/>
      </w:pPr>
      <w:r>
        <w:rPr>
          <w:rFonts w:ascii="仿宋_GB2312" w:hAnsi="仿宋_GB2312" w:cs="仿宋_GB2312" w:eastAsia="仿宋_GB2312"/>
          <w:sz w:val="21"/>
        </w:rPr>
        <w:t>籽晶压接机：用于碳化硅晶体生长前准备工作，可完成</w:t>
      </w:r>
      <w:r>
        <w:rPr>
          <w:rFonts w:ascii="仿宋_GB2312" w:hAnsi="仿宋_GB2312" w:cs="仿宋_GB2312" w:eastAsia="仿宋_GB2312"/>
          <w:sz w:val="21"/>
        </w:rPr>
        <w:t>8吋及以下籽晶的粘接工作，配备石墨纸和石墨托，确保粘接过程中温度、压力、涂胶均匀，无气泡产生，从而为后续晶体生长提供稳固的初始条件。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CVD 外延炉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1,570,000.00</w:t>
      </w:r>
    </w:p>
    <w:p>
      <w:pPr>
        <w:pStyle w:val="null3"/>
      </w:pPr>
      <w:r>
        <w:rPr>
          <w:rFonts w:ascii="仿宋_GB2312" w:hAnsi="仿宋_GB2312" w:cs="仿宋_GB2312" w:eastAsia="仿宋_GB2312"/>
        </w:rPr>
        <w:t>采购包最高限价（元）: 1,570,000.00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液相法碳化硅晶体生长炉及籽晶压接机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标的名称：CVD 外延炉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最高温</w:t>
            </w:r>
            <w:r>
              <w:rPr>
                <w:rFonts w:ascii="仿宋_GB2312" w:hAnsi="仿宋_GB2312" w:cs="仿宋_GB2312" w:eastAsia="仿宋_GB2312"/>
                <w:sz w:val="21"/>
                <w:color w:val="000000"/>
              </w:rPr>
              <w:t>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0</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温控精度：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内部温度均匀性：</w:t>
            </w:r>
            <w:r>
              <w:rPr>
                <w:rFonts w:ascii="仿宋_GB2312" w:hAnsi="仿宋_GB2312" w:cs="仿宋_GB2312" w:eastAsia="仿宋_GB2312"/>
                <w:sz w:val="21"/>
                <w:color w:val="000000"/>
              </w:rPr>
              <w:t>&lt;±3℃</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(4)</w:t>
            </w:r>
            <w:r>
              <w:rPr>
                <w:rFonts w:ascii="仿宋_GB2312" w:hAnsi="仿宋_GB2312" w:cs="仿宋_GB2312" w:eastAsia="仿宋_GB2312"/>
                <w:sz w:val="21"/>
                <w:color w:val="000000"/>
              </w:rPr>
              <w:t>冷态保压：</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.0Pa（</w:t>
            </w:r>
            <w:r>
              <w:rPr>
                <w:rFonts w:ascii="仿宋_GB2312" w:hAnsi="仿宋_GB2312" w:cs="仿宋_GB2312" w:eastAsia="仿宋_GB2312"/>
                <w:sz w:val="21"/>
                <w:color w:val="000000"/>
              </w:rPr>
              <w:t>12</w:t>
            </w:r>
            <w:r>
              <w:rPr>
                <w:rFonts w:ascii="仿宋_GB2312" w:hAnsi="仿宋_GB2312" w:cs="仿宋_GB2312" w:eastAsia="仿宋_GB2312"/>
                <w:sz w:val="21"/>
                <w:color w:val="000000"/>
              </w:rPr>
              <w:t>小时）</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(5)</w:t>
            </w:r>
            <w:r>
              <w:rPr>
                <w:rFonts w:ascii="仿宋_GB2312" w:hAnsi="仿宋_GB2312" w:cs="仿宋_GB2312" w:eastAsia="仿宋_GB2312"/>
                <w:sz w:val="21"/>
                <w:color w:val="000000"/>
              </w:rPr>
              <w:t>炉腔压力控制范围：</w:t>
            </w:r>
            <w:r>
              <w:rPr>
                <w:rFonts w:ascii="仿宋_GB2312" w:hAnsi="仿宋_GB2312" w:cs="仿宋_GB2312" w:eastAsia="仿宋_GB2312"/>
                <w:sz w:val="21"/>
                <w:color w:val="000000"/>
              </w:rPr>
              <w:t>100-</w:t>
            </w:r>
            <w:r>
              <w:rPr>
                <w:rFonts w:ascii="仿宋_GB2312" w:hAnsi="仿宋_GB2312" w:cs="仿宋_GB2312" w:eastAsia="仿宋_GB2312"/>
                <w:sz w:val="21"/>
                <w:color w:val="000000"/>
              </w:rPr>
              <w:t>95</w:t>
            </w:r>
            <w:r>
              <w:rPr>
                <w:rFonts w:ascii="仿宋_GB2312" w:hAnsi="仿宋_GB2312" w:cs="仿宋_GB2312" w:eastAsia="仿宋_GB2312"/>
                <w:sz w:val="21"/>
                <w:color w:val="000000"/>
              </w:rPr>
              <w:t>0</w:t>
            </w:r>
            <w:r>
              <w:rPr>
                <w:rFonts w:ascii="仿宋_GB2312" w:hAnsi="仿宋_GB2312" w:cs="仿宋_GB2312" w:eastAsia="仿宋_GB2312"/>
                <w:sz w:val="21"/>
                <w:color w:val="000000"/>
              </w:rPr>
              <w:t>mbar；</w:t>
            </w:r>
          </w:p>
          <w:p>
            <w:pPr>
              <w:pStyle w:val="null3"/>
              <w:ind w:left="420"/>
            </w:pPr>
            <w:r>
              <w:rPr>
                <w:rFonts w:ascii="仿宋_GB2312" w:hAnsi="仿宋_GB2312" w:cs="仿宋_GB2312" w:eastAsia="仿宋_GB2312"/>
                <w:sz w:val="21"/>
                <w:color w:val="000000"/>
              </w:rPr>
              <w:t>(6)</w:t>
            </w:r>
            <w:r>
              <w:rPr>
                <w:rFonts w:ascii="仿宋_GB2312" w:hAnsi="仿宋_GB2312" w:cs="仿宋_GB2312" w:eastAsia="仿宋_GB2312"/>
                <w:sz w:val="21"/>
                <w:color w:val="000000"/>
              </w:rPr>
              <w:t>测温方式：热电偶检测，配有超温保护热电偶</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(7)</w:t>
            </w:r>
            <w:r>
              <w:rPr>
                <w:rFonts w:ascii="仿宋_GB2312" w:hAnsi="仿宋_GB2312" w:cs="仿宋_GB2312" w:eastAsia="仿宋_GB2312"/>
                <w:sz w:val="21"/>
                <w:color w:val="000000"/>
              </w:rPr>
              <w:t>真空管道漏率：</w:t>
            </w:r>
            <w:r>
              <w:rPr>
                <w:rFonts w:ascii="仿宋_GB2312" w:hAnsi="仿宋_GB2312" w:cs="仿宋_GB2312" w:eastAsia="仿宋_GB2312"/>
                <w:sz w:val="21"/>
                <w:color w:val="000000"/>
              </w:rPr>
              <w:t>≤5.0×</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-6</w:t>
            </w:r>
            <w:r>
              <w:rPr>
                <w:rFonts w:ascii="仿宋_GB2312" w:hAnsi="仿宋_GB2312" w:cs="仿宋_GB2312" w:eastAsia="仿宋_GB2312"/>
                <w:sz w:val="21"/>
                <w:color w:val="000000"/>
              </w:rPr>
              <w:t>Pa.l/S</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(8)</w:t>
            </w:r>
            <w:r>
              <w:rPr>
                <w:rFonts w:ascii="仿宋_GB2312" w:hAnsi="仿宋_GB2312" w:cs="仿宋_GB2312" w:eastAsia="仿宋_GB2312"/>
                <w:sz w:val="21"/>
                <w:color w:val="000000"/>
              </w:rPr>
              <w:t>压力检测：</w:t>
            </w:r>
            <w:r>
              <w:rPr>
                <w:rFonts w:ascii="仿宋_GB2312" w:hAnsi="仿宋_GB2312" w:cs="仿宋_GB2312" w:eastAsia="仿宋_GB2312"/>
                <w:sz w:val="21"/>
                <w:color w:val="000000"/>
              </w:rPr>
              <w:t>SMC 压力小表+电阻规</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气体管路不少于</w:t>
            </w:r>
            <w:r>
              <w:rPr>
                <w:rFonts w:ascii="仿宋_GB2312" w:hAnsi="仿宋_GB2312" w:cs="仿宋_GB2312" w:eastAsia="仿宋_GB2312"/>
                <w:sz w:val="21"/>
                <w:color w:val="000000"/>
              </w:rPr>
              <w:t>5</w:t>
            </w:r>
            <w:r>
              <w:rPr>
                <w:rFonts w:ascii="仿宋_GB2312" w:hAnsi="仿宋_GB2312" w:cs="仿宋_GB2312" w:eastAsia="仿宋_GB2312"/>
                <w:sz w:val="21"/>
                <w:color w:val="000000"/>
              </w:rPr>
              <w:t>路</w:t>
            </w:r>
            <w:r>
              <w:rPr>
                <w:rFonts w:ascii="仿宋_GB2312" w:hAnsi="仿宋_GB2312" w:cs="仿宋_GB2312" w:eastAsia="仿宋_GB2312"/>
                <w:sz w:val="21"/>
                <w:color w:val="000000"/>
              </w:rPr>
              <w:t>（配质量流量计</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个，重复性</w:t>
            </w:r>
            <w:r>
              <w:rPr>
                <w:rFonts w:ascii="仿宋_GB2312" w:hAnsi="仿宋_GB2312" w:cs="仿宋_GB2312" w:eastAsia="仿宋_GB2312"/>
                <w:sz w:val="21"/>
                <w:color w:val="000000"/>
              </w:rPr>
              <w:t>≤设定值的0</w:t>
            </w:r>
            <w:r>
              <w:rPr>
                <w:rFonts w:ascii="仿宋_GB2312" w:hAnsi="仿宋_GB2312" w:cs="仿宋_GB2312" w:eastAsia="仿宋_GB2312"/>
                <w:sz w:val="21"/>
                <w:color w:val="000000"/>
              </w:rPr>
              <w:t>.2%</w:t>
            </w:r>
            <w:r>
              <w:rPr>
                <w:rFonts w:ascii="仿宋_GB2312" w:hAnsi="仿宋_GB2312" w:cs="仿宋_GB2312" w:eastAsia="仿宋_GB2312"/>
                <w:sz w:val="21"/>
                <w:color w:val="000000"/>
              </w:rPr>
              <w:t>；可控工作范围</w:t>
            </w:r>
            <w:r>
              <w:rPr>
                <w:rFonts w:ascii="仿宋_GB2312" w:hAnsi="仿宋_GB2312" w:cs="仿宋_GB2312" w:eastAsia="仿宋_GB2312"/>
                <w:sz w:val="21"/>
                <w:color w:val="000000"/>
              </w:rPr>
              <w:t>≥全量程的2</w:t>
            </w:r>
            <w:r>
              <w:rPr>
                <w:rFonts w:ascii="仿宋_GB2312" w:hAnsi="仿宋_GB2312" w:cs="仿宋_GB2312" w:eastAsia="仿宋_GB2312"/>
                <w:sz w:val="21"/>
                <w:color w:val="000000"/>
              </w:rPr>
              <w:t>%-99%</w:t>
            </w:r>
            <w:r>
              <w:rPr>
                <w:rFonts w:ascii="仿宋_GB2312" w:hAnsi="仿宋_GB2312" w:cs="仿宋_GB2312" w:eastAsia="仿宋_GB2312"/>
                <w:sz w:val="21"/>
                <w:color w:val="000000"/>
              </w:rPr>
              <w:t>；</w:t>
            </w:r>
            <w:r>
              <w:rPr>
                <w:rFonts w:ascii="仿宋_GB2312" w:hAnsi="仿宋_GB2312" w:cs="仿宋_GB2312" w:eastAsia="仿宋_GB2312"/>
                <w:sz w:val="21"/>
                <w:color w:val="000000"/>
              </w:rPr>
              <w:t>准确度</w:t>
            </w:r>
            <w:r>
              <w:rPr>
                <w:rFonts w:ascii="仿宋_GB2312" w:hAnsi="仿宋_GB2312" w:cs="仿宋_GB2312" w:eastAsia="仿宋_GB2312"/>
                <w:sz w:val="21"/>
                <w:color w:val="000000"/>
              </w:rPr>
              <w:t>≤设定值的</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。气体包含磷烷，硼烷，甲烷，氢气，氩气</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(10)</w:t>
            </w:r>
            <w:r>
              <w:rPr>
                <w:rFonts w:ascii="仿宋_GB2312" w:hAnsi="仿宋_GB2312" w:cs="仿宋_GB2312" w:eastAsia="仿宋_GB2312"/>
                <w:sz w:val="21"/>
                <w:color w:val="000000"/>
              </w:rPr>
              <w:t>配有气体</w:t>
            </w:r>
            <w:r>
              <w:rPr>
                <w:rFonts w:ascii="仿宋_GB2312" w:hAnsi="仿宋_GB2312" w:cs="仿宋_GB2312" w:eastAsia="仿宋_GB2312"/>
                <w:sz w:val="21"/>
                <w:color w:val="000000"/>
              </w:rPr>
              <w:t>泄露</w:t>
            </w:r>
            <w:r>
              <w:rPr>
                <w:rFonts w:ascii="仿宋_GB2312" w:hAnsi="仿宋_GB2312" w:cs="仿宋_GB2312" w:eastAsia="仿宋_GB2312"/>
                <w:sz w:val="21"/>
                <w:color w:val="000000"/>
              </w:rPr>
              <w:t>报警装置</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(11)</w:t>
            </w:r>
            <w:r>
              <w:rPr>
                <w:rFonts w:ascii="仿宋_GB2312" w:hAnsi="仿宋_GB2312" w:cs="仿宋_GB2312" w:eastAsia="仿宋_GB2312"/>
                <w:sz w:val="21"/>
                <w:color w:val="000000"/>
              </w:rPr>
              <w:t>控制方式：触摸屏</w:t>
            </w:r>
            <w:r>
              <w:rPr>
                <w:rFonts w:ascii="仿宋_GB2312" w:hAnsi="仿宋_GB2312" w:cs="仿宋_GB2312" w:eastAsia="仿宋_GB2312"/>
                <w:sz w:val="21"/>
                <w:color w:val="000000"/>
              </w:rPr>
              <w:t>+PLC</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燃烧式</w:t>
            </w:r>
            <w:r>
              <w:rPr>
                <w:rFonts w:ascii="仿宋_GB2312" w:hAnsi="仿宋_GB2312" w:cs="仿宋_GB2312" w:eastAsia="仿宋_GB2312"/>
                <w:sz w:val="21"/>
                <w:color w:val="000000"/>
              </w:rPr>
              <w:t>；</w:t>
            </w:r>
            <w:r>
              <w:rPr>
                <w:rFonts w:ascii="仿宋_GB2312" w:hAnsi="仿宋_GB2312" w:cs="仿宋_GB2312" w:eastAsia="仿宋_GB2312"/>
                <w:sz w:val="21"/>
                <w:color w:val="000000"/>
              </w:rPr>
              <w:t>CVD外延炉包含一套尾气综合处理系统（须含燃烧法），外延所用的磷烷、硼烷、甲烷、氢气等工艺气体处理后达到国家相关排放标准。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恒</w:t>
            </w:r>
            <w:r>
              <w:rPr>
                <w:rFonts w:ascii="仿宋_GB2312" w:hAnsi="仿宋_GB2312" w:cs="仿宋_GB2312" w:eastAsia="仿宋_GB2312"/>
                <w:sz w:val="21"/>
              </w:rPr>
              <w:t>温长度</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50</w:t>
            </w:r>
            <w:r>
              <w:rPr>
                <w:rFonts w:ascii="仿宋_GB2312" w:hAnsi="仿宋_GB2312" w:cs="仿宋_GB2312" w:eastAsia="仿宋_GB2312"/>
                <w:sz w:val="21"/>
              </w:rPr>
              <w:t>mm；</w:t>
            </w:r>
          </w:p>
          <w:p>
            <w:pPr>
              <w:pStyle w:val="null3"/>
            </w:pPr>
            <w:r>
              <w:rPr>
                <w:rFonts w:ascii="仿宋_GB2312" w:hAnsi="仿宋_GB2312" w:cs="仿宋_GB2312" w:eastAsia="仿宋_GB2312"/>
                <w:sz w:val="21"/>
              </w:rPr>
              <w:t>(14)</w:t>
            </w:r>
            <w:r>
              <w:rPr>
                <w:rFonts w:ascii="仿宋_GB2312" w:hAnsi="仿宋_GB2312" w:cs="仿宋_GB2312" w:eastAsia="仿宋_GB2312"/>
                <w:sz w:val="21"/>
              </w:rPr>
              <w:t>真空度</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E-</w:t>
            </w:r>
            <w:r>
              <w:rPr>
                <w:rFonts w:ascii="仿宋_GB2312" w:hAnsi="仿宋_GB2312" w:cs="仿宋_GB2312" w:eastAsia="仿宋_GB2312"/>
                <w:sz w:val="21"/>
              </w:rPr>
              <w:t>4</w:t>
            </w:r>
            <w:r>
              <w:rPr>
                <w:rFonts w:ascii="仿宋_GB2312" w:hAnsi="仿宋_GB2312" w:cs="仿宋_GB2312" w:eastAsia="仿宋_GB2312"/>
                <w:sz w:val="21"/>
              </w:rPr>
              <w:t>Pa</w:t>
            </w:r>
            <w:r>
              <w:rPr>
                <w:rFonts w:ascii="仿宋_GB2312" w:hAnsi="仿宋_GB2312" w:cs="仿宋_GB2312" w:eastAsia="仿宋_GB2312"/>
                <w:sz w:val="21"/>
              </w:rPr>
              <w:t>；</w:t>
            </w:r>
          </w:p>
          <w:p>
            <w:pPr>
              <w:pStyle w:val="null3"/>
            </w:pPr>
            <w:r>
              <w:rPr>
                <w:rFonts w:ascii="仿宋_GB2312" w:hAnsi="仿宋_GB2312" w:cs="仿宋_GB2312" w:eastAsia="仿宋_GB2312"/>
                <w:sz w:val="21"/>
              </w:rPr>
              <w:t>(15)</w:t>
            </w:r>
            <w:r>
              <w:rPr>
                <w:rFonts w:ascii="仿宋_GB2312" w:hAnsi="仿宋_GB2312" w:cs="仿宋_GB2312" w:eastAsia="仿宋_GB2312"/>
                <w:sz w:val="21"/>
              </w:rPr>
              <w:t>内径</w:t>
            </w:r>
            <w:r>
              <w:rPr>
                <w:rFonts w:ascii="仿宋_GB2312" w:hAnsi="仿宋_GB2312" w:cs="仿宋_GB2312" w:eastAsia="仿宋_GB2312"/>
                <w:sz w:val="21"/>
              </w:rPr>
              <w:t>≥</w:t>
            </w:r>
            <w:r>
              <w:rPr>
                <w:rFonts w:ascii="仿宋_GB2312" w:hAnsi="仿宋_GB2312" w:cs="仿宋_GB2312" w:eastAsia="仿宋_GB2312"/>
                <w:sz w:val="21"/>
              </w:rPr>
              <w:t>80mm。</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标的名称：液相法碳化硅晶体生长炉及籽晶压接机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p>
            <w:pPr>
              <w:pStyle w:val="null3"/>
            </w:pPr>
            <w:r>
              <w:rPr>
                <w:rFonts w:ascii="仿宋_GB2312" w:hAnsi="仿宋_GB2312" w:cs="仿宋_GB2312" w:eastAsia="仿宋_GB2312"/>
                <w:sz w:val="21"/>
              </w:rPr>
              <w:t>液相法碳化硅晶体生长炉</w:t>
            </w:r>
            <w:r>
              <w:rPr>
                <w:rFonts w:ascii="仿宋_GB2312" w:hAnsi="仿宋_GB2312" w:cs="仿宋_GB2312" w:eastAsia="仿宋_GB2312"/>
                <w:sz w:val="21"/>
              </w:rPr>
              <w:t>1套</w:t>
            </w:r>
          </w:p>
          <w:p>
            <w:pPr>
              <w:pStyle w:val="null3"/>
            </w:pPr>
            <w:r>
              <w:rPr>
                <w:rFonts w:ascii="仿宋_GB2312" w:hAnsi="仿宋_GB2312" w:cs="仿宋_GB2312" w:eastAsia="仿宋_GB2312"/>
                <w:sz w:val="21"/>
                <w:color w:val="000000"/>
              </w:rPr>
              <w:t>籽晶压接机</w:t>
            </w:r>
            <w:r>
              <w:rPr>
                <w:rFonts w:ascii="仿宋_GB2312" w:hAnsi="仿宋_GB2312" w:cs="仿宋_GB2312" w:eastAsia="仿宋_GB2312"/>
                <w:sz w:val="21"/>
                <w:color w:val="000000"/>
              </w:rPr>
              <w:t>1套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液相法碳化硅晶体生长炉</w:t>
            </w:r>
            <w:r>
              <w:rPr>
                <w:rFonts w:ascii="仿宋_GB2312" w:hAnsi="仿宋_GB2312" w:cs="仿宋_GB2312" w:eastAsia="仿宋_GB2312"/>
                <w:sz w:val="21"/>
                <w:color w:val="000000"/>
              </w:rPr>
              <w:t>技术参数</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吋晶体生长，可兼容</w:t>
            </w:r>
            <w:r>
              <w:rPr>
                <w:rFonts w:ascii="仿宋_GB2312" w:hAnsi="仿宋_GB2312" w:cs="仿宋_GB2312" w:eastAsia="仿宋_GB2312"/>
                <w:sz w:val="21"/>
                <w:color w:val="000000"/>
              </w:rPr>
              <w:t>8</w:t>
            </w:r>
            <w:r>
              <w:rPr>
                <w:rFonts w:ascii="仿宋_GB2312" w:hAnsi="仿宋_GB2312" w:cs="仿宋_GB2312" w:eastAsia="仿宋_GB2312"/>
                <w:sz w:val="21"/>
                <w:color w:val="000000"/>
              </w:rPr>
              <w:t>吋；</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极限真空度：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E-</w:t>
            </w:r>
            <w:r>
              <w:rPr>
                <w:rFonts w:ascii="仿宋_GB2312" w:hAnsi="仿宋_GB2312" w:cs="仿宋_GB2312" w:eastAsia="仿宋_GB2312"/>
                <w:sz w:val="21"/>
                <w:color w:val="000000"/>
              </w:rPr>
              <w:t>5</w:t>
            </w:r>
            <w:r>
              <w:rPr>
                <w:rFonts w:ascii="仿宋_GB2312" w:hAnsi="仿宋_GB2312" w:cs="仿宋_GB2312" w:eastAsia="仿宋_GB2312"/>
                <w:sz w:val="21"/>
                <w:color w:val="000000"/>
              </w:rPr>
              <w:t>Pa；</w:t>
            </w:r>
          </w:p>
          <w:p>
            <w:pPr>
              <w:pStyle w:val="null3"/>
              <w:ind w:left="420"/>
            </w:pPr>
            <w:r>
              <w:rPr>
                <w:rFonts w:ascii="仿宋_GB2312" w:hAnsi="仿宋_GB2312" w:cs="仿宋_GB2312" w:eastAsia="仿宋_GB2312"/>
                <w:sz w:val="21"/>
                <w:color w:val="000000"/>
              </w:rPr>
              <w:t>(3)</w:t>
            </w:r>
            <w:r>
              <w:rPr>
                <w:rFonts w:ascii="仿宋_GB2312" w:hAnsi="仿宋_GB2312" w:cs="仿宋_GB2312" w:eastAsia="仿宋_GB2312"/>
                <w:sz w:val="21"/>
                <w:color w:val="000000"/>
              </w:rPr>
              <w:t>腔体材质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304</w:t>
            </w:r>
            <w:r>
              <w:rPr>
                <w:rFonts w:ascii="仿宋_GB2312" w:hAnsi="仿宋_GB2312" w:cs="仿宋_GB2312" w:eastAsia="仿宋_GB2312"/>
                <w:sz w:val="21"/>
                <w:color w:val="000000"/>
              </w:rPr>
              <w:t>、</w:t>
            </w:r>
            <w:r>
              <w:rPr>
                <w:rFonts w:ascii="仿宋_GB2312" w:hAnsi="仿宋_GB2312" w:cs="仿宋_GB2312" w:eastAsia="仿宋_GB2312"/>
                <w:sz w:val="21"/>
                <w:color w:val="000000"/>
              </w:rPr>
              <w:t>316</w:t>
            </w:r>
            <w:r>
              <w:rPr>
                <w:rFonts w:ascii="仿宋_GB2312" w:hAnsi="仿宋_GB2312" w:cs="仿宋_GB2312" w:eastAsia="仿宋_GB2312"/>
                <w:sz w:val="21"/>
                <w:color w:val="000000"/>
              </w:rPr>
              <w:t>不锈钢</w:t>
            </w:r>
            <w:r>
              <w:rPr>
                <w:rFonts w:ascii="仿宋_GB2312" w:hAnsi="仿宋_GB2312" w:cs="仿宋_GB2312" w:eastAsia="仿宋_GB2312"/>
                <w:sz w:val="21"/>
                <w:color w:val="000000"/>
              </w:rPr>
              <w:t>材质，耐高温，抗氧化性与腐蚀性满足</w:t>
            </w:r>
            <w:r>
              <w:rPr>
                <w:rFonts w:ascii="仿宋_GB2312" w:hAnsi="仿宋_GB2312" w:cs="仿宋_GB2312" w:eastAsia="仿宋_GB2312"/>
                <w:sz w:val="21"/>
                <w:color w:val="000000"/>
              </w:rPr>
              <w:t>液相法碳化硅晶体生长炉</w:t>
            </w:r>
            <w:r>
              <w:rPr>
                <w:rFonts w:ascii="仿宋_GB2312" w:hAnsi="仿宋_GB2312" w:cs="仿宋_GB2312" w:eastAsia="仿宋_GB2312"/>
                <w:sz w:val="21"/>
                <w:color w:val="000000"/>
              </w:rPr>
              <w:t>要求；</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压升率：</w:t>
            </w:r>
            <w:r>
              <w:rPr>
                <w:rFonts w:ascii="仿宋_GB2312" w:hAnsi="仿宋_GB2312" w:cs="仿宋_GB2312" w:eastAsia="仿宋_GB2312"/>
                <w:sz w:val="21"/>
                <w:color w:val="000000"/>
              </w:rPr>
              <w:t>≥5Pa/</w:t>
            </w:r>
            <w:r>
              <w:rPr>
                <w:rFonts w:ascii="仿宋_GB2312" w:hAnsi="仿宋_GB2312" w:cs="仿宋_GB2312" w:eastAsia="仿宋_GB2312"/>
                <w:sz w:val="21"/>
                <w:color w:val="000000"/>
              </w:rPr>
              <w:t>12</w:t>
            </w:r>
            <w:r>
              <w:rPr>
                <w:rFonts w:ascii="仿宋_GB2312" w:hAnsi="仿宋_GB2312" w:cs="仿宋_GB2312" w:eastAsia="仿宋_GB2312"/>
                <w:sz w:val="21"/>
                <w:color w:val="000000"/>
              </w:rPr>
              <w:t>h；</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籽晶传动系统高速升降速度：</w:t>
            </w:r>
            <w:r>
              <w:rPr>
                <w:rFonts w:ascii="仿宋_GB2312" w:hAnsi="仿宋_GB2312" w:cs="仿宋_GB2312" w:eastAsia="仿宋_GB2312"/>
                <w:sz w:val="21"/>
                <w:color w:val="000000"/>
              </w:rPr>
              <w:t>7.2—1800mm/h；</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籽晶传动系统低速升降速度：</w:t>
            </w:r>
            <w:r>
              <w:rPr>
                <w:rFonts w:ascii="仿宋_GB2312" w:hAnsi="仿宋_GB2312" w:cs="仿宋_GB2312" w:eastAsia="仿宋_GB2312"/>
                <w:sz w:val="21"/>
                <w:color w:val="000000"/>
              </w:rPr>
              <w:t>0.02—7.2mm/h；</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籽晶传动系统低速升降精度：</w:t>
            </w:r>
            <w:r>
              <w:rPr>
                <w:rFonts w:ascii="仿宋_GB2312" w:hAnsi="仿宋_GB2312" w:cs="仿宋_GB2312" w:eastAsia="仿宋_GB2312"/>
                <w:sz w:val="21"/>
                <w:color w:val="000000"/>
              </w:rPr>
              <w:t>±5μm/h；</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籽晶传动系统最大行程</w:t>
            </w:r>
            <w:r>
              <w:rPr>
                <w:rFonts w:ascii="仿宋_GB2312" w:hAnsi="仿宋_GB2312" w:cs="仿宋_GB2312" w:eastAsia="仿宋_GB2312"/>
                <w:sz w:val="21"/>
                <w:color w:val="000000"/>
              </w:rPr>
              <w:t>≥200mm；</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籽晶传动系统旋转速度：</w:t>
            </w:r>
            <w:r>
              <w:rPr>
                <w:rFonts w:ascii="仿宋_GB2312" w:hAnsi="仿宋_GB2312" w:cs="仿宋_GB2312" w:eastAsia="仿宋_GB2312"/>
                <w:sz w:val="21"/>
                <w:color w:val="000000"/>
              </w:rPr>
              <w:t>0-180rpm；</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籽晶传动系统旋转方式：可正、反转；</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坩埚传动系统升降速度：</w:t>
            </w:r>
            <w:r>
              <w:rPr>
                <w:rFonts w:ascii="仿宋_GB2312" w:hAnsi="仿宋_GB2312" w:cs="仿宋_GB2312" w:eastAsia="仿宋_GB2312"/>
                <w:sz w:val="21"/>
                <w:color w:val="000000"/>
              </w:rPr>
              <w:t>0-1800mm/h；</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坩埚传动系统旋转速度：</w:t>
            </w:r>
            <w:r>
              <w:rPr>
                <w:rFonts w:ascii="仿宋_GB2312" w:hAnsi="仿宋_GB2312" w:cs="仿宋_GB2312" w:eastAsia="仿宋_GB2312"/>
                <w:sz w:val="21"/>
                <w:color w:val="000000"/>
              </w:rPr>
              <w:t>0-180rpm；</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最高温度</w:t>
            </w:r>
            <w:r>
              <w:rPr>
                <w:rFonts w:ascii="仿宋_GB2312" w:hAnsi="仿宋_GB2312" w:cs="仿宋_GB2312" w:eastAsia="仿宋_GB2312"/>
                <w:sz w:val="21"/>
                <w:color w:val="000000"/>
              </w:rPr>
              <w:t>≥2200℃；</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电源额定功率</w:t>
            </w:r>
            <w:r>
              <w:rPr>
                <w:rFonts w:ascii="仿宋_GB2312" w:hAnsi="仿宋_GB2312" w:cs="仿宋_GB2312" w:eastAsia="仿宋_GB2312"/>
                <w:sz w:val="21"/>
                <w:color w:val="000000"/>
              </w:rPr>
              <w:t>≥20kW；</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输出功率精度：</w:t>
            </w:r>
            <w:r>
              <w:rPr>
                <w:rFonts w:ascii="仿宋_GB2312" w:hAnsi="仿宋_GB2312" w:cs="仿宋_GB2312" w:eastAsia="仿宋_GB2312"/>
                <w:sz w:val="21"/>
                <w:color w:val="000000"/>
              </w:rPr>
              <w:t>10kW条件下±20W；</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测温方式：红外测温；</w:t>
            </w:r>
          </w:p>
          <w:p>
            <w:pPr>
              <w:pStyle w:val="null3"/>
              <w:ind w:left="420"/>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工艺气路及最大量程：</w:t>
            </w:r>
            <w:r>
              <w:rPr>
                <w:rFonts w:ascii="仿宋_GB2312" w:hAnsi="仿宋_GB2312" w:cs="仿宋_GB2312" w:eastAsia="仿宋_GB2312"/>
                <w:sz w:val="21"/>
                <w:color w:val="000000"/>
              </w:rPr>
              <w:t>≥3路；N</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00</w:t>
            </w:r>
            <w:r>
              <w:rPr>
                <w:rFonts w:ascii="仿宋_GB2312" w:hAnsi="仿宋_GB2312" w:cs="仿宋_GB2312" w:eastAsia="仿宋_GB2312"/>
                <w:sz w:val="21"/>
                <w:color w:val="000000"/>
              </w:rPr>
              <w:t>sccm</w:t>
            </w:r>
            <w:r>
              <w:rPr>
                <w:rFonts w:ascii="仿宋_GB2312" w:hAnsi="仿宋_GB2312" w:cs="仿宋_GB2312" w:eastAsia="仿宋_GB2312"/>
                <w:sz w:val="21"/>
                <w:color w:val="000000"/>
              </w:rPr>
              <w:t>；</w:t>
            </w:r>
            <w:r>
              <w:rPr>
                <w:rFonts w:ascii="仿宋_GB2312" w:hAnsi="仿宋_GB2312" w:cs="仿宋_GB2312" w:eastAsia="仿宋_GB2312"/>
                <w:sz w:val="21"/>
                <w:color w:val="000000"/>
              </w:rPr>
              <w:t>Ar≥2</w:t>
            </w:r>
            <w:r>
              <w:rPr>
                <w:rFonts w:ascii="仿宋_GB2312" w:hAnsi="仿宋_GB2312" w:cs="仿宋_GB2312" w:eastAsia="仿宋_GB2312"/>
                <w:sz w:val="21"/>
                <w:color w:val="000000"/>
              </w:rPr>
              <w:t>00</w:t>
            </w:r>
            <w:r>
              <w:rPr>
                <w:rFonts w:ascii="仿宋_GB2312" w:hAnsi="仿宋_GB2312" w:cs="仿宋_GB2312" w:eastAsia="仿宋_GB2312"/>
                <w:sz w:val="21"/>
                <w:color w:val="000000"/>
              </w:rPr>
              <w:t>sccm</w:t>
            </w:r>
            <w:r>
              <w:rPr>
                <w:rFonts w:ascii="仿宋_GB2312" w:hAnsi="仿宋_GB2312" w:cs="仿宋_GB2312" w:eastAsia="仿宋_GB2312"/>
                <w:sz w:val="21"/>
                <w:color w:val="000000"/>
              </w:rPr>
              <w:t>；</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）恒压控制范围</w:t>
            </w:r>
            <w:r>
              <w:rPr>
                <w:rFonts w:ascii="仿宋_GB2312" w:hAnsi="仿宋_GB2312" w:cs="仿宋_GB2312" w:eastAsia="仿宋_GB2312"/>
                <w:sz w:val="21"/>
                <w:color w:val="000000"/>
              </w:rPr>
              <w:t>10-900mbar</w:t>
            </w:r>
            <w:r>
              <w:rPr>
                <w:rFonts w:ascii="仿宋_GB2312" w:hAnsi="仿宋_GB2312" w:cs="仿宋_GB2312" w:eastAsia="仿宋_GB2312"/>
                <w:sz w:val="21"/>
                <w:color w:val="000000"/>
              </w:rPr>
              <w:t>；</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19</w:t>
            </w:r>
            <w:r>
              <w:rPr>
                <w:rFonts w:ascii="仿宋_GB2312" w:hAnsi="仿宋_GB2312" w:cs="仿宋_GB2312" w:eastAsia="仿宋_GB2312"/>
                <w:sz w:val="21"/>
                <w:color w:val="000000"/>
              </w:rPr>
              <w:t>）控温范围</w:t>
            </w:r>
            <w:r>
              <w:rPr>
                <w:rFonts w:ascii="仿宋_GB2312" w:hAnsi="仿宋_GB2312" w:cs="仿宋_GB2312" w:eastAsia="仿宋_GB2312"/>
                <w:sz w:val="21"/>
                <w:color w:val="000000"/>
              </w:rPr>
              <w:t>1000</w:t>
            </w:r>
            <w:r>
              <w:rPr>
                <w:rFonts w:ascii="仿宋_GB2312" w:hAnsi="仿宋_GB2312" w:cs="仿宋_GB2312" w:eastAsia="仿宋_GB2312"/>
                <w:sz w:val="21"/>
                <w:color w:val="000000"/>
              </w:rPr>
              <w:t>℃-2</w:t>
            </w:r>
            <w:r>
              <w:rPr>
                <w:rFonts w:ascii="仿宋_GB2312" w:hAnsi="仿宋_GB2312" w:cs="仿宋_GB2312" w:eastAsia="仿宋_GB2312"/>
                <w:sz w:val="21"/>
                <w:color w:val="000000"/>
              </w:rPr>
              <w:t>000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）控制模式：功率控制和温度控制可切换</w:t>
            </w:r>
            <w:r>
              <w:rPr>
                <w:rFonts w:ascii="仿宋_GB2312" w:hAnsi="仿宋_GB2312" w:cs="仿宋_GB2312" w:eastAsia="仿宋_GB2312"/>
                <w:sz w:val="21"/>
                <w:color w:val="000000"/>
              </w:rPr>
              <w:t>；</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21</w:t>
            </w:r>
            <w:r>
              <w:rPr>
                <w:rFonts w:ascii="仿宋_GB2312" w:hAnsi="仿宋_GB2312" w:cs="仿宋_GB2312" w:eastAsia="仿宋_GB2312"/>
                <w:sz w:val="21"/>
                <w:color w:val="000000"/>
              </w:rPr>
              <w:t>）</w:t>
            </w:r>
            <w:r>
              <w:rPr>
                <w:rFonts w:ascii="仿宋_GB2312" w:hAnsi="仿宋_GB2312" w:cs="仿宋_GB2312" w:eastAsia="仿宋_GB2312"/>
                <w:sz w:val="21"/>
                <w:color w:val="000000"/>
              </w:rPr>
              <w:t>测温范围：</w:t>
            </w:r>
            <w:r>
              <w:rPr>
                <w:rFonts w:ascii="仿宋_GB2312" w:hAnsi="仿宋_GB2312" w:cs="仿宋_GB2312" w:eastAsia="仿宋_GB2312"/>
                <w:sz w:val="21"/>
                <w:color w:val="000000"/>
              </w:rPr>
              <w:t>800</w:t>
            </w: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00℃</w:t>
            </w:r>
            <w:r>
              <w:rPr>
                <w:rFonts w:ascii="仿宋_GB2312" w:hAnsi="仿宋_GB2312" w:cs="仿宋_GB2312" w:eastAsia="仿宋_GB2312"/>
                <w:sz w:val="21"/>
                <w:color w:val="000000"/>
              </w:rPr>
              <w:t>；</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22</w:t>
            </w:r>
            <w:r>
              <w:rPr>
                <w:rFonts w:ascii="仿宋_GB2312" w:hAnsi="仿宋_GB2312" w:cs="仿宋_GB2312" w:eastAsia="仿宋_GB2312"/>
                <w:sz w:val="21"/>
                <w:color w:val="000000"/>
              </w:rPr>
              <w:t>）</w:t>
            </w:r>
            <w:r>
              <w:rPr>
                <w:rFonts w:ascii="仿宋_GB2312" w:hAnsi="仿宋_GB2312" w:cs="仿宋_GB2312" w:eastAsia="仿宋_GB2312"/>
                <w:sz w:val="21"/>
                <w:color w:val="000000"/>
              </w:rPr>
              <w:t>控制方式：上位机</w:t>
            </w:r>
            <w:r>
              <w:rPr>
                <w:rFonts w:ascii="仿宋_GB2312" w:hAnsi="仿宋_GB2312" w:cs="仿宋_GB2312" w:eastAsia="仿宋_GB2312"/>
                <w:sz w:val="21"/>
                <w:color w:val="000000"/>
              </w:rPr>
              <w:t>+下位机；</w:t>
            </w:r>
          </w:p>
          <w:p>
            <w:pPr>
              <w:pStyle w:val="null3"/>
              <w:ind w:left="-120"/>
            </w:pPr>
            <w:r>
              <w:rPr>
                <w:rFonts w:ascii="仿宋_GB2312" w:hAnsi="仿宋_GB2312" w:cs="仿宋_GB2312" w:eastAsia="仿宋_GB2312"/>
                <w:sz w:val="21"/>
                <w:color w:val="000000"/>
              </w:rPr>
              <w:t>（</w:t>
            </w:r>
            <w:r>
              <w:rPr>
                <w:rFonts w:ascii="仿宋_GB2312" w:hAnsi="仿宋_GB2312" w:cs="仿宋_GB2312" w:eastAsia="仿宋_GB2312"/>
                <w:sz w:val="21"/>
                <w:color w:val="000000"/>
              </w:rPr>
              <w:t>23</w:t>
            </w:r>
            <w:r>
              <w:rPr>
                <w:rFonts w:ascii="仿宋_GB2312" w:hAnsi="仿宋_GB2312" w:cs="仿宋_GB2312" w:eastAsia="仿宋_GB2312"/>
                <w:sz w:val="21"/>
                <w:color w:val="000000"/>
              </w:rPr>
              <w:t>）</w:t>
            </w:r>
            <w:r>
              <w:rPr>
                <w:rFonts w:ascii="仿宋_GB2312" w:hAnsi="仿宋_GB2312" w:cs="仿宋_GB2312" w:eastAsia="仿宋_GB2312"/>
                <w:sz w:val="21"/>
                <w:color w:val="000000"/>
              </w:rPr>
              <w:t>生长炉控制系统：</w:t>
            </w:r>
            <w:r>
              <w:rPr>
                <w:rFonts w:ascii="仿宋_GB2312" w:hAnsi="仿宋_GB2312" w:cs="仿宋_GB2312" w:eastAsia="仿宋_GB2312"/>
                <w:sz w:val="21"/>
                <w:color w:val="000000"/>
              </w:rPr>
              <w:t>运行软件具备工艺参数设定及记忆设备控制、数据采集、输出、报警功能；</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24</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设备配套热场一套</w:t>
            </w:r>
            <w:r>
              <w:rPr>
                <w:rFonts w:ascii="仿宋_GB2312" w:hAnsi="仿宋_GB2312" w:cs="仿宋_GB2312" w:eastAsia="仿宋_GB2312"/>
                <w:sz w:val="21"/>
                <w:color w:val="000000"/>
              </w:rPr>
              <w:t>，</w:t>
            </w:r>
            <w:r>
              <w:rPr>
                <w:rFonts w:ascii="仿宋_GB2312" w:hAnsi="仿宋_GB2312" w:cs="仿宋_GB2312" w:eastAsia="仿宋_GB2312"/>
                <w:sz w:val="21"/>
                <w:color w:val="000000"/>
              </w:rPr>
              <w:t>确保设备生长出</w:t>
            </w:r>
            <w:r>
              <w:rPr>
                <w:rFonts w:ascii="仿宋_GB2312" w:hAnsi="仿宋_GB2312" w:cs="仿宋_GB2312" w:eastAsia="仿宋_GB2312"/>
                <w:sz w:val="21"/>
                <w:color w:val="000000"/>
              </w:rPr>
              <w:t>≥</w:t>
            </w:r>
            <w:r>
              <w:rPr>
                <w:rFonts w:ascii="仿宋_GB2312" w:hAnsi="仿宋_GB2312" w:cs="仿宋_GB2312" w:eastAsia="仿宋_GB2312"/>
                <w:sz w:val="21"/>
                <w:color w:val="000000"/>
              </w:rPr>
              <w:t>6英寸 P型4H-SiC单晶</w:t>
            </w:r>
            <w:r>
              <w:rPr>
                <w:rFonts w:ascii="仿宋_GB2312" w:hAnsi="仿宋_GB2312" w:cs="仿宋_GB2312" w:eastAsia="仿宋_GB2312"/>
                <w:sz w:val="21"/>
                <w:color w:val="000000"/>
              </w:rPr>
              <w:t>；</w:t>
            </w:r>
          </w:p>
          <w:p>
            <w:pPr>
              <w:pStyle w:val="null3"/>
              <w:ind w:left="420"/>
            </w:pPr>
            <w:r>
              <w:rPr>
                <w:rFonts w:ascii="仿宋_GB2312" w:hAnsi="仿宋_GB2312" w:cs="仿宋_GB2312" w:eastAsia="仿宋_GB2312"/>
                <w:sz w:val="21"/>
                <w:color w:val="000000"/>
              </w:rPr>
              <w:t>（</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提供生长出</w:t>
            </w:r>
            <w:r>
              <w:rPr>
                <w:rFonts w:ascii="仿宋_GB2312" w:hAnsi="仿宋_GB2312" w:cs="仿宋_GB2312" w:eastAsia="仿宋_GB2312"/>
                <w:sz w:val="21"/>
                <w:color w:val="000000"/>
              </w:rPr>
              <w:t>≥</w:t>
            </w:r>
            <w:r>
              <w:rPr>
                <w:rFonts w:ascii="仿宋_GB2312" w:hAnsi="仿宋_GB2312" w:cs="仿宋_GB2312" w:eastAsia="仿宋_GB2312"/>
                <w:sz w:val="21"/>
                <w:color w:val="000000"/>
              </w:rPr>
              <w:t>6英寸4H-SiC P型单晶的所有</w:t>
            </w:r>
            <w:r>
              <w:rPr>
                <w:rFonts w:ascii="仿宋_GB2312" w:hAnsi="仿宋_GB2312" w:cs="仿宋_GB2312" w:eastAsia="仿宋_GB2312"/>
                <w:sz w:val="21"/>
                <w:color w:val="000000"/>
              </w:rPr>
              <w:t>耗材</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2套</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二、</w:t>
            </w:r>
            <w:r>
              <w:rPr>
                <w:rFonts w:ascii="仿宋_GB2312" w:hAnsi="仿宋_GB2312" w:cs="仿宋_GB2312" w:eastAsia="仿宋_GB2312"/>
                <w:sz w:val="21"/>
              </w:rPr>
              <w:t>籽晶压接机</w:t>
            </w:r>
            <w:r>
              <w:rPr>
                <w:rFonts w:ascii="仿宋_GB2312" w:hAnsi="仿宋_GB2312" w:cs="仿宋_GB2312" w:eastAsia="仿宋_GB2312"/>
                <w:sz w:val="21"/>
              </w:rPr>
              <w:t>技术参数</w:t>
            </w:r>
          </w:p>
          <w:p>
            <w:pPr>
              <w:pStyle w:val="null3"/>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温度范围：</w:t>
            </w:r>
            <w:r>
              <w:rPr>
                <w:rFonts w:ascii="仿宋_GB2312" w:hAnsi="仿宋_GB2312" w:cs="仿宋_GB2312" w:eastAsia="仿宋_GB2312"/>
                <w:sz w:val="21"/>
              </w:rPr>
              <w:t>≥</w:t>
            </w:r>
            <w:r>
              <w:rPr>
                <w:rFonts w:ascii="仿宋_GB2312" w:hAnsi="仿宋_GB2312" w:cs="仿宋_GB2312" w:eastAsia="仿宋_GB2312"/>
                <w:sz w:val="21"/>
              </w:rPr>
              <w:t>400℃</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适用晶片：</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8 英寸兼容</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升温速率：</w:t>
            </w:r>
            <w:r>
              <w:rPr>
                <w:rFonts w:ascii="仿宋_GB2312" w:hAnsi="仿宋_GB2312" w:cs="仿宋_GB2312" w:eastAsia="仿宋_GB2312"/>
                <w:sz w:val="21"/>
              </w:rPr>
              <w:t>≥</w:t>
            </w:r>
            <w:r>
              <w:rPr>
                <w:rFonts w:ascii="仿宋_GB2312" w:hAnsi="仿宋_GB2312" w:cs="仿宋_GB2312" w:eastAsia="仿宋_GB2312"/>
                <w:sz w:val="21"/>
              </w:rPr>
              <w:t>5℃/min</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结构方式：由上向下，气缸控制，移动行程</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石墨加热器尺寸：</w:t>
            </w:r>
            <w:r>
              <w:rPr>
                <w:rFonts w:ascii="仿宋_GB2312" w:hAnsi="仿宋_GB2312" w:cs="仿宋_GB2312" w:eastAsia="仿宋_GB2312"/>
                <w:sz w:val="21"/>
              </w:rPr>
              <w:t>≥</w:t>
            </w:r>
            <w:r>
              <w:rPr>
                <w:rFonts w:ascii="仿宋_GB2312" w:hAnsi="仿宋_GB2312" w:cs="仿宋_GB2312" w:eastAsia="仿宋_GB2312"/>
                <w:sz w:val="21"/>
              </w:rPr>
              <w:t>φ300 mm</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真空：真空腔室本底真空</w:t>
            </w:r>
            <w:r>
              <w:rPr>
                <w:rFonts w:ascii="仿宋_GB2312" w:hAnsi="仿宋_GB2312" w:cs="仿宋_GB2312" w:eastAsia="仿宋_GB2312"/>
                <w:sz w:val="21"/>
              </w:rPr>
              <w:t>≤</w:t>
            </w:r>
            <w:r>
              <w:rPr>
                <w:rFonts w:ascii="仿宋_GB2312" w:hAnsi="仿宋_GB2312" w:cs="仿宋_GB2312" w:eastAsia="仿宋_GB2312"/>
                <w:sz w:val="21"/>
              </w:rPr>
              <w:t>10Pa</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最大压力：</w:t>
            </w:r>
            <w:r>
              <w:rPr>
                <w:rFonts w:ascii="仿宋_GB2312" w:hAnsi="仿宋_GB2312" w:cs="仿宋_GB2312" w:eastAsia="仿宋_GB2312"/>
                <w:sz w:val="21"/>
              </w:rPr>
              <w:t>≥</w:t>
            </w:r>
            <w:r>
              <w:rPr>
                <w:rFonts w:ascii="仿宋_GB2312" w:hAnsi="仿宋_GB2312" w:cs="仿宋_GB2312" w:eastAsia="仿宋_GB2312"/>
                <w:sz w:val="21"/>
              </w:rPr>
              <w:t>1500</w:t>
            </w:r>
            <w:r>
              <w:rPr>
                <w:rFonts w:ascii="仿宋_GB2312" w:hAnsi="仿宋_GB2312" w:cs="仿宋_GB2312" w:eastAsia="仿宋_GB2312"/>
                <w:sz w:val="21"/>
              </w:rPr>
              <w:t>kg；</w:t>
            </w:r>
          </w:p>
          <w:p>
            <w:pPr>
              <w:pStyle w:val="null3"/>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真空</w:t>
            </w:r>
            <w:r>
              <w:rPr>
                <w:rFonts w:ascii="仿宋_GB2312" w:hAnsi="仿宋_GB2312" w:cs="仿宋_GB2312" w:eastAsia="仿宋_GB2312"/>
                <w:sz w:val="21"/>
              </w:rPr>
              <w:t>配置：机械泵</w:t>
            </w:r>
            <w:r>
              <w:rPr>
                <w:rFonts w:ascii="仿宋_GB2312" w:hAnsi="仿宋_GB2312" w:cs="仿宋_GB2312" w:eastAsia="仿宋_GB2312"/>
                <w:sz w:val="21"/>
              </w:rPr>
              <w:t>+真空计</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加热方式：电阻加热</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控制精度：温度控制精度</w:t>
            </w:r>
            <w:r>
              <w:rPr>
                <w:rFonts w:ascii="仿宋_GB2312" w:hAnsi="仿宋_GB2312" w:cs="仿宋_GB2312" w:eastAsia="仿宋_GB2312"/>
                <w:sz w:val="21"/>
              </w:rPr>
              <w:t>±1℃以内</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压力控制精度：</w:t>
            </w:r>
            <w:r>
              <w:rPr>
                <w:rFonts w:ascii="仿宋_GB2312" w:hAnsi="仿宋_GB2312" w:cs="仿宋_GB2312" w:eastAsia="仿宋_GB2312"/>
                <w:sz w:val="21"/>
              </w:rPr>
              <w:t>±5Kg</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）含适用于该设备的粘接基础工艺包，采用此工艺粘接的碳化硅籽晶能够满足高质量晶体生长的要求，籽晶面光滑、无析出物、无背穿现象。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color w:val="000000"/>
              </w:rPr>
              <w:t>备注：</w:t>
            </w:r>
          </w:p>
          <w:p>
            <w:pPr>
              <w:pStyle w:val="null3"/>
            </w:pPr>
            <w:r>
              <w:rPr>
                <w:rFonts w:ascii="仿宋_GB2312" w:hAnsi="仿宋_GB2312" w:cs="仿宋_GB2312" w:eastAsia="仿宋_GB2312"/>
                <w:sz w:val="21"/>
              </w:rPr>
              <w:t>1.带★标志的技术要求为实质性响应要求，未满足则视为无效投标。</w:t>
            </w:r>
          </w:p>
          <w:p>
            <w:pPr>
              <w:pStyle w:val="null3"/>
            </w:pPr>
            <w:r>
              <w:rPr>
                <w:rFonts w:ascii="仿宋_GB2312" w:hAnsi="仿宋_GB2312" w:cs="仿宋_GB2312" w:eastAsia="仿宋_GB2312"/>
                <w:sz w:val="21"/>
                <w:color w:val="000000"/>
              </w:rPr>
              <w:t>2.设备需在4.2米高度范围内完成安装调试。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接采购人通知后120个日历日完成供货。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接采购人通知后120个日历日完成供货。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西安理工大学金花校区教六楼111。</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西安理工大学金花校区教六楼111。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①招标文件、投标文件及技术澄清文件（函）； ②国家/行业标准、规范（如GB、ISO、IEC等）。 ③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设备满足技术参数要求且用此设备长出6英寸4H-SiC p型单晶 ④最终验收 签署《验收报告》，产品保修期自验收合格之日起算，由中标人提供产品保修文件。 （3）验收条款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（3）满足服务内容的要求。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①招标文件、投标文件及技术澄清文件（函） ②国家/行业标准、规范（如GB、ISO、IEC等）。 ③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连续运行72小时无故障； 设备满足技术参数要求且用此设备长出6英寸4H-SiC p型单晶； ④最终验收 签署《验收报告》，产品保修期自验收合格之日起算，由中标人提供产品保修文件。 （3）验收条款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（3）满足服务内容的要求。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2.运输责任：运输由中标人负责，运杂费已包含在合同总价内。包括从货物供应地点运送至交付地点所含的运输费、装卸费、仓储费、保险费等；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2.运输责任：运输由中标人负责，运杂费已包含在合同总价内。包括从货物供应地点运送至交付地点所含的运输费、装卸费、仓储费、保险费等；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中标人的产品必须为全新未使用过的、来源合法，符合国家或有关行业质量标准，且完全符合本合同及附件约定的技术参数、规格型号要求。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（1）中标人的产品必须为全新未使用过的、来源合法，符合国家或有关行业质量标准，且完全符合本合同及附件约定的技术参数、规格型号要求。 （2）供方应在最大程度上向需方提供售后服务，包括设备的维修、保养、零件与消耗品的提供，及在需方要求时的技术支持。供方保证在质量保证期内，自行承担由于供方责任而引起的维修工作，并承担由此而发生的人工，零件更换等费用。质量保证期内由于非供方的原因而引起的所有维修，供方根据供方工程师安排的能力，配合所有维修工作，此时，因维修所发生的费用应由需方承担。 （3）质保期：自合同设备验收合格之日起的12个月。供方保证设备原材料和备件为非赝品或仿冒品、全新、未曾用过，并完全符合规定的质量、规格和性能要求，供方并保证本合同项下的设备在按说明书正确安装、正常使用和维修的情况下，自合同设备验收合格之日起的12个月内运转良好。供方在接到需方的设备故障通知后2小时内作出反应，24小时内赶到现场（紧急情况12小时内赶到现场）。特殊情况在48小时内无法修复的，在维修及维护期内应予提供代用设备或使设备可正常运转的措施。质量保证期期间，安装、培训、维护和维修以及零部件都是免费的。 （4）质保期内，设备因质量原因发生故障的，供方负责免费维修，因此发生的维修服务和零部件更换费用由供方承担，但人为原因造成的损失及耗材除外；质保期外，若设备出现故障，供方负责维修，且仅收取零部件成本费用。供方需对所更换的零部件提供为期6个月的质保。 （5）设备质保期结束后，供方实行设备终身维护制，供方在接到需方设备的故障信息后，首先电话指导解决，电话响应时间不超过2小时；在电话指导解决不了的情况下，乙方技术人员应在48小时之内到需方现场进行维修。由此产生的费用双方协商解决。 （6）供方提供终身免费设备软件升级更新、设备技术咨询和技术支持。供方不得对设备及软件进行加密绑定。 （7）无论因何种因素造成合同设备故障，供方应及时为需方提供技术支持，配合需方修复或更换损坏的设备及零部件。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（1）中标供应商未按合同约定的交货日期交货的，每逾期一日，向采购人支付逾期交付货物价款的1%的违约金，但不超过合同总金额的10%。中标供应商支付逾期交货违约金并不免除其交货的责任。 （2）如中标供应商在政府采购合同规定的交货日期后10天内仍未能交货，则视为中标供应商不能交货，采购人有权解除政府采购合同，中标供应商除退还已收取的货款外，还应向采购人偿付政府采购合同总金额10%的违约金。 （3）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4）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（5）未按合同要求提供设备或提供的设备质量或规格不能满足技术要求，甲方有权终止合同并对乙方违约行为进行追究，同时按政府采购法的有关规定进行相应的处罚； （6）若乙方发生延迟交货，每延迟1日，应向甲方支付合同总金额1‰的违约金；延迟超过15日的，甲方有权单方解除合同，并要求乙方支付合同总金额20%的违约金，如该违约金不足以弥补甲方损失的，乙方还应予以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（1）中标供应商未按合同约定的交货日期交货的，每逾期一日，向采购人支付逾期交付货物价款的万分之一的违约金，但不超过合同总金额的10%。中标供应商支付逾期交货违约金并不免除其交货的责任。 （2）如中标供应商在政府采购合同规定的交货日期后60天内仍未能交货，则视为中标供应商不能交货，采购人有权解除政府采购合同，中标供应商除退还已收取的货款外，还应向采购人偿付政府采购合同总金额10%的违约金。 （3）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 （4）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（5）未按合同要求提供设备或提供的设备质量或规格不能满足技术要求，甲方有权终止合同并对乙方违约行为进行追究，同时按政府采购法的有关规定进行相应的处罚； （6）若乙方发生延迟交货，每延迟1日，应向甲方支付合同总金额1‰的违约金；延迟超过15日的，甲方有权单方解除合同，并要求乙方支付合同总金额20%的违约金，如该违约金不足以弥补甲方损失的，乙方还应予以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其他要求见附件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4.税收缴纳证明：提供投标截止日前一年内已缴纳的至少一个月的纳税证明或完税证明，依法免税的单位应提供相关证明材料。 5.社会保障资金缴纳证明：提供投标截止日前一年内已缴存的至少一个月的社会保障资金缴存单据或社保机构开具的社会保险参保缴费情况证明，依法不需要缴纳社会保障资金的单位应提供相关证明材料。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组织的营业执照等证明文件，自然人的身份证明；供应商是法人或其他组织的应提供营业执照等证明文件，供应商是自然人的应提供有效的自然人身份证明。 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3.提供具有履行合同所必需的设备和专业技术能力的承诺。 4.税收缴纳证明：提供投标截止日前一年内已缴纳的至少一个月的纳税证明或完税证明，依法免税的单位应提供相关证明材料。 5.社会保障资金缴纳证明：提供投标截止日前一年内已缴存的至少一个月的社会保障资金缴存单据或社保机构开具的社会保险参保缴费情况证明，依法不需要缴纳社会保障资金的单位应提供相关证明材料。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法定代表人授权书(附法定代表人、被授权人身份证复印件及投标截止日前一年内已缴存的至少一个月的社会保险参保缴费证明)，法定代表人直接参加投标，须提供法定代表人身份证明。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法定代表人授权书(附法定代表人、被授权人身份证复印件及投标截止日前一年内已缴存的至少一个月的社会保险参保缴费证明)，法定代表人直接参加投标，须提供法定代表人身份证明。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属于非专门面向中小企业采购。</w:t>
            </w:r>
          </w:p>
        </w:tc>
        <w:tc>
          <w:tcPr>
            <w:tcW w:type="dxa" w:w="3322"/>
          </w:tcPr>
          <w:p>
            <w:pPr>
              <w:pStyle w:val="null3"/>
            </w:pPr>
            <w:r>
              <w:rPr>
                <w:rFonts w:ascii="仿宋_GB2312" w:hAnsi="仿宋_GB2312" w:cs="仿宋_GB2312" w:eastAsia="仿宋_GB2312"/>
              </w:rPr>
              <w:t>属于非专门面向中小企业采购。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属于非专门面向中小企业采购。</w:t>
            </w:r>
          </w:p>
        </w:tc>
        <w:tc>
          <w:tcPr>
            <w:tcW w:type="dxa" w:w="3322"/>
          </w:tcPr>
          <w:p>
            <w:pPr>
              <w:pStyle w:val="null3"/>
            </w:pPr>
            <w:r>
              <w:rPr>
                <w:rFonts w:ascii="仿宋_GB2312" w:hAnsi="仿宋_GB2312" w:cs="仿宋_GB2312" w:eastAsia="仿宋_GB2312"/>
              </w:rPr>
              <w:t>属于非专门面向中小企业采购。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资格证明文件.docx 投标方案说明书.docx 分项报价表.docx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所投产品技术参数清楚、明确，并能逐条响应招标文件第三章“技术参数表”中全部技术参数满足要求的，得40分。带“★”的参数需求为实质性要求，供应商必须响应并满足，否则按无效投标处理。 （1）“▲”项(4项，共16分)参数要求，每负偏离一项扣4分； （2）非“▲”项(11项，共24分)参数要求,每负偏离一项扣2.19分,扣完为止。 （备注：（1）标▲项：须提供参数佐证材料，包括产品说明书或技术说明书或产品检测报告或产品彩页或官网截图或测试结果等，予以证明其技术参数的响应性；（2）非标▲项：以“技术规格响应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根据项目实际需求，提供完整详细的项目实施方案。内容包含①供货运输方案②安装验收方案③人员配备④质量保障措施。 二、评审标准 1、完整性：方案须全面，对评审内容中的各项要求有详细描述； 2、可实施性：切合本项目实际情况，实施步骤清晰、合理； 3、针对性：方案能够紧扣项目实际情况，内容科学合理。 三、赋分依据（满分12分） ①供货运输方案：每完全满足一个评审标准得1分；供货运输方案简单，不能满足评审标准，得0.5分。本项满分3分； ②安装验收方案:每完全满足一个评审标准得1分；安装验收方案简单，不能满足评审标准，得0.5分。本项满分3分； ③人员配备:每完全满足一个评审标准得1分，人员配备简单，不能满足评审标准，得0.5分。本项满分3分； ④质量保障措施:每完全满足一个评审标准得1分；质量保障措施简单，不能满足评审标准，得0.5分。本项满分3分。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2、针对性及可实施性：方案能够紧扣项目实际情况，实施步骤清晰、内容科学合理。 三、赋分依据（满分6分） ①售后服务内容及保障措施：每完全满足一个评审标准得2分；提供售后服务内容完全满足一个评审标准得2分；提供保障措施完全满足一个评审标准得2分；提供的售后服务内容或保障措施内容简单，不能满足一个评审标准，得1分。本项满分4分； ②响应时间及方式:每完全满足一个评审标准得1分；提供的响应时间及方式不能满足一个评审标准，得0.5分。本项满分2分。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根据项目实际需求，提供完整详细的项目培训方案。内容包含：①培训计划安排；②产品的安装调试培训；③日常操作及维护培训；④排除故障培训等。 二、评审标准 1、完整性：内容全面，对评审内容中的各项要求有详细描述； 2、针对性及可实施性：方案能够紧扣项目实际情况，实施步骤清晰，内容科学合理。 三、赋分依据（满分4分） ①培训计划安排：每完全满足一个评审标准得0.5分，满分1分； ②产品的安装调试培训:每完全满足一个评审标准得0.5分，满分1分； ③日常操作及维护培训:每完全满足一个评审标准得0.5分，满分1分； ④排除故障培训:每完全满足一个评审标准得0.5分，满分1分。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提供2023年1月1日以来类似项目业绩（以合同签订日期为准），每份合格业绩合同计2分，满分6分。 备注：需提供业绩完整合同及对应货款发票复印件（任意一张发票），并加盖投标人公章，以上两种证明材料同时提供方可得分，否则不得分。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2、有效最低报价为基准价得30分。 3、按（有效最低报价/有效投标报价）×30的公式计算其得分。 4、投标报价不完整的，不进入评标基准价的计算，本项得0分。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所投产品技术参数清楚、明确，并能逐条响应招标文件第三章“技术参数表”中全部技术参数满足要求的，得40分。带“★”项的技术参数为实质性要求，供应商必须响应并满足，否则按无效投标处理。 （1）“▲”项(11项，共22分)参数要求，每负偏离一项扣2分； （2）非标▲项(25项，共18分)参数要求,每负偏离一项扣0.72分； （备注：（1）标▲项：须提供参数佐证材料，包括产品说明书或技术说明书或产品检测报告或产品彩页或官网截图或测试结果等，予以证明其技术参数的响应性；（2）非标▲项：以“技术规格响应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根据项目实际需求，提供完整详细的项目实施方案。内容包含①供货运输方案②安装验收方案③人员配备④质量保障措施。 二、评审标准 1、完整性：方案须全面，对评审内容中的各项要求有详细描述； 2、可实施性：切合本项目实际情况，实施步骤清晰、合理； 3、针对性：方案能够紧扣项目实际情况，内容科学合理。 三、赋分依据（满分12分） ①供货运输方案：每完全满足一个评审标准得1分；供货运输方案简单，不能满足评审标准，得0.5分。本项满分3分； ②安装验收方案:每完全满足一个评审标准得1分；安装验收方案简单，不能满足评审标准，得0.5分。本项满分3分； ③人员配备:每完全满足一个评审标准得1分，人员配备简单，不能满足评审标准，得0.5分。本项满分3分； ④质量保障措施:每完全满足一个评审标准得1分；质量保障措施简单，不能满足评审标准，得0.5分。本项满分3分。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2、针对性及可实施性：方案能够紧扣项目实际情况，实施步骤清晰、内容科学合理。 三、赋分依据（满分6分） ①售后服务内容及保障措施：每完全满足一个评审标准得2分；提供售后服务内容完全满足一个评审标准得2分；提供保障措施完全满足一个评审标准得2分；提供的售后服务内容或保障措施内容简单，不能满足一个评审标准，得1分。本项满分4分； ②响应时间及方式:每完全满足一个评审标准得1分；提供的响应时间及方式不能满足一个评审标准，得0.5分。本项满分2分。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根据项目实际需求，提供完整详细的项目培训方案。内容包含：①培训计划安排；②产品的安装调试培训；③日常操作及维护培训；④排除故障培训等。 二、评审标准 1、完整性：内容全面，对评审内容中的各项要求有详细描述； 2、针对性及可实施性：方案能够紧扣项目实际情况，实施步骤清晰，内容科学合理。 三、赋分依据（满分4分） ①培训计划安排：每完全满足一个评审标准得0.5分，满分1分； ②产品的安装调试培训:每完全满足一个评审标准得0.5分，满分1分； ③日常操作及维护培训:每完全满足一个评审标准得0.5分，满分1分； ④排除故障培训:每完全满足一个评审标准得0.5分，满分1分。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提供2023年1月1日以来类似项目业绩（以合同签订日期为准），每份合格业绩合同计2分，满分6分。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1、经初审合格的投标文件，通过符合性审查的投标报价为有效投标价。对符合政策性扣减的有效投标报价进行政策性扣减，并依据扣减后的价格（评审价格）进行价格评审。 2.满足招标文件实质性要求且最终报价最低的供应商的价格为投标基准价，其价格分为满分30分。 3.投标报价得分=（投标基准价/最终投标报价）×30。 4.投标报价不完整的，不进入投标基准价的计算，本项得0分。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