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版本号：SXHC2026-20120260825001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市场监管局高新区分局采购承接省市下放管理事项（食药）服务外包采购项目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SXHC2026-201</w:t>
      </w:r>
      <w:r>
        <w:br/>
      </w:r>
      <w:r>
        <w:br/>
      </w:r>
      <w:r>
        <w:br/>
      </w:r>
    </w:p>
    <w:p>
      <w:pPr>
        <w:pStyle w:val="null3"/>
        <w:jc w:val="center"/>
        <w:outlineLvl w:val="2"/>
      </w:pPr>
      <w:r>
        <w:rPr>
          <w:rFonts w:ascii="仿宋_GB2312" w:hAnsi="仿宋_GB2312" w:cs="仿宋_GB2312" w:eastAsia="仿宋_GB2312"/>
          <w:sz w:val="28"/>
          <w:b/>
        </w:rPr>
        <w:t>西安高新技术产业开发区行政审批服务局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西安高新技术产业开发区行政审批服务局</w:t>
      </w:r>
      <w:r>
        <w:rPr>
          <w:rFonts w:ascii="仿宋_GB2312" w:hAnsi="仿宋_GB2312" w:cs="仿宋_GB2312" w:eastAsia="仿宋_GB2312"/>
        </w:rPr>
        <w:t>委托，拟对</w:t>
      </w:r>
      <w:r>
        <w:rPr>
          <w:rFonts w:ascii="仿宋_GB2312" w:hAnsi="仿宋_GB2312" w:cs="仿宋_GB2312" w:eastAsia="仿宋_GB2312"/>
        </w:rPr>
        <w:t>市场监管局高新区分局采购承接省市下放管理事项（食药）服务外包采购项目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SXHC2026-201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市场监管局高新区分局采购承接省市下放管理事项（食药）服务外包采购项目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拟委托第三方公司，为西安市市场监督管理局高新区分局承接的省、市级下放食品药品管理事权，提供窗口业务服务人员及后续人员管理服务事项。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采购包1（市场监管局高新区分局采购承接省市下放管理事项（食药）服务外包采购项目）：属于专门面向中小企业采购。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2、企业资质：供应商须具备有效的《人力资源服务许可证》。</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都市之门A座1503-1室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029-81122976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王丹妮、赵凡、张聪聪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029-68255920-804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根据《国家发展改革委关于进一步放开建设项目专业服务价格的通知》（发改价格〔2015〕299号）规定按定额收取，为人民币陆仟元整（¥6000.00）2、招标代理服务费可以采取现金、支票、银行汇票、电汇、网银等方式缴纳。 3、招标代理服务费缴纳信息： 银行户名：陕西华采招标有限公司 开户银行：招商银行陕西自贸试验区西安高新科技支行 账号：1299 0594 2210 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西安高新技术产业开发区行政审批服务局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联系电话：029-68255920-804</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拟委托第三方公司，为西安市市场监督管理局高新区分局承接的省、市级下放食品药品管理事权，提供窗口业务服务人员及后续人员管理服务事项。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806,000.00</w:t>
      </w:r>
    </w:p>
    <w:p>
      <w:pPr>
        <w:pStyle w:val="null3"/>
      </w:pPr>
      <w:r>
        <w:rPr>
          <w:rFonts w:ascii="仿宋_GB2312" w:hAnsi="仿宋_GB2312" w:cs="仿宋_GB2312" w:eastAsia="仿宋_GB2312"/>
        </w:rPr>
        <w:t>采购包最高限价（元）: 806,000.00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市场监管局高新区分局采购承接省市下放管理事项（食药）服务外包采购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标的名称：市场监管局高新区分局采购承接省市下放管理事项（食药）服务外包采购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拟委托第三方公司，为西安市市场监督管理局高新区分局承接的省、市级下放食品药品管理事权，提供窗口业务服务人员及后续人员管理服务事项。</w:t>
            </w:r>
          </w:p>
          <w:p>
            <w:pPr>
              <w:pStyle w:val="null3"/>
              <w:ind w:firstLine="380"/>
              <w:jc w:val="left"/>
            </w:pPr>
            <w:r>
              <w:rPr>
                <w:rFonts w:ascii="仿宋_GB2312" w:hAnsi="仿宋_GB2312" w:cs="仿宋_GB2312" w:eastAsia="仿宋_GB2312"/>
                <w:b/>
              </w:rPr>
              <w:t>二、</w:t>
            </w:r>
            <w:r>
              <w:rPr>
                <w:rFonts w:ascii="仿宋_GB2312" w:hAnsi="仿宋_GB2312" w:cs="仿宋_GB2312" w:eastAsia="仿宋_GB2312"/>
                <w:b/>
              </w:rPr>
              <w:t>人员需求</w:t>
            </w:r>
          </w:p>
          <w:p>
            <w:pPr>
              <w:pStyle w:val="null3"/>
              <w:ind w:firstLine="380"/>
              <w:jc w:val="left"/>
            </w:pPr>
            <w:r>
              <w:rPr>
                <w:rFonts w:ascii="仿宋_GB2312" w:hAnsi="仿宋_GB2312" w:cs="仿宋_GB2312" w:eastAsia="仿宋_GB2312"/>
              </w:rPr>
              <w:t>涉及2个岗位，需要人数为10人；劳务外包形式。（具体要求详见附表）</w:t>
            </w:r>
          </w:p>
          <w:tbl>
            <w:tblPr>
              <w:tblBorders>
                <w:top w:val="none" w:color="000000" w:sz="4"/>
                <w:left w:val="none" w:color="000000" w:sz="4"/>
                <w:bottom w:val="none" w:color="000000" w:sz="4"/>
                <w:right w:val="none" w:color="000000" w:sz="4"/>
                <w:insideH w:val="none"/>
                <w:insideV w:val="none"/>
              </w:tblBorders>
            </w:tblPr>
            <w:tblGrid>
              <w:gridCol w:w="262"/>
              <w:gridCol w:w="262"/>
              <w:gridCol w:w="262"/>
              <w:gridCol w:w="262"/>
              <w:gridCol w:w="319"/>
              <w:gridCol w:w="533"/>
              <w:gridCol w:w="651"/>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岗位名称</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年龄</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学历</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人数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专业</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岗位职责</w:t>
                  </w:r>
                </w:p>
              </w:tc>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任职条件</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食品业务窗口岗</w:t>
                  </w: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35周岁以下</w:t>
                  </w:r>
                </w:p>
              </w:tc>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本科及以上</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食品类相关专业</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负责食品、保健食品许可业务的咨询答疑、申请受理、线上数据录入；负责相关业务许可档案的分类管理。</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本科及以上学历，食品类相关专业；熟练掌握办公软件操作，熟悉食品、保健食品相关行业；具备2年以上相关工作经验，有窗口工作经验或中高级食品类职称者优先。</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药品业务窗口岗</w:t>
                  </w:r>
                </w:p>
              </w:tc>
              <w:tc>
                <w:tcPr>
                  <w:tcW w:type="dxa" w:w="262"/>
                  <w:vMerge/>
                  <w:tcBorders>
                    <w:top w:val="none" w:color="000000" w:sz="4"/>
                    <w:left w:val="single" w:color="000000" w:sz="4"/>
                    <w:bottom w:val="single" w:color="000000" w:sz="4"/>
                    <w:right w:val="single" w:color="000000" w:sz="4"/>
                  </w:tcBorders>
                </w:tcPr>
                <w:p/>
              </w:tc>
              <w:tc>
                <w:tcPr>
                  <w:tcW w:type="dxa" w:w="262"/>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医药类、医疗器械类相关专业</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负责药品、医疗器械、保健用品、化妆品许可业务的咨询答疑、申请受理、线上数据录入；负责相关业务许可档案的分类管理。</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本科及以上学历，医药类、医疗器械类相关专业；熟练掌握办公软件操作，熟悉药品、医疗器械、保健用品相关行业；具备2年以上相关工作经验，有窗口工作经验或中高级医药类职称者优先。</w:t>
                  </w:r>
                </w:p>
              </w:tc>
            </w:tr>
          </w:tbl>
          <w:p>
            <w:pPr>
              <w:pStyle w:val="null3"/>
              <w:ind w:firstLine="380"/>
              <w:jc w:val="left"/>
            </w:pPr>
            <w:r>
              <w:rPr>
                <w:rFonts w:ascii="仿宋_GB2312" w:hAnsi="仿宋_GB2312" w:cs="仿宋_GB2312" w:eastAsia="仿宋_GB2312"/>
                <w:b/>
              </w:rPr>
              <w:t>备注：除表格岗位要求，还有以下通用要求：</w:t>
            </w:r>
          </w:p>
          <w:p>
            <w:pPr>
              <w:pStyle w:val="null3"/>
              <w:ind w:firstLine="380"/>
              <w:jc w:val="left"/>
            </w:pPr>
            <w:r>
              <w:rPr>
                <w:rFonts w:ascii="仿宋_GB2312" w:hAnsi="仿宋_GB2312" w:cs="仿宋_GB2312" w:eastAsia="仿宋_GB2312"/>
              </w:rPr>
              <w:t>1.具有较强的沟通协调能力和工作责任心及服务意识，工作积极主动，能够承受压力，吃苦耐劳；</w:t>
            </w:r>
          </w:p>
          <w:p>
            <w:pPr>
              <w:pStyle w:val="null3"/>
              <w:ind w:firstLine="380"/>
              <w:jc w:val="left"/>
            </w:pPr>
            <w:r>
              <w:rPr>
                <w:rFonts w:ascii="仿宋_GB2312" w:hAnsi="仿宋_GB2312" w:cs="仿宋_GB2312" w:eastAsia="仿宋_GB2312"/>
              </w:rPr>
              <w:t>2.特别优秀者可适当放宽条件。</w:t>
            </w:r>
          </w:p>
          <w:p>
            <w:pPr>
              <w:pStyle w:val="null3"/>
              <w:ind w:firstLine="380"/>
              <w:jc w:val="left"/>
            </w:pPr>
            <w:r>
              <w:rPr>
                <w:rFonts w:ascii="仿宋_GB2312" w:hAnsi="仿宋_GB2312" w:cs="仿宋_GB2312" w:eastAsia="仿宋_GB2312"/>
                <w:b/>
              </w:rPr>
              <w:t>三、承担职责</w:t>
            </w:r>
          </w:p>
          <w:p>
            <w:pPr>
              <w:pStyle w:val="null3"/>
              <w:ind w:firstLine="380"/>
              <w:jc w:val="left"/>
            </w:pPr>
            <w:r>
              <w:rPr>
                <w:rFonts w:ascii="仿宋_GB2312" w:hAnsi="仿宋_GB2312" w:cs="仿宋_GB2312" w:eastAsia="仿宋_GB2312"/>
              </w:rPr>
              <w:t>负责食品、保健食品、药品、保健用品、医疗器械行业的日常行政许可申请受理、咨询和平台数据录入和档案资料收集工作； 负责做好对食品药品监督管理所各类许可审批的业务指导；负责单位行政许可电子档案管理；负责许可系统平台的维护及更新工作；负责对监管所许可系统平台的使用操作进行培训；负责撰写相关事项专项整治工作的方案、信息、总结上报；负责各类许可数据的统计、发送及上报工作；负责窗口许可审批事项各类应急处置工作;负责完成局领导交办的其他工作。</w:t>
            </w:r>
          </w:p>
          <w:p>
            <w:pPr>
              <w:pStyle w:val="null3"/>
              <w:ind w:firstLine="380"/>
              <w:jc w:val="left"/>
            </w:pPr>
            <w:r>
              <w:rPr>
                <w:rFonts w:ascii="仿宋_GB2312" w:hAnsi="仿宋_GB2312" w:cs="仿宋_GB2312" w:eastAsia="仿宋_GB2312"/>
                <w:b/>
              </w:rPr>
              <w:t>四、商务要求</w:t>
            </w:r>
          </w:p>
          <w:p>
            <w:pPr>
              <w:pStyle w:val="null3"/>
              <w:ind w:firstLine="380"/>
              <w:jc w:val="left"/>
            </w:pPr>
            <w:r>
              <w:rPr>
                <w:rFonts w:ascii="仿宋_GB2312" w:hAnsi="仿宋_GB2312" w:cs="仿宋_GB2312" w:eastAsia="仿宋_GB2312"/>
              </w:rPr>
              <w:t>（一）服务期限：自合同签订之日起一年。（在后期项目实施阶段采购人可根据《政府购买服务管理办法》（财政部令第 102 号）文件的规定，在费用不变，合同内容不变，且符合合同服务内容和要求，量化考核达标的情况下，为了保证服务工作的延续性，可进行续签，续签合同期限不超过两年）。</w:t>
            </w:r>
          </w:p>
          <w:p>
            <w:pPr>
              <w:pStyle w:val="null3"/>
              <w:ind w:firstLine="482"/>
              <w:jc w:val="both"/>
            </w:pPr>
            <w:r>
              <w:rPr>
                <w:rFonts w:ascii="仿宋_GB2312" w:hAnsi="仿宋_GB2312" w:cs="仿宋_GB2312" w:eastAsia="仿宋_GB2312"/>
              </w:rPr>
              <w:t>（二）服务地点：采购人指定地点。</w:t>
            </w:r>
          </w:p>
          <w:p>
            <w:pPr>
              <w:pStyle w:val="null3"/>
              <w:ind w:firstLine="380"/>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自合同签订之日起一年。（在后期项目实施阶段采购人可根据《政府购买服务管理办法》（财政部令第 102 号）文件的规定，在费用不变，合同内容不变，且符合合同服务内容和要求，量化考核达标的情况下，为了保证服务工作的延续性，可进行续签，续签合同期限不超过两年）。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进度款，第二个季度开始后，达到付款条件起30个工作日内，支付合同总金额的20.0%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进度款，第三个季度开始后，达到付款条件起30个工作日内，支付合同总金额的30.0%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进度款，第四个季度开始后，达到付款条件起30个工作日内，支付合同总金额的20.0%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因系统格式设置无法调整，合同付款支付要求以第8章“拟签订采购合同文本”中体现的内容为准。3、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供应商须具备有效的《人力资源服务许可证》。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项目需求理解与分析</w:t>
            </w:r>
          </w:p>
        </w:tc>
        <w:tc>
          <w:tcPr>
            <w:tcW w:type="dxa" w:w="2492"/>
          </w:tcPr>
          <w:p>
            <w:pPr>
              <w:pStyle w:val="null3"/>
            </w:pPr>
            <w:r>
              <w:rPr>
                <w:rFonts w:ascii="仿宋_GB2312" w:hAnsi="仿宋_GB2312" w:cs="仿宋_GB2312" w:eastAsia="仿宋_GB2312"/>
              </w:rPr>
              <w:t>项目需求理解与分析内容至少包括①对项目理解；②服务目标；③项目重难点分析；④解决办法及应对措施等。以上内容专门针对本项目且符合本项目实际需求的得8分，每缺一项内容扣2分，评审内容有瑕疵的根据情况扣分，扣完为止。备注：评审内容“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内容至少包括①人员分配方案；②劳动合同管理方案；③服务流程；④薪资福利管理及社保缴纳方案；⑤培训方案；⑥人员调配与优化方案等。以上内容专门针对本项目且符合本项目实际需求的得12分，每缺一项内容扣2分，评审内容有瑕疵的根据情况扣分，扣完为止。备注：评审内容“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服务质量保障至少包括①服务质量监控与反馈机制；②日常监督机制；③服务质量保障措施等。以上内容专门针对本项目且符合本项目实际需求的得6分，每缺一项内容扣2分，评审内容有瑕疵的根据情况扣分，扣完为止。备注：评审内容“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管理制度与考核机制</w:t>
            </w:r>
          </w:p>
        </w:tc>
        <w:tc>
          <w:tcPr>
            <w:tcW w:type="dxa" w:w="2492"/>
          </w:tcPr>
          <w:p>
            <w:pPr>
              <w:pStyle w:val="null3"/>
            </w:pPr>
            <w:r>
              <w:rPr>
                <w:rFonts w:ascii="仿宋_GB2312" w:hAnsi="仿宋_GB2312" w:cs="仿宋_GB2312" w:eastAsia="仿宋_GB2312"/>
              </w:rPr>
              <w:t>管理制度与考核机制内容至少包括①人员行为规范；②考勤制度；③薪酬与绩效考核制度；④安全与保密制度等。以上内容专门针对本项目且符合本项目实际需求的得8分，每缺一项内容扣2分，评审内容有瑕疵的根据情况扣分，扣完为止。备注：评审内容“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应急预案与突发事件处置方案</w:t>
            </w:r>
          </w:p>
        </w:tc>
        <w:tc>
          <w:tcPr>
            <w:tcW w:type="dxa" w:w="2492"/>
          </w:tcPr>
          <w:p>
            <w:pPr>
              <w:pStyle w:val="null3"/>
            </w:pPr>
            <w:r>
              <w:rPr>
                <w:rFonts w:ascii="仿宋_GB2312" w:hAnsi="仿宋_GB2312" w:cs="仿宋_GB2312" w:eastAsia="仿宋_GB2312"/>
              </w:rPr>
              <w:t>应急预案与突发事件处置方案内容至少包括①劳动纠纷或人员管理突发事件处置；②人员变动（离职、病假等）应急补充；③紧急临时用工调配等。以上内容专门针对本项目且符合本项目实际需求的得6分，每缺一项内容扣2分，评审内容有瑕疵的根据情况扣分，扣完为止。备注：评审内容“ 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为更好的服务于本项目及采购人，供应商对项目提出相应的服务承诺（包含针对本项目的人员合法合规用工承诺、人员稳定性承诺、服务质量和效率承诺、保密与安全承诺等）每提供一项得4分，最高得16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项目负责人要求</w:t>
            </w:r>
          </w:p>
        </w:tc>
        <w:tc>
          <w:tcPr>
            <w:tcW w:type="dxa" w:w="2492"/>
          </w:tcPr>
          <w:p>
            <w:pPr>
              <w:pStyle w:val="null3"/>
            </w:pPr>
            <w:r>
              <w:rPr>
                <w:rFonts w:ascii="仿宋_GB2312" w:hAnsi="仿宋_GB2312" w:cs="仿宋_GB2312" w:eastAsia="仿宋_GB2312"/>
              </w:rPr>
              <w:t>项目负责人具有相关领域工作经验和曾担任过类似项目（提供曾担任过类似项目证明材料，需体现项目负责人姓名），每提供一个计3分，满分9分。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针对本项目提供完整的人员配置清单（清单内容至少包含：姓名、年龄、本科及以上学历证书、岗位工作职责、工作经验等），至少包含：食品业务窗口岗、药品业务窗口岗；完全满足得10分，每少1类人员扣5分。注：本项目需要人数为10人。少于10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供应商具有2023年1月1日至今（以合同签订时间为准）类似项目业绩，响应文件中提供合同复印件并加盖供应商公章，每提供一个得3分，最高得15分。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采用低价优先法计算，即满足磋商文件内容及技术要求且最后报价最低的投标价为评标基准价，其价格分为满分。 最后报价得分=（评标基准价／磋商报价）×价格权值×100。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