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版本号：ZCSP-华县-2026-0009220260706002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渭南市华州区花椒低产低效林改造示范项目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ZCSP-华县-2026-00092</w:t>
      </w:r>
      <w:r>
        <w:br/>
      </w:r>
      <w:r>
        <w:br/>
      </w:r>
      <w:r>
        <w:br/>
      </w:r>
    </w:p>
    <w:p>
      <w:pPr>
        <w:pStyle w:val="null3"/>
        <w:jc w:val="center"/>
        <w:outlineLvl w:val="2"/>
      </w:pPr>
      <w:r>
        <w:rPr>
          <w:rFonts w:ascii="仿宋_GB2312" w:hAnsi="仿宋_GB2312" w:cs="仿宋_GB2312" w:eastAsia="仿宋_GB2312"/>
          <w:sz w:val="28"/>
          <w:b/>
        </w:rPr>
        <w:t>渭南市华州区林业局</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渭南市华州区林业局</w:t>
      </w:r>
      <w:r>
        <w:rPr>
          <w:rFonts w:ascii="仿宋_GB2312" w:hAnsi="仿宋_GB2312" w:cs="仿宋_GB2312" w:eastAsia="仿宋_GB2312"/>
        </w:rPr>
        <w:t>委托，拟对</w:t>
      </w:r>
      <w:r>
        <w:rPr>
          <w:rFonts w:ascii="仿宋_GB2312" w:hAnsi="仿宋_GB2312" w:cs="仿宋_GB2312" w:eastAsia="仿宋_GB2312"/>
        </w:rPr>
        <w:t>渭南市华州区花椒低产低效林改造示范项目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ZCSP-华县-2026-00092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渭南市华州区花椒低产低效林改造示范项目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为促进花椒低产低效林改造示范建设，本项目计划采购一批肥料、太阳能杀虫灯、农药、修剪工具等相关农产品及配套技术农业服务。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采购包1（渭南市华州区花椒低产低效林改造示范项目）：属于专门面向中小企业采购。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及法定代表人身份证明书（附法定代表人及被授权人身份证复印件），</w:t>
      </w:r>
    </w:p>
    <w:p>
      <w:pPr>
        <w:pStyle w:val="null3"/>
      </w:pPr>
      <w:r>
        <w:rPr>
          <w:rFonts w:ascii="仿宋_GB2312" w:hAnsi="仿宋_GB2312" w:cs="仿宋_GB2312" w:eastAsia="仿宋_GB2312"/>
        </w:rPr>
        <w:t>2、投标保证金：投标保证金交纳凭证</w:t>
      </w:r>
    </w:p>
    <w:p>
      <w:pPr>
        <w:pStyle w:val="null3"/>
      </w:pPr>
      <w:r>
        <w:rPr>
          <w:rFonts w:ascii="仿宋_GB2312" w:hAnsi="仿宋_GB2312" w:cs="仿宋_GB2312" w:eastAsia="仿宋_GB2312"/>
        </w:rPr>
        <w:t>3、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渭南市华州区新秦南路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吝建锋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0913-4731433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0913-2130688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 xml:space="preserve"> 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原国家计委关于《招标代理服务收费管理暂行办法》（计价格〔2002〕1980号）以及国家发改价格〔2011〕534号文件规定中代理费计算方式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渭南市华州区林业局</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另行约定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1.所供产品的规格、数量符合招标文件、投标人承诺及采购合同约定的要求。 2.所有货物均已运输至指定地点。 3.招标文件、投标人承诺及采购合同约定的附件、工具、技术资料等齐全；提供产品使用说明书、合格证。 4.验收 4.1项目验收分初验和终验: 初验：货物到达交货地点后，由使用单位根据合同对货物的名称、品牌、规格、型号、产地、数量进行检查。 终验：所有货物提供完毕，正常使用20个日历日后，由采购人进行终验（最终验收），合格后签发《终验合格单》。 验收不合格的中标单位，必须在接到通知后7个日历日内确保货物通过验收。如接到通知后7个日历日内验收仍不合格，采购人可提出索赔或取消其供货合同。采购代理机构将把中标资格授予评审排序下一名的中标单位。 4.2验收依据 4.2.1合同文本及合同补充文件（条款）； 4.2.2产品的合法来源渠道证明文件、佐证材料； 4.2.3招标文件； 4.2.4中标人的投标文件； 4.2.5货物清单； 4.2.6生产厂家货物的执行标准。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联系人：田晶</w:t>
      </w:r>
    </w:p>
    <w:p>
      <w:pPr>
        <w:pStyle w:val="null3"/>
      </w:pPr>
      <w:r>
        <w:rPr>
          <w:rFonts w:ascii="仿宋_GB2312" w:hAnsi="仿宋_GB2312" w:cs="仿宋_GB2312" w:eastAsia="仿宋_GB2312"/>
        </w:rPr>
        <w:t>联系电话： 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为保障花椒示范基地顺利建设，本项目计划采购 一批肥料、农药、杀虫灯、涂白剂等相关货物及花椒基地建设的相关配套技术服务。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953,000.00</w:t>
      </w:r>
    </w:p>
    <w:p>
      <w:pPr>
        <w:pStyle w:val="null3"/>
      </w:pPr>
      <w:r>
        <w:rPr>
          <w:rFonts w:ascii="仿宋_GB2312" w:hAnsi="仿宋_GB2312" w:cs="仿宋_GB2312" w:eastAsia="仿宋_GB2312"/>
        </w:rPr>
        <w:t>采购包最高限价（元）: 953,000.00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渭南市华州区花椒低产低效林改造示范项目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标的名称：渭南市华州区花椒低产低效林改造示范项目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sz w:val="24"/>
                <w:b/>
              </w:rPr>
              <w:t>一、采购内容及数量</w:t>
            </w:r>
          </w:p>
          <w:p>
            <w:pPr>
              <w:pStyle w:val="null3"/>
              <w:ind w:firstLine="482"/>
              <w:jc w:val="both"/>
            </w:pPr>
            <w:r>
              <w:rPr>
                <w:rFonts w:ascii="仿宋_GB2312" w:hAnsi="仿宋_GB2312" w:cs="仿宋_GB2312" w:eastAsia="仿宋_GB2312"/>
                <w:sz w:val="24"/>
                <w:b/>
              </w:rPr>
              <w:t>1.采购清单</w:t>
            </w:r>
          </w:p>
          <w:p>
            <w:pPr>
              <w:pStyle w:val="null3"/>
              <w:ind w:firstLine="482"/>
              <w:jc w:val="both"/>
            </w:pPr>
            <w:r>
              <w:rPr>
                <w:rFonts w:ascii="仿宋_GB2312" w:hAnsi="仿宋_GB2312" w:cs="仿宋_GB2312" w:eastAsia="仿宋_GB2312"/>
                <w:sz w:val="24"/>
                <w:b/>
              </w:rPr>
              <w:t>一、采购内容及数量</w:t>
            </w:r>
          </w:p>
          <w:p>
            <w:pPr>
              <w:pStyle w:val="null3"/>
              <w:ind w:firstLine="482"/>
              <w:jc w:val="both"/>
            </w:pPr>
            <w:r>
              <w:rPr>
                <w:rFonts w:ascii="仿宋_GB2312" w:hAnsi="仿宋_GB2312" w:cs="仿宋_GB2312" w:eastAsia="仿宋_GB2312"/>
                <w:sz w:val="24"/>
                <w:b/>
              </w:rPr>
              <w:t>1.采购清单</w:t>
            </w:r>
          </w:p>
          <w:tbl>
            <w:tblPr>
              <w:tblBorders>
                <w:top w:val="none" w:color="000000" w:sz="4"/>
                <w:left w:val="none" w:color="000000" w:sz="4"/>
                <w:bottom w:val="none" w:color="000000" w:sz="4"/>
                <w:right w:val="none" w:color="000000" w:sz="4"/>
                <w:insideH w:val="none"/>
                <w:insideV w:val="none"/>
              </w:tblBorders>
            </w:tblPr>
            <w:tblGrid>
              <w:gridCol w:w="1105"/>
              <w:gridCol w:w="761"/>
              <w:gridCol w:w="686"/>
            </w:tblGrid>
            <w:tr>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采购标的</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有机肥</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1625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复合肥（为核心产品）</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磷酸二氢钾</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微量元素肥</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太阳能杀虫灯</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盏</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黄板</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性诱捕器</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杀菌剂</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杀虫剂</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袋</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树干涂白剂</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斤</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修剪工具</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技术培训手册</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份</w:t>
                  </w:r>
                </w:p>
              </w:tc>
            </w:tr>
            <w:tr>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宣传牌</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sz w:val="24"/>
                <w:b/>
              </w:rPr>
              <w:t>二、产品技术</w:t>
            </w:r>
            <w:r>
              <w:rPr>
                <w:rFonts w:ascii="仿宋_GB2312" w:hAnsi="仿宋_GB2312" w:cs="仿宋_GB2312" w:eastAsia="仿宋_GB2312"/>
                <w:sz w:val="24"/>
                <w:b/>
              </w:rPr>
              <w:t>参数</w:t>
            </w:r>
            <w:r>
              <w:rPr>
                <w:rFonts w:ascii="仿宋_GB2312" w:hAnsi="仿宋_GB2312" w:cs="仿宋_GB2312" w:eastAsia="仿宋_GB2312"/>
                <w:sz w:val="24"/>
                <w:b/>
              </w:rPr>
              <w:t>要求</w:t>
            </w:r>
          </w:p>
          <w:tbl>
            <w:tblPr>
              <w:tblBorders>
                <w:top w:val="none" w:color="000000" w:sz="4"/>
                <w:left w:val="none" w:color="000000" w:sz="4"/>
                <w:bottom w:val="none" w:color="000000" w:sz="4"/>
                <w:right w:val="none" w:color="000000" w:sz="4"/>
                <w:insideH w:val="none"/>
                <w:insideV w:val="none"/>
              </w:tblBorders>
            </w:tblPr>
            <w:tblGrid>
              <w:gridCol w:w="191"/>
              <w:gridCol w:w="455"/>
              <w:gridCol w:w="1907"/>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采购名称</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rPr>
                    <w:t>技术参数要求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有机肥</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40Kg/袋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外观：颗粒状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有效活性菌</w:t>
                  </w:r>
                  <w:r>
                    <w:rPr>
                      <w:rFonts w:ascii="仿宋_GB2312" w:hAnsi="仿宋_GB2312" w:cs="仿宋_GB2312" w:eastAsia="仿宋_GB2312"/>
                      <w:sz w:val="24"/>
                    </w:rPr>
                    <w:t>：</w:t>
                  </w:r>
                  <w:r>
                    <w:rPr>
                      <w:rFonts w:ascii="仿宋_GB2312" w:hAnsi="仿宋_GB2312" w:cs="仿宋_GB2312" w:eastAsia="仿宋_GB2312"/>
                      <w:sz w:val="24"/>
                    </w:rPr>
                    <w:t>≥0.2亿/g，</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有机质</w:t>
                  </w:r>
                  <w:r>
                    <w:rPr>
                      <w:rFonts w:ascii="仿宋_GB2312" w:hAnsi="仿宋_GB2312" w:cs="仿宋_GB2312" w:eastAsia="仿宋_GB2312"/>
                      <w:sz w:val="24"/>
                    </w:rPr>
                    <w:t>：</w:t>
                  </w:r>
                  <w:r>
                    <w:rPr>
                      <w:rFonts w:ascii="仿宋_GB2312" w:hAnsi="仿宋_GB2312" w:cs="仿宋_GB2312" w:eastAsia="仿宋_GB2312"/>
                      <w:sz w:val="24"/>
                    </w:rPr>
                    <w:t>≥40%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pH 值</w:t>
                  </w:r>
                  <w:r>
                    <w:rPr>
                      <w:rFonts w:ascii="仿宋_GB2312" w:hAnsi="仿宋_GB2312" w:cs="仿宋_GB2312" w:eastAsia="仿宋_GB2312"/>
                      <w:sz w:val="24"/>
                    </w:rPr>
                    <w:t>：</w:t>
                  </w:r>
                  <w:r>
                    <w:rPr>
                      <w:rFonts w:ascii="仿宋_GB2312" w:hAnsi="仿宋_GB2312" w:cs="仿宋_GB2312" w:eastAsia="仿宋_GB2312"/>
                      <w:sz w:val="24"/>
                    </w:rPr>
                    <w:t>5.5</w:t>
                  </w:r>
                  <w:r>
                    <w:rPr>
                      <w:rFonts w:ascii="仿宋_GB2312" w:hAnsi="仿宋_GB2312" w:cs="仿宋_GB2312" w:eastAsia="仿宋_GB2312"/>
                      <w:sz w:val="24"/>
                    </w:rPr>
                    <w:t>～</w:t>
                  </w:r>
                  <w:r>
                    <w:rPr>
                      <w:rFonts w:ascii="仿宋_GB2312" w:hAnsi="仿宋_GB2312" w:cs="仿宋_GB2312" w:eastAsia="仿宋_GB2312"/>
                      <w:sz w:val="24"/>
                    </w:rPr>
                    <w:t>8.5</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水分：</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.0%</w:t>
                  </w:r>
                </w:p>
                <w:p>
                  <w:pPr>
                    <w:pStyle w:val="null3"/>
                    <w:jc w:val="both"/>
                  </w:pPr>
                  <w:r>
                    <w:rPr>
                      <w:rFonts w:ascii="仿宋_GB2312" w:hAnsi="仿宋_GB2312" w:cs="仿宋_GB2312" w:eastAsia="仿宋_GB2312"/>
                      <w:sz w:val="24"/>
                    </w:rPr>
                    <w:t>★7、提供农业部的《肥料登记证》，未提供按无效投标处理。</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复合肥</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50K</w:t>
                  </w:r>
                  <w:r>
                    <w:rPr>
                      <w:rFonts w:ascii="仿宋_GB2312" w:hAnsi="仿宋_GB2312" w:cs="仿宋_GB2312" w:eastAsia="仿宋_GB2312"/>
                      <w:sz w:val="24"/>
                    </w:rPr>
                    <w:t>g/</w:t>
                  </w:r>
                  <w:r>
                    <w:rPr>
                      <w:rFonts w:ascii="仿宋_GB2312" w:hAnsi="仿宋_GB2312" w:cs="仿宋_GB2312" w:eastAsia="仿宋_GB2312"/>
                      <w:sz w:val="24"/>
                    </w:rPr>
                    <w:t>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外观：颗粒状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水分：</w:t>
                  </w:r>
                  <w:r>
                    <w:rPr>
                      <w:rFonts w:ascii="仿宋_GB2312" w:hAnsi="仿宋_GB2312" w:cs="仿宋_GB2312" w:eastAsia="仿宋_GB2312"/>
                      <w:sz w:val="24"/>
                    </w:rPr>
                    <w:t>≤2.0%</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总养分</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氮</w:t>
                  </w:r>
                  <w:r>
                    <w:rPr>
                      <w:rFonts w:ascii="仿宋_GB2312" w:hAnsi="仿宋_GB2312" w:cs="仿宋_GB2312" w:eastAsia="仿宋_GB2312"/>
                      <w:sz w:val="24"/>
                    </w:rPr>
                    <w:t xml:space="preserve"> (N)</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五氧化二磷</w:t>
                  </w:r>
                  <w:r>
                    <w:rPr>
                      <w:rFonts w:ascii="仿宋_GB2312" w:hAnsi="仿宋_GB2312" w:cs="仿宋_GB2312" w:eastAsia="仿宋_GB2312"/>
                      <w:sz w:val="24"/>
                    </w:rPr>
                    <w:t xml:space="preserve"> (P₂O₅)</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氧化钾</w:t>
                  </w:r>
                  <w:r>
                    <w:rPr>
                      <w:rFonts w:ascii="仿宋_GB2312" w:hAnsi="仿宋_GB2312" w:cs="仿宋_GB2312" w:eastAsia="仿宋_GB2312"/>
                      <w:sz w:val="24"/>
                    </w:rPr>
                    <w:t xml:space="preserve"> (K₂O)</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磷酸二氢钾</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500g/袋</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性状：粉末</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水分</w:t>
                  </w:r>
                  <w:r>
                    <w:rPr>
                      <w:rFonts w:ascii="仿宋_GB2312" w:hAnsi="仿宋_GB2312" w:cs="仿宋_GB2312" w:eastAsia="仿宋_GB2312"/>
                      <w:sz w:val="24"/>
                    </w:rPr>
                    <w:t>：</w:t>
                  </w:r>
                  <w:r>
                    <w:rPr>
                      <w:rFonts w:ascii="仿宋_GB2312" w:hAnsi="仿宋_GB2312" w:cs="仿宋_GB2312" w:eastAsia="仿宋_GB2312"/>
                      <w:sz w:val="24"/>
                    </w:rPr>
                    <w:t>≤2.0%</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磷</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钾</w:t>
                  </w:r>
                  <w:r>
                    <w:rPr>
                      <w:rFonts w:ascii="仿宋_GB2312" w:hAnsi="仿宋_GB2312" w:cs="仿宋_GB2312" w:eastAsia="仿宋_GB2312"/>
                      <w:sz w:val="24"/>
                    </w:rPr>
                    <w:t>：</w:t>
                  </w:r>
                  <w:r>
                    <w:rPr>
                      <w:rFonts w:ascii="仿宋_GB2312" w:hAnsi="仿宋_GB2312" w:cs="仿宋_GB2312" w:eastAsia="仿宋_GB2312"/>
                      <w:sz w:val="24"/>
                    </w:rPr>
                    <w:t>≥34.0%</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氯离子（</w:t>
                  </w:r>
                  <w:r>
                    <w:rPr>
                      <w:rFonts w:ascii="仿宋_GB2312" w:hAnsi="仿宋_GB2312" w:cs="仿宋_GB2312" w:eastAsia="仿宋_GB2312"/>
                      <w:sz w:val="24"/>
                    </w:rPr>
                    <w:t>Cl⁻）</w:t>
                  </w:r>
                  <w:r>
                    <w:rPr>
                      <w:rFonts w:ascii="仿宋_GB2312" w:hAnsi="仿宋_GB2312" w:cs="仿宋_GB2312" w:eastAsia="仿宋_GB2312"/>
                      <w:sz w:val="24"/>
                    </w:rPr>
                    <w:t>：</w:t>
                  </w:r>
                  <w:r>
                    <w:rPr>
                      <w:rFonts w:ascii="仿宋_GB2312" w:hAnsi="仿宋_GB2312" w:cs="仿宋_GB2312" w:eastAsia="仿宋_GB2312"/>
                      <w:sz w:val="24"/>
                    </w:rPr>
                    <w:t>≤0.1%</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4"/>
                    </w:rPr>
                    <w:t>水不溶物</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PH值：3</w:t>
                  </w:r>
                  <w:r>
                    <w:rPr>
                      <w:rFonts w:ascii="仿宋_GB2312" w:hAnsi="仿宋_GB2312" w:cs="仿宋_GB2312" w:eastAsia="仿宋_GB2312"/>
                      <w:sz w:val="24"/>
                    </w:rPr>
                    <w:t>～</w:t>
                  </w:r>
                  <w:r>
                    <w:rPr>
                      <w:rFonts w:ascii="仿宋_GB2312" w:hAnsi="仿宋_GB2312" w:cs="仿宋_GB2312" w:eastAsia="仿宋_GB2312"/>
                      <w:sz w:val="24"/>
                    </w:rPr>
                    <w:t>9</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微量元素肥</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500ML/瓶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氨基酸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g/L</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微量元素</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g/L</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水不溶物</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g/L</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pH（1:250 稀释）</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9</w:t>
                  </w:r>
                  <w:r>
                    <w:rPr>
                      <w:rFonts w:ascii="仿宋_GB2312" w:hAnsi="仿宋_GB2312" w:cs="仿宋_GB2312" w:eastAsia="仿宋_GB2312"/>
                      <w:sz w:val="24"/>
                    </w:rPr>
                    <w:t>.0</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太阳能杀虫灯</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330mm*330mm*800mm（±5mm）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光源：</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材质：单晶硅光伏板</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直径：</w:t>
                  </w:r>
                  <w:r>
                    <w:rPr>
                      <w:rFonts w:ascii="仿宋_GB2312" w:hAnsi="仿宋_GB2312" w:cs="仿宋_GB2312" w:eastAsia="仿宋_GB2312"/>
                      <w:sz w:val="24"/>
                    </w:rPr>
                    <w:t>≥</w:t>
                  </w:r>
                  <w:r>
                    <w:rPr>
                      <w:rFonts w:ascii="仿宋_GB2312" w:hAnsi="仿宋_GB2312" w:cs="仿宋_GB2312" w:eastAsia="仿宋_GB2312"/>
                      <w:sz w:val="24"/>
                    </w:rPr>
                    <w:t>80mm</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光源类型：</w:t>
                  </w:r>
                  <w:r>
                    <w:rPr>
                      <w:rFonts w:ascii="仿宋_GB2312" w:hAnsi="仿宋_GB2312" w:cs="仿宋_GB2312" w:eastAsia="仿宋_GB2312"/>
                      <w:sz w:val="24"/>
                    </w:rPr>
                    <w:t>LED 频振诱虫灯管</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亮灯时间：</w:t>
                  </w:r>
                  <w:r>
                    <w:rPr>
                      <w:rFonts w:ascii="仿宋_GB2312" w:hAnsi="仿宋_GB2312" w:cs="仿宋_GB2312" w:eastAsia="仿宋_GB2312"/>
                      <w:sz w:val="24"/>
                    </w:rPr>
                    <w:t>≥</w:t>
                  </w:r>
                  <w:r>
                    <w:rPr>
                      <w:rFonts w:ascii="仿宋_GB2312" w:hAnsi="仿宋_GB2312" w:cs="仿宋_GB2312" w:eastAsia="仿宋_GB2312"/>
                      <w:sz w:val="24"/>
                    </w:rPr>
                    <w:t>6小时</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黄板</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25cm*30cm（</w:t>
                  </w:r>
                  <w:r>
                    <w:rPr>
                      <w:rFonts w:ascii="仿宋_GB2312" w:hAnsi="仿宋_GB2312" w:cs="仿宋_GB2312" w:eastAsia="仿宋_GB2312"/>
                      <w:sz w:val="24"/>
                    </w:rPr>
                    <w:t>±0.5cm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板材基材</w:t>
                  </w:r>
                  <w:r>
                    <w:rPr>
                      <w:rFonts w:ascii="仿宋_GB2312" w:hAnsi="仿宋_GB2312" w:cs="仿宋_GB2312" w:eastAsia="仿宋_GB2312"/>
                      <w:sz w:val="24"/>
                    </w:rPr>
                    <w:t>：</w:t>
                  </w:r>
                  <w:r>
                    <w:rPr>
                      <w:rFonts w:ascii="仿宋_GB2312" w:hAnsi="仿宋_GB2312" w:cs="仿宋_GB2312" w:eastAsia="仿宋_GB2312"/>
                      <w:sz w:val="24"/>
                    </w:rPr>
                    <w:t>PP 塑料板，厚度≥0.3mm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涂胶厚度：单面胶层</w:t>
                  </w:r>
                  <w:r>
                    <w:rPr>
                      <w:rFonts w:ascii="仿宋_GB2312" w:hAnsi="仿宋_GB2312" w:cs="仿宋_GB2312" w:eastAsia="仿宋_GB2312"/>
                      <w:sz w:val="24"/>
                    </w:rPr>
                    <w:t>≥0.03mm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波长</w:t>
                  </w:r>
                  <w:r>
                    <w:rPr>
                      <w:rFonts w:ascii="仿宋_GB2312" w:hAnsi="仿宋_GB2312" w:cs="仿宋_GB2312" w:eastAsia="仿宋_GB2312"/>
                      <w:sz w:val="24"/>
                    </w:rPr>
                    <w:t>550～580nm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性能：</w:t>
                  </w:r>
                  <w:r>
                    <w:rPr>
                      <w:rFonts w:ascii="仿宋_GB2312" w:hAnsi="仿宋_GB2312" w:cs="仿宋_GB2312" w:eastAsia="仿宋_GB2312"/>
                      <w:sz w:val="24"/>
                    </w:rPr>
                    <w:t>诱杀花椒蚜虫、粉虱、斑潜蝇、小食心虫成虫等</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持效期：户外自然环境有效粘虫时长</w:t>
                  </w:r>
                  <w:r>
                    <w:rPr>
                      <w:rFonts w:ascii="仿宋_GB2312" w:hAnsi="仿宋_GB2312" w:cs="仿宋_GB2312" w:eastAsia="仿宋_GB2312"/>
                      <w:sz w:val="24"/>
                    </w:rPr>
                    <w:t>≥60天</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性诱捕器</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1、整体高度：20～25cm；桶身直径 14～16cm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锥形进虫口内径</w:t>
                  </w:r>
                  <w:r>
                    <w:rPr>
                      <w:rFonts w:ascii="仿宋_GB2312" w:hAnsi="仿宋_GB2312" w:cs="仿宋_GB2312" w:eastAsia="仿宋_GB2312"/>
                      <w:sz w:val="24"/>
                    </w:rPr>
                    <w:t>≥4cm</w:t>
                  </w:r>
                </w:p>
                <w:p>
                  <w:pPr>
                    <w:pStyle w:val="null3"/>
                    <w:jc w:val="both"/>
                  </w:pPr>
                  <w:r>
                    <w:rPr>
                      <w:rFonts w:ascii="仿宋_GB2312" w:hAnsi="仿宋_GB2312" w:cs="仿宋_GB2312" w:eastAsia="仿宋_GB2312"/>
                      <w:sz w:val="24"/>
                    </w:rPr>
                    <w:t>3、含诱芯，对窄吉丁进行诱杀</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杀菌剂</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1、规格：</w:t>
                  </w:r>
                  <w:r>
                    <w:rPr>
                      <w:rFonts w:ascii="仿宋_GB2312" w:hAnsi="仿宋_GB2312" w:cs="仿宋_GB2312" w:eastAsia="仿宋_GB2312"/>
                      <w:sz w:val="24"/>
                    </w:rPr>
                    <w:t>≥</w:t>
                  </w:r>
                  <w:r>
                    <w:rPr>
                      <w:rFonts w:ascii="仿宋_GB2312" w:hAnsi="仿宋_GB2312" w:cs="仿宋_GB2312" w:eastAsia="仿宋_GB2312"/>
                      <w:sz w:val="24"/>
                    </w:rPr>
                    <w:t>20克/袋</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剂型：微乳剂，透明均相液体，无分层、无油珠、无沉淀</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吡唑</w:t>
                  </w:r>
                  <w:r>
                    <w:rPr>
                      <w:rFonts w:ascii="仿宋_GB2312" w:hAnsi="仿宋_GB2312" w:cs="仿宋_GB2312" w:eastAsia="仿宋_GB2312"/>
                      <w:sz w:val="24"/>
                    </w:rPr>
                    <w:t>醚菌酯质量分数</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1.0</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戊唑醇质量分数</w:t>
                  </w:r>
                  <w:r>
                    <w:rPr>
                      <w:rFonts w:ascii="仿宋_GB2312" w:hAnsi="仿宋_GB2312" w:cs="仿宋_GB2312" w:eastAsia="仿宋_GB2312"/>
                      <w:sz w:val="24"/>
                    </w:rPr>
                    <w:t>：</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1.2</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pH 值</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.0～</w:t>
                  </w:r>
                  <w:r>
                    <w:rPr>
                      <w:rFonts w:ascii="仿宋_GB2312" w:hAnsi="仿宋_GB2312" w:cs="仿宋_GB2312" w:eastAsia="仿宋_GB2312"/>
                      <w:sz w:val="24"/>
                    </w:rPr>
                    <w:t>9.0</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悬浮率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、提供产品的农药三证，未提供按无效投标处理。</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杀虫剂</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克</w:t>
                  </w:r>
                  <w:r>
                    <w:rPr>
                      <w:rFonts w:ascii="仿宋_GB2312" w:hAnsi="仿宋_GB2312" w:cs="仿宋_GB2312" w:eastAsia="仿宋_GB2312"/>
                      <w:sz w:val="24"/>
                    </w:rPr>
                    <w:t>/袋</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剂型：微乳剂，透明均相液体，无分层、无油珠、无沉淀</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吡蚜酮</w:t>
                  </w:r>
                  <w:r>
                    <w:rPr>
                      <w:rFonts w:ascii="仿宋_GB2312" w:hAnsi="仿宋_GB2312" w:cs="仿宋_GB2312" w:eastAsia="仿宋_GB2312"/>
                      <w:sz w:val="24"/>
                    </w:rPr>
                    <w:t>质量分数</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1.0</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异丙威</w:t>
                  </w:r>
                  <w:r>
                    <w:rPr>
                      <w:rFonts w:ascii="仿宋_GB2312" w:hAnsi="仿宋_GB2312" w:cs="仿宋_GB2312" w:eastAsia="仿宋_GB2312"/>
                      <w:sz w:val="24"/>
                    </w:rPr>
                    <w:t>质量分数</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pH 值</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.0～</w:t>
                  </w:r>
                  <w:r>
                    <w:rPr>
                      <w:rFonts w:ascii="仿宋_GB2312" w:hAnsi="仿宋_GB2312" w:cs="仿宋_GB2312" w:eastAsia="仿宋_GB2312"/>
                      <w:sz w:val="24"/>
                    </w:rPr>
                    <w:t>10.0</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悬浮率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游离酚：</w:t>
                  </w:r>
                  <w:r>
                    <w:rPr>
                      <w:rFonts w:ascii="仿宋_GB2312" w:hAnsi="仿宋_GB2312" w:cs="仿宋_GB2312" w:eastAsia="仿宋_GB2312"/>
                      <w:sz w:val="24"/>
                    </w:rPr>
                    <w:t>≦0.2%</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4"/>
                    </w:rPr>
                    <w:t>水分：</w:t>
                  </w:r>
                  <w:r>
                    <w:rPr>
                      <w:rFonts w:ascii="仿宋_GB2312" w:hAnsi="仿宋_GB2312" w:cs="仿宋_GB2312" w:eastAsia="仿宋_GB2312"/>
                      <w:sz w:val="24"/>
                    </w:rPr>
                    <w:t>≦3%</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、提供产品的农药三证，未提供按无效投标处理。</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树干涂白剂</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散装生石灰</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修剪工具</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手动修枝剪：</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总长</w:t>
                  </w:r>
                  <w:r>
                    <w:rPr>
                      <w:rFonts w:ascii="仿宋_GB2312" w:hAnsi="仿宋_GB2312" w:cs="仿宋_GB2312" w:eastAsia="仿宋_GB2312"/>
                      <w:sz w:val="24"/>
                    </w:rPr>
                    <w:t>200–210mm，剪切开口≥25mm；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刀头：弧形省力刃口，单刃剪切，不伤树皮；</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修枝剪总长</w:t>
                  </w:r>
                  <w:r>
                    <w:rPr>
                      <w:rFonts w:ascii="仿宋_GB2312" w:hAnsi="仿宋_GB2312" w:cs="仿宋_GB2312" w:eastAsia="仿宋_GB2312"/>
                      <w:sz w:val="24"/>
                    </w:rPr>
                    <w:t>200–210mm，最大剪切直径≥2.5cm；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大力剪总长</w:t>
                  </w:r>
                  <w:r>
                    <w:rPr>
                      <w:rFonts w:ascii="仿宋_GB2312" w:hAnsi="仿宋_GB2312" w:cs="仿宋_GB2312" w:eastAsia="仿宋_GB2312"/>
                      <w:sz w:val="24"/>
                    </w:rPr>
                    <w:t>70–75cm，可剪≥4cm 粗枝；</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高枝剪</w:t>
                  </w:r>
                  <w:r>
                    <w:rPr>
                      <w:rFonts w:ascii="仿宋_GB2312" w:hAnsi="仿宋_GB2312" w:cs="仿宋_GB2312" w:eastAsia="仿宋_GB2312"/>
                      <w:sz w:val="24"/>
                    </w:rPr>
                    <w:t>3 节铝合金伸缩杆 1.8–3.5m，</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管壁</w:t>
                  </w:r>
                  <w:r>
                    <w:rPr>
                      <w:rFonts w:ascii="仿宋_GB2312" w:hAnsi="仿宋_GB2312" w:cs="仿宋_GB2312" w:eastAsia="仿宋_GB2312"/>
                      <w:sz w:val="24"/>
                    </w:rPr>
                    <w:t>≥1.0mm；</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直径</w:t>
                  </w:r>
                  <w:r>
                    <w:rPr>
                      <w:rFonts w:ascii="仿宋_GB2312" w:hAnsi="仿宋_GB2312" w:cs="仿宋_GB2312" w:eastAsia="仿宋_GB2312"/>
                      <w:sz w:val="24"/>
                    </w:rPr>
                    <w:t>≤2.5cm</w:t>
                  </w:r>
                </w:p>
                <w:p>
                  <w:pPr>
                    <w:pStyle w:val="null3"/>
                    <w:jc w:val="left"/>
                  </w:pPr>
                  <w:r>
                    <w:rPr>
                      <w:rFonts w:ascii="仿宋_GB2312" w:hAnsi="仿宋_GB2312" w:cs="仿宋_GB2312" w:eastAsia="仿宋_GB2312"/>
                      <w:sz w:val="24"/>
                      <w:b/>
                    </w:rPr>
                    <w:t>折叠手锯</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锯片长度</w:t>
                  </w:r>
                  <w:r>
                    <w:rPr>
                      <w:rFonts w:ascii="仿宋_GB2312" w:hAnsi="仿宋_GB2312" w:cs="仿宋_GB2312" w:eastAsia="仿宋_GB2312"/>
                      <w:sz w:val="24"/>
                    </w:rPr>
                    <w:t>280–300mm，三面磨齿；</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折叠式安全锁，收纳后锯齿封闭防划伤；</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折叠手锯锯片</w:t>
                  </w:r>
                  <w:r>
                    <w:rPr>
                      <w:rFonts w:ascii="仿宋_GB2312" w:hAnsi="仿宋_GB2312" w:cs="仿宋_GB2312" w:eastAsia="仿宋_GB2312"/>
                      <w:sz w:val="24"/>
                    </w:rPr>
                    <w:t>280–300mm 三面磨齿；</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技术培训手册</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w:t>
                  </w:r>
                  <w:r>
                    <w:rPr>
                      <w:rFonts w:ascii="仿宋_GB2312" w:hAnsi="仿宋_GB2312" w:cs="仿宋_GB2312" w:eastAsia="仿宋_GB2312"/>
                      <w:sz w:val="24"/>
                    </w:rPr>
                    <w:t>格：</w:t>
                  </w:r>
                  <w:r>
                    <w:rPr>
                      <w:rFonts w:ascii="仿宋_GB2312" w:hAnsi="仿宋_GB2312" w:cs="仿宋_GB2312" w:eastAsia="仿宋_GB2312"/>
                      <w:sz w:val="24"/>
                    </w:rPr>
                    <w:t>A4 开本，彩色印刷，全彩高清实拍图；</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纸张：内页</w:t>
                  </w:r>
                  <w:r>
                    <w:rPr>
                      <w:rFonts w:ascii="仿宋_GB2312" w:hAnsi="仿宋_GB2312" w:cs="仿宋_GB2312" w:eastAsia="仿宋_GB2312"/>
                      <w:sz w:val="24"/>
                    </w:rPr>
                    <w:t>80g 双胶纸，封面250g 铜版纸覆膜；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装订：胶装精装，牢固不掉页、不脱胶；</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字体：标题黑体、正文宋体，排版整洁、段落清晰、无错别字、无乱码；</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内容科学合规，符合国家花椒种植技术规程、绿色防控技术规范、水土保持及标准化栽培要求。</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宣传牌</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底板材质：高密度</w:t>
                  </w:r>
                  <w:r>
                    <w:rPr>
                      <w:rFonts w:ascii="仿宋_GB2312" w:hAnsi="仿宋_GB2312" w:cs="仿宋_GB2312" w:eastAsia="仿宋_GB2312"/>
                      <w:sz w:val="24"/>
                    </w:rPr>
                    <w:t>PVC 结皮板</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底板厚度：</w:t>
                  </w:r>
                  <w:r>
                    <w:rPr>
                      <w:rFonts w:ascii="仿宋_GB2312" w:hAnsi="仿宋_GB2312" w:cs="仿宋_GB2312" w:eastAsia="仿宋_GB2312"/>
                      <w:sz w:val="24"/>
                    </w:rPr>
                    <w:t>≥10mm 加厚 PVC 板</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画面工艺：高清户外</w:t>
                  </w:r>
                  <w:r>
                    <w:rPr>
                      <w:rFonts w:ascii="仿宋_GB2312" w:hAnsi="仿宋_GB2312" w:cs="仿宋_GB2312" w:eastAsia="仿宋_GB2312"/>
                      <w:sz w:val="24"/>
                    </w:rPr>
                    <w:t>UV 喷绘</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4m*6m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保色期</w:t>
                  </w:r>
                  <w:r>
                    <w:rPr>
                      <w:rFonts w:ascii="仿宋_GB2312" w:hAnsi="仿宋_GB2312" w:cs="仿宋_GB2312" w:eastAsia="仿宋_GB2312"/>
                      <w:sz w:val="24"/>
                    </w:rPr>
                    <w:t>：</w:t>
                  </w:r>
                  <w:r>
                    <w:rPr>
                      <w:rFonts w:ascii="仿宋_GB2312" w:hAnsi="仿宋_GB2312" w:cs="仿宋_GB2312" w:eastAsia="仿宋_GB2312"/>
                      <w:sz w:val="24"/>
                    </w:rPr>
                    <w:t>≥3 年</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花椒示范基地建设的配套技术</w:t>
            </w:r>
            <w:r>
              <w:rPr>
                <w:rFonts w:ascii="仿宋_GB2312" w:hAnsi="仿宋_GB2312" w:cs="仿宋_GB2312" w:eastAsia="仿宋_GB2312"/>
                <w:sz w:val="24"/>
                <w:b/>
                <w:color w:val="000000"/>
              </w:rPr>
              <w:t>服务要求</w:t>
            </w:r>
          </w:p>
          <w:p>
            <w:pPr>
              <w:pStyle w:val="null3"/>
              <w:ind w:firstLine="480"/>
              <w:jc w:val="both"/>
            </w:pPr>
            <w:r>
              <w:rPr>
                <w:rFonts w:ascii="仿宋_GB2312" w:hAnsi="仿宋_GB2312" w:cs="仿宋_GB2312" w:eastAsia="仿宋_GB2312"/>
                <w:sz w:val="24"/>
                <w:color w:val="000000"/>
              </w:rPr>
              <w:t>本项目所有的配套技术服务及所产生的费用由供应商负责，具体要求如下：</w:t>
            </w:r>
          </w:p>
          <w:p>
            <w:pPr>
              <w:pStyle w:val="null3"/>
              <w:ind w:firstLine="48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服务面积</w:t>
            </w:r>
          </w:p>
          <w:p>
            <w:pPr>
              <w:pStyle w:val="null3"/>
              <w:ind w:firstLine="480"/>
              <w:jc w:val="both"/>
            </w:pPr>
            <w:r>
              <w:rPr>
                <w:rFonts w:ascii="仿宋_GB2312" w:hAnsi="仿宋_GB2312" w:cs="仿宋_GB2312" w:eastAsia="仿宋_GB2312"/>
                <w:sz w:val="24"/>
                <w:color w:val="000000"/>
              </w:rPr>
              <w:t>建设地点位于华州区大明镇下李村，改造示范面积</w:t>
            </w:r>
            <w:r>
              <w:rPr>
                <w:rFonts w:ascii="仿宋_GB2312" w:hAnsi="仿宋_GB2312" w:cs="仿宋_GB2312" w:eastAsia="仿宋_GB2312"/>
                <w:sz w:val="24"/>
                <w:color w:val="000000"/>
              </w:rPr>
              <w:t>1000亩，其中高标准核心示范区200亩，普通改造区800亩。其中核心示范区200亩（内含良种嫁接改良区100亩，其余100亩实施高标准非嫁接管理），普通改造区800亩，合计1000亩。</w:t>
            </w:r>
          </w:p>
          <w:p>
            <w:pPr>
              <w:pStyle w:val="null3"/>
              <w:ind w:firstLine="482"/>
              <w:jc w:val="both"/>
            </w:pPr>
            <w:r>
              <w:rPr>
                <w:rFonts w:ascii="仿宋_GB2312" w:hAnsi="仿宋_GB2312" w:cs="仿宋_GB2312" w:eastAsia="仿宋_GB2312"/>
                <w:sz w:val="24"/>
                <w:b/>
                <w:color w:val="000000"/>
              </w:rPr>
              <w:t>2、树体结构优化与整形修剪</w:t>
            </w:r>
          </w:p>
          <w:p>
            <w:pPr>
              <w:pStyle w:val="null3"/>
              <w:ind w:firstLine="480"/>
              <w:jc w:val="both"/>
            </w:pPr>
            <w:r>
              <w:rPr>
                <w:rFonts w:ascii="仿宋_GB2312" w:hAnsi="仿宋_GB2312" w:cs="仿宋_GB2312" w:eastAsia="仿宋_GB2312"/>
                <w:sz w:val="24"/>
                <w:color w:val="000000"/>
              </w:rPr>
              <w:t>对项目区约</w:t>
            </w:r>
            <w:r>
              <w:rPr>
                <w:rFonts w:ascii="仿宋_GB2312" w:hAnsi="仿宋_GB2312" w:cs="仿宋_GB2312" w:eastAsia="仿宋_GB2312"/>
                <w:sz w:val="24"/>
                <w:color w:val="000000"/>
              </w:rPr>
              <w:t>8万株花椒树进行整形修剪，遵循“因树制宜、规范树形、打开光路、更新复壮”的原则，实施系统的整形修剪。对疏于修剪、树体树形不规范、密度过大的低产花椒园进行合理整形修剪，疏除多余主枝、落头开心、清理内膛，培养结果枝组，改善树势，增强光合利用能力。</w:t>
            </w:r>
          </w:p>
          <w:p>
            <w:pPr>
              <w:pStyle w:val="null3"/>
              <w:ind w:firstLine="482"/>
              <w:jc w:val="both"/>
            </w:pPr>
            <w:r>
              <w:rPr>
                <w:rFonts w:ascii="仿宋_GB2312" w:hAnsi="仿宋_GB2312" w:cs="仿宋_GB2312" w:eastAsia="仿宋_GB2312"/>
                <w:sz w:val="24"/>
                <w:b/>
                <w:color w:val="000000"/>
              </w:rPr>
              <w:t>3、土壤改良与地力提升</w:t>
            </w:r>
          </w:p>
          <w:p>
            <w:pPr>
              <w:pStyle w:val="null3"/>
              <w:ind w:firstLine="480"/>
              <w:jc w:val="both"/>
            </w:pPr>
            <w:r>
              <w:rPr>
                <w:rFonts w:ascii="仿宋_GB2312" w:hAnsi="仿宋_GB2312" w:cs="仿宋_GB2312" w:eastAsia="仿宋_GB2312"/>
                <w:sz w:val="24"/>
                <w:color w:val="000000"/>
              </w:rPr>
              <w:t>针对项目区土壤有机质含量低、结构板结的核心问题，对项目区约</w:t>
            </w:r>
            <w:r>
              <w:rPr>
                <w:rFonts w:ascii="仿宋_GB2312" w:hAnsi="仿宋_GB2312" w:cs="仿宋_GB2312" w:eastAsia="仿宋_GB2312"/>
                <w:sz w:val="24"/>
                <w:color w:val="000000"/>
              </w:rPr>
              <w:t>8万株花椒树实施土壤改良，实施以“深翻改土、增施有机肥”为核心的土壤地力修复工程。</w:t>
            </w:r>
          </w:p>
          <w:p>
            <w:pPr>
              <w:pStyle w:val="null3"/>
              <w:ind w:firstLine="482"/>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花椒病虫害绿色综合防控</w:t>
            </w:r>
          </w:p>
          <w:p>
            <w:pPr>
              <w:pStyle w:val="null3"/>
              <w:ind w:firstLine="480"/>
              <w:jc w:val="both"/>
            </w:pPr>
            <w:r>
              <w:rPr>
                <w:rFonts w:ascii="仿宋_GB2312" w:hAnsi="仿宋_GB2312" w:cs="仿宋_GB2312" w:eastAsia="仿宋_GB2312"/>
                <w:sz w:val="24"/>
                <w:color w:val="000000"/>
              </w:rPr>
              <w:t>① 农业防治：加强栽培管理，增强树势；结合修剪，彻底清除园内病虫枝、落叶、落果、杂草，集中处理，减少越冬病虫基数。萌芽前全园喷施3-5波美度石硫合剂进行清园消毒。</w:t>
            </w:r>
          </w:p>
          <w:p>
            <w:pPr>
              <w:pStyle w:val="null3"/>
              <w:ind w:firstLine="480"/>
              <w:jc w:val="both"/>
            </w:pPr>
            <w:r>
              <w:rPr>
                <w:rFonts w:ascii="仿宋_GB2312" w:hAnsi="仿宋_GB2312" w:cs="仿宋_GB2312" w:eastAsia="仿宋_GB2312"/>
                <w:sz w:val="24"/>
                <w:color w:val="000000"/>
              </w:rPr>
              <w:t>② 物理防治：在200亩高标准核心示范区按每20亩1盏的标准安装太阳能杀虫灯10盏，诱杀金龟子、蛾类等趋光性害虫，以上物理防控措施覆盖核心示范区约1.6万株花椒树；全作业区按每亩120张的标准悬挂黄色粘虫板12万张，诱杀蚜虫、蓟马等小型害虫，全作业区黄板覆盖约8万株；针对花椒窄吉丁，设置专用性信息素诱捕器200套进行监测和诱杀。</w:t>
            </w:r>
          </w:p>
          <w:p>
            <w:pPr>
              <w:pStyle w:val="null3"/>
              <w:ind w:firstLine="480"/>
              <w:jc w:val="both"/>
            </w:pPr>
            <w:r>
              <w:rPr>
                <w:rFonts w:ascii="仿宋_GB2312" w:hAnsi="仿宋_GB2312" w:cs="仿宋_GB2312" w:eastAsia="仿宋_GB2312"/>
                <w:sz w:val="24"/>
                <w:color w:val="000000"/>
              </w:rPr>
              <w:t>③ 生物防治：保护和利用自然天敌，如瓢虫、寄生蜂等，采用白僵菌、苏云金杆菌等生物制剂对害虫进行防治。</w:t>
            </w:r>
          </w:p>
          <w:p>
            <w:pPr>
              <w:pStyle w:val="null3"/>
              <w:ind w:firstLine="480"/>
              <w:jc w:val="both"/>
            </w:pPr>
            <w:r>
              <w:rPr>
                <w:rFonts w:ascii="仿宋_GB2312" w:hAnsi="仿宋_GB2312" w:cs="仿宋_GB2312" w:eastAsia="仿宋_GB2312"/>
                <w:sz w:val="24"/>
                <w:color w:val="000000"/>
              </w:rPr>
              <w:t>④ 化学防治：采用高效低毒低残留农药，交替用药，严格按照产品说明及农药使用准则执行，严禁使用高毒高残留等禁限用农药。</w:t>
            </w:r>
          </w:p>
          <w:p>
            <w:pPr>
              <w:pStyle w:val="null3"/>
              <w:ind w:firstLine="482"/>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花椒冻害预防</w:t>
            </w:r>
          </w:p>
          <w:p>
            <w:pPr>
              <w:pStyle w:val="null3"/>
              <w:ind w:firstLine="480"/>
              <w:jc w:val="both"/>
            </w:pPr>
            <w:r>
              <w:rPr>
                <w:rFonts w:ascii="仿宋_GB2312" w:hAnsi="仿宋_GB2312" w:cs="仿宋_GB2312" w:eastAsia="仿宋_GB2312"/>
                <w:sz w:val="24"/>
                <w:color w:val="000000"/>
              </w:rPr>
              <w:t>对核心示范区</w:t>
            </w:r>
            <w:r>
              <w:rPr>
                <w:rFonts w:ascii="仿宋_GB2312" w:hAnsi="仿宋_GB2312" w:cs="仿宋_GB2312" w:eastAsia="仿宋_GB2312"/>
                <w:sz w:val="24"/>
                <w:color w:val="000000"/>
              </w:rPr>
              <w:t>200亩（约1.6万株）花椒树进行树干涂白</w:t>
            </w:r>
          </w:p>
          <w:p>
            <w:pPr>
              <w:pStyle w:val="null3"/>
              <w:ind w:firstLine="482"/>
              <w:jc w:val="both"/>
            </w:pPr>
            <w:r>
              <w:rPr>
                <w:rFonts w:ascii="仿宋_GB2312" w:hAnsi="仿宋_GB2312" w:cs="仿宋_GB2312" w:eastAsia="仿宋_GB2312"/>
                <w:sz w:val="24"/>
                <w:b/>
                <w:color w:val="000000"/>
              </w:rPr>
              <w:t>6、良种培育与嫁接改良</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）针对林分中品种混杂、品质退化但树龄适中、树势尚可的植株，进行良种更新。</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2）品种选择：选用无刺花椒等优良品种接穗。</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3）更新方式：采用插皮接或劈接进行高接换头</w:t>
            </w:r>
            <w:r>
              <w:rPr>
                <w:rFonts w:ascii="仿宋_GB2312" w:hAnsi="仿宋_GB2312" w:cs="仿宋_GB2312" w:eastAsia="仿宋_GB2312"/>
                <w:sz w:val="24"/>
                <w:color w:val="000000"/>
              </w:rPr>
              <w:t>，</w:t>
            </w:r>
            <w:r>
              <w:rPr>
                <w:rFonts w:ascii="仿宋_GB2312" w:hAnsi="仿宋_GB2312" w:cs="仿宋_GB2312" w:eastAsia="仿宋_GB2312"/>
                <w:sz w:val="24"/>
                <w:color w:val="000000"/>
              </w:rPr>
              <w:t>更新范围约</w:t>
            </w:r>
            <w:r>
              <w:rPr>
                <w:rFonts w:ascii="仿宋_GB2312" w:hAnsi="仿宋_GB2312" w:cs="仿宋_GB2312" w:eastAsia="仿宋_GB2312"/>
                <w:sz w:val="24"/>
                <w:color w:val="000000"/>
              </w:rPr>
              <w:t>100亩</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4）嫁接后管理：及时除萌、设立支柱防风折、加强水肥管理，确保嫁接成活与接穗健壮生长。</w:t>
            </w:r>
          </w:p>
          <w:p>
            <w:pPr>
              <w:pStyle w:val="null3"/>
              <w:ind w:firstLine="482"/>
              <w:jc w:val="both"/>
            </w:pPr>
            <w:r>
              <w:rPr>
                <w:rFonts w:ascii="仿宋_GB2312" w:hAnsi="仿宋_GB2312" w:cs="仿宋_GB2312" w:eastAsia="仿宋_GB2312"/>
                <w:sz w:val="24"/>
                <w:b/>
                <w:color w:val="000000"/>
              </w:rPr>
              <w:t>7、科学施肥管理</w:t>
            </w:r>
          </w:p>
          <w:p>
            <w:pPr>
              <w:pStyle w:val="null3"/>
              <w:ind w:firstLine="480"/>
              <w:jc w:val="both"/>
            </w:pPr>
            <w:r>
              <w:rPr>
                <w:rFonts w:ascii="仿宋_GB2312" w:hAnsi="仿宋_GB2312" w:cs="仿宋_GB2312" w:eastAsia="仿宋_GB2312"/>
                <w:sz w:val="24"/>
                <w:color w:val="000000"/>
              </w:rPr>
              <w:t>推行测土配方、精准供应，基肥与追肥结合，根施与叶喷互补，关键期补充微量元素。</w:t>
            </w:r>
          </w:p>
          <w:p>
            <w:pPr>
              <w:pStyle w:val="null3"/>
              <w:ind w:firstLine="482"/>
              <w:jc w:val="both"/>
            </w:pPr>
            <w:r>
              <w:rPr>
                <w:rFonts w:ascii="仿宋_GB2312" w:hAnsi="仿宋_GB2312" w:cs="仿宋_GB2312" w:eastAsia="仿宋_GB2312"/>
                <w:sz w:val="24"/>
                <w:b/>
                <w:color w:val="000000"/>
              </w:rPr>
              <w:t>8、科技服务及技术培训</w:t>
            </w:r>
          </w:p>
          <w:p>
            <w:pPr>
              <w:pStyle w:val="null3"/>
              <w:ind w:firstLine="480"/>
              <w:jc w:val="both"/>
            </w:pPr>
            <w:r>
              <w:rPr>
                <w:rFonts w:ascii="仿宋_GB2312" w:hAnsi="仿宋_GB2312" w:cs="仿宋_GB2312" w:eastAsia="仿宋_GB2312"/>
                <w:sz w:val="24"/>
                <w:color w:val="000000"/>
              </w:rPr>
              <w:t>对项目实施人员进行全面的培训，以实用实效为原则，理论和实践操作相结合，配合发放实用管理技术要点，系统化、全面化开展技术培训工作。计划开展</w:t>
            </w:r>
            <w:r>
              <w:rPr>
                <w:rFonts w:ascii="仿宋_GB2312" w:hAnsi="仿宋_GB2312" w:cs="仿宋_GB2312" w:eastAsia="仿宋_GB2312"/>
                <w:sz w:val="24"/>
                <w:color w:val="000000"/>
              </w:rPr>
              <w:t>400余人次核心技能现场实操培训，覆盖项目区所有主要种植户，将200亩高标准核心示范区作为主要实训基地和观摩点。集中理论培训聚焦整形修剪、嫁接与冻害预防、绿色防控、土壤改良与施肥等关键技术；现场实操教学在示范区开展修剪、嫁接、施肥、病虫害识别与绿色防治等田间示范。</w:t>
            </w:r>
          </w:p>
          <w:p>
            <w:pPr>
              <w:pStyle w:val="null3"/>
              <w:numPr>
                <w:ilvl w:val="0"/>
                <w:numId w:val="2"/>
              </w:numPr>
              <w:jc w:val="both"/>
            </w:pPr>
            <w:r>
              <w:rPr>
                <w:rFonts w:ascii="仿宋_GB2312" w:hAnsi="仿宋_GB2312" w:cs="仿宋_GB2312" w:eastAsia="仿宋_GB2312"/>
                <w:sz w:val="24"/>
                <w:b/>
                <w:color w:val="000000"/>
              </w:rPr>
              <w:t>作业小班区域及设任务布局图</w:t>
            </w:r>
          </w:p>
          <w:p>
            <w:pPr>
              <w:pStyle w:val="null3"/>
              <w:ind w:firstLine="480"/>
              <w:jc w:val="both"/>
            </w:pPr>
            <w:r>
              <w:rPr>
                <w:rFonts w:ascii="仿宋_GB2312" w:hAnsi="仿宋_GB2312" w:cs="仿宋_GB2312" w:eastAsia="仿宋_GB2312"/>
                <w:sz w:val="24"/>
                <w:color w:val="000000"/>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合同签订生效后30天内交货完毕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渭南市华州区大明镇下李村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进度款，所有货物供货完成后，支付合同总价款，达到付款条件起30个工作日内，支付合同总金额的40.0%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进度款，配套技术服务完成后，采购人验收合格支付合同总价款的，达到付款条件起30个工作日内，支付合同总金额的30.0%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进度款，项目全部建设完成，上级部门最终验收合格支付剩余合同价款，达到付款条件起30个工作日内，支付合同总金额的30.0%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 （1）所供产品的规格、数量、配套技术服务符合招标文件中标人投标承诺及采购合同约定的要求。 （2）所有产品均已运输至指定地点存放，运费由中标人承担。 （3）由采购人和中标人共同对进行验收。其内容包括产品质量是否达到现行国家有关验收规范“合格”标准进行逐项检查。 （4）所有产品使用包装完好、全新的合格产品，不得使用积压材料。 （5）生产厂家的企业资质、检验报告、货物的执行标准。 2.验收不合格的中标单位，必须在接到通知后7个日历天内确保货物通过验收。如接到通知后7个日历天内验收仍不合格，采购人可提出索赔或取消其采购合同。采购人将中标资格授予评审排序下一名的中标单位候选人。 3.验收依据 （1）合同文本及合同补充文件（条款）； （2）产品的合法来源渠道证明文件、响应功能证明材料； （3）招标文件； （4）中标人的投标文件； （5）货物清单； （6）生产厂家的企业资质、货物的执行标准。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1.质保期：自验收合格之日起不低于一年（参数中有具体要求的，按参数要求提供质保）。中标人承诺的质保时间超过招标文件要求的，按其承诺时间质保。 2.中标人承诺的质保期起始时间为终验合格之日。 3.所有产品质量必须符合国家有关规范和相关政策。产品严格执行《NY/T 525-2021 有机肥料》及GB/T 15063-2020《复合肥料》，重金属符合 GB 38400-2019《肥料中有毒有害物质限量》 4.质保期出现的质量问题由中标人负责解决并承担所有费用。质保期后如需更换零部件，中标人应以优惠价提供。 5.农药及肥料有效成分含量需符合国家标准，不得含有禁用成分 6.若出现质量问题或使用效果不达，中标供应商需在接到通知后4小时内响应，24小时内提供退换货服务。 7.在质量保证期内，如发现货物有缺陷，不符合本项目规定或出现质量问题时，如属中标供应商责任，则采购人有权向中标供应商提出索赔。中标供应商在接到采购人索赔文件后，应于合理期限内无偿更换、赔款或委托采购人安排修理，由此产生的到安装现场的更换费用、运费和保险费等由中标人负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供应商未按合同要求提供产品或货物质量不能满足技术要求，采购人有权终止合同，并对供方违约行为进行追究，同时按《中华人民共和国政府采购法》的有关规定进行处罚。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提供的本国产品应符合《国务公厅关于在政府采购中实施本国产品标准及相关政策的通知》（国办发〔2025〕34号）、《财政部、工信部发布关于贯彻落实《国务院办公厅关于在政府采购中实施本国产品标准及相关政策的通知》的意见》（财库〔2025〕30号）规定。投标人提供符合本国产品标准的声明函，享受相关政策，若提供虚假《声明函》、虚假证明文件谋取中标、成交的，依照《中华人民共和国政府采购法》等法律法规规定追究相应责任。 （1）政府采购活动中既有本国产品又有非本国产品参与竞争的，依法对本国产品给予价格评审优惠，对本国产品的报价给予20%的价格扣除，用扣除后的价格参与评审。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（3）对于非专门面向中小企业的采购项目， 既有本国产品也有非本国产品参与竞争， 且提供本国产品的供应商同时为小微企业的，应按照《通知》和《政府采购促进中小企业发展管理办法》 规定， 对该供应商的产品同时给予支持本国产品和小微企业产品的价格评审优惠。 相关价格评审扣除优惠， 均应该在供应商原始报价基础上计算，用扣除后的价格参与评审。 （4）对于仅有本国产品参与竞争的政府采购项目，本国产品不享受价格扣除评审优惠。 2、中标供应商在中标结果公告发布后3个工作日内提供叁套纸质投标文件（经编标工具生成的文件直接打印并加盖公章），递交的纸质版文件内容确保与线上电子文件保持一致，不允许修改和补充。 3、根据《关于印发中小企业划型标准规定的通知》（工信部联企业〔2011〕300号），中小企业划型标准规定：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投标人应具有独立承担民事责任能力的企业法人</w:t>
            </w:r>
          </w:p>
        </w:tc>
        <w:tc>
          <w:tcPr>
            <w:tcW w:type="dxa" w:w="1661"/>
          </w:tcPr>
          <w:p>
            <w:pPr>
              <w:pStyle w:val="null3"/>
            </w:pPr>
            <w:r>
              <w:rPr>
                <w:rFonts w:ascii="仿宋_GB2312" w:hAnsi="仿宋_GB2312" w:cs="仿宋_GB2312" w:eastAsia="仿宋_GB2312"/>
              </w:rPr>
              <w:t>投标人资格证明文件1.docx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投标人资格证明文件1.docx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投标人资格证明文件1.docx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投标人资格证明文件1.docx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投标人资格证明文件1.docx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产品分项报价表1.docx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投标人资格证明文件1.docx 投标方案说明.docx 产品分项报价表1.docx 中小企业声明函 商务应答表 产品技术参数表 投标人认为提供的其他资料.docx 投标函 标的清单 关于符合本国产品标准的声明函 投标文件封面 服务内容及服务邀请应答表.docx 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投标人具有近三年（2023年6月至今）的类似业绩（合同扫描件并加盖投标人公章，以合同签订时间为准）每个计2分，最多得4分；未提供不得分。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所投产品的技术指标、参数、性能等情况符合招标文件要求，提供产品的技术资料，满足招标文件要求得30分，负偏离将进行扣分，每负偏离一项扣0.4分；扣完为止，不计负分。 注：投标人应提供充足的技术材料（技术材料包括但不限于检测报告、官网和功能截图、彩页、说明书等相关资料）予以佐证，未提供证明材料导致技术指标被视为负偏离的风险，投标人自行承担。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项目负责人持有农业相关专业中级及以上职称或农艺师得2分。 注：提供人员的相关证明材料，否则不得分。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项目配备人员中（项目负责人除外）每配备一名技术人员得1分，本项最高得5分。注：提供人员的相关证明材料，否则不得分。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①响应时效：承诺 7×24 小时热线，10 分钟内电话响应，4小时内到场处理得4分； ②承诺 30分钟响应，8小时内到场得1分。 说明：无承诺不得分。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（一）评审内容：①项目实施组织保障；②实施过程中的应急方案；③项目实施进度计划安排。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实施性不强的或套用其他内容的；④前后逻辑错误、存在抄袭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（一）评审内容：①产品质量保障措施；②产品环保、使用安全的保障措施。 （二）评审标准：每一条评审内容无缺陷得2分，满分4分；每一条评审内容存在一处缺陷扣0.5分，扣完为止；未提供不得分。（说明：存在下列情形之一的属于内容缺陷：①内容与项目服务需求不吻合、层次未细化的；②阐述未从实际出发，不切合项目背景、项目需求的；③无具体详细的阐述、实施性不强的或套用其他内容的；④前后逻辑错误、存在抄袭或常识错误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（一）评审内容：①树体修剪方案；②土壤改良与地力提升方案；③施肥管理方案；④病虫害防治方案；⑤技术指导及培训方案 （二）评审标准：每一条评审内容无缺陷得2分，满分10分；每一条评审内容存在一处缺陷扣0.5分，扣完为止；未提供不得分。（说明：存在下列情形之一的属于内容缺陷：①内容与项目服务需求不吻合、层次未细化的；②阐述未从实际出发，不切合项目背景、项目需求的；③无具体详细的阐述、实施性不强的或套用其他内容的；④前后逻辑错误、存在抄袭或常识错误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满足招标文件要求且投标价格最低的投标总报价为评标基准价，其价格分为满分。其他投标人的价格分统一按照下列公式计算： 投标报价得分=(评标基准价／投标报价)×35%×100。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投标人提供的本国产品应符合《国务院办公厅关于在政府采购中实施本国产品标准及相关政策的通知》（国办发〔2025〕34号）、《财政部、工信部发布关于贯彻落实《国务院办公厅关于在政府采购中实施本国产品标准及相关政策的通知》的意见》（财库〔2025〕30号）规定。投标人提供符合本国产品标准的声明函，享受相关政策，若提供虚假《声明函》、虚假证明文件谋取中标、成交的，依照《中华人民共和国政府采购法》等法律法规规定追究相应责任。 （1）政府采购活动中既有本国产品又有非本国产品参与竞争的，依法对本国产品给予价格评审优惠，对本国产品的报价给予20%的价格扣除，用扣除后的价格参与评审。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详见附件：投标人资格证明文件1.docx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详见附件：产品分项报价表1.docx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