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版本号：YAZBTC2026-00820260601001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核心业务系统运维项目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YAZBTC2026-008</w:t>
      </w:r>
      <w:r>
        <w:br/>
      </w:r>
      <w:r>
        <w:br/>
      </w:r>
      <w:r>
        <w:br/>
      </w:r>
    </w:p>
    <w:p>
      <w:pPr>
        <w:pStyle w:val="null3"/>
        <w:jc w:val="center"/>
        <w:outlineLvl w:val="5"/>
      </w:pPr>
      <w:r>
        <w:rPr>
          <w:rFonts w:ascii="仿宋_GB2312" w:hAnsi="仿宋_GB2312" w:cs="仿宋_GB2312" w:eastAsia="仿宋_GB2312"/>
          <w:sz w:val="15"/>
          <w:b/>
        </w:rPr>
        <w:t>铜川市住房公积金管理中心</w:t>
      </w:r>
    </w:p>
    <w:p>
      <w:pPr>
        <w:pStyle w:val="null3"/>
        <w:jc w:val="center"/>
        <w:outlineLvl w:val="5"/>
      </w:pPr>
      <w:r>
        <w:rPr>
          <w:rFonts w:ascii="仿宋_GB2312" w:hAnsi="仿宋_GB2312" w:cs="仿宋_GB2312" w:eastAsia="仿宋_GB2312"/>
          <w:sz w:val="15"/>
          <w:b/>
        </w:rPr>
        <w:t>镱安项目管理有限公司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铜川市住房公积金管理中心</w:t>
      </w:r>
      <w:r>
        <w:rPr>
          <w:rFonts w:ascii="仿宋_GB2312" w:hAnsi="仿宋_GB2312" w:cs="仿宋_GB2312" w:eastAsia="仿宋_GB2312"/>
        </w:rPr>
        <w:t>委托，拟对</w:t>
      </w:r>
      <w:r>
        <w:rPr>
          <w:rFonts w:ascii="仿宋_GB2312" w:hAnsi="仿宋_GB2312" w:cs="仿宋_GB2312" w:eastAsia="仿宋_GB2312"/>
        </w:rPr>
        <w:t>核心业务系统运维项目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YAZBTC2026-008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核心业务系统运维项目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保障住房公积金信息系统平稳运行，保障住房公积金业务正常办理，使系统功能与住房公积金政策及国家要求保持一致。运维服务内容包括但不限于硬件系统支撑运维，操作系统及软件应用运维，功能需求优化升级服务、数据库运维、政策性优化应用系统服务、系统安全管理和安全巡检服务、数据管理和备份恢复服务、人员培训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1、供应商是法人或其他 组织的应提供营业执照等证明文件：供应商具有独立承担民事责任能力的法人、其他组织或自然人，并出具合法有效的营业执 照或事业单位法人证书等国家规定的相关证明，自然人参与的提供其身份证明；</w:t>
      </w:r>
    </w:p>
    <w:p>
      <w:pPr>
        <w:pStyle w:val="null3"/>
      </w:pPr>
      <w:r>
        <w:rPr>
          <w:rFonts w:ascii="仿宋_GB2312" w:hAnsi="仿宋_GB2312" w:cs="仿宋_GB2312" w:eastAsia="仿宋_GB2312"/>
        </w:rPr>
        <w:t>2、财务状况报告：供应商提供具有财务审计资质单位出具的2024年或2025年度财务报告或协商前六个月内其基本账户银行出具的资信证明或政府采购信用担保机构出具的磋商担保函；</w:t>
      </w:r>
    </w:p>
    <w:p>
      <w:pPr>
        <w:pStyle w:val="null3"/>
      </w:pPr>
      <w:r>
        <w:rPr>
          <w:rFonts w:ascii="仿宋_GB2312" w:hAnsi="仿宋_GB2312" w:cs="仿宋_GB2312" w:eastAsia="仿宋_GB2312"/>
        </w:rPr>
        <w:t>3、税收交纳证明：供应商提供响应文件提交截止时间前六个月内任意二个月的缴费凭据；（依法免税的供应商应提 供相关文件证明）；</w:t>
      </w:r>
    </w:p>
    <w:p>
      <w:pPr>
        <w:pStyle w:val="null3"/>
      </w:pPr>
      <w:r>
        <w:rPr>
          <w:rFonts w:ascii="仿宋_GB2312" w:hAnsi="仿宋_GB2312" w:cs="仿宋_GB2312" w:eastAsia="仿宋_GB2312"/>
        </w:rPr>
        <w:t>4、社会保障资金交纳证明：供应商提供响应文件递交截止时间前六个月内任意二个月的社保缴费凭据或社保机构开具的社会 保险参保缴费情况证明；（依法不需要交纳社会保障资金的供应商应提供相关证明）；</w:t>
      </w:r>
    </w:p>
    <w:p>
      <w:pPr>
        <w:pStyle w:val="null3"/>
      </w:pPr>
      <w:r>
        <w:rPr>
          <w:rFonts w:ascii="仿宋_GB2312" w:hAnsi="仿宋_GB2312" w:cs="仿宋_GB2312" w:eastAsia="仿宋_GB2312"/>
        </w:rPr>
        <w:t>5、承诺、说明及书面声明：1、提供具有履行本合同所必需的设备和专业技术能力的说明及承诺； 2、提供参加政府 采购活动前三年内在经营活动中没有重大违法记录的书面声明；</w:t>
      </w:r>
    </w:p>
    <w:p>
      <w:pPr>
        <w:pStyle w:val="null3"/>
      </w:pPr>
      <w:r>
        <w:rPr>
          <w:rFonts w:ascii="仿宋_GB2312" w:hAnsi="仿宋_GB2312" w:cs="仿宋_GB2312" w:eastAsia="仿宋_GB2312"/>
        </w:rPr>
        <w:t>6、法定代表人授权书/ 法定代表人身份证明：法定代表人参与协商时需提供法定代表人身份证明；被授权人参与协商时需提供法定代表人授权委托书；</w:t>
      </w:r>
    </w:p>
    <w:p>
      <w:pPr>
        <w:pStyle w:val="null3"/>
      </w:pPr>
      <w:r>
        <w:rPr>
          <w:rFonts w:ascii="仿宋_GB2312" w:hAnsi="仿宋_GB2312" w:cs="仿宋_GB2312" w:eastAsia="仿宋_GB2312"/>
        </w:rPr>
        <w:t>7、信用查询：供应商不得为“信用中国(www.creditchina.gov.cn)”中列入失信被执行人名单的供应商 ，不得为“中国政府采购网(www.ccgp.gov.cn)”政府采购严重违法失信行为记录名单中 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铜川市住房公积金管理中心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新区华原东道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铜川市住房公积金管理中心经办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3286298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 行办法》的通 知(计价格〔2002〕1980号）及《国家发展改革委办公厅关于招标代理服务收费 有关问题的通知》（发改办 价格〔2003〕857号）文件规定的标准收取。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铜川市住房公积金管理中心</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铜川市住房公积金管理中心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保障住房公积金信息系统平稳运行，保障住房公积金业务正常办理，使系统功能与住房公积金政策及国家要求保持一致。运维服务内容包括但不限于硬件系统支撑运维，操作系统及软件应用运维，功能需求优化升级服务、数据库运维、政策性优化应用系统服务、系统安全管理和安全巡检服务、数据管理和备份恢复服务、人员培训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运维服务对象：中心核心业务系统</w:t>
            </w:r>
          </w:p>
          <w:p>
            <w:pPr>
              <w:pStyle w:val="null3"/>
            </w:pPr>
            <w:r>
              <w:rPr>
                <w:rFonts w:ascii="仿宋_GB2312" w:hAnsi="仿宋_GB2312" w:cs="仿宋_GB2312" w:eastAsia="仿宋_GB2312"/>
              </w:rPr>
              <w:t>服务内容：保障住房公积金信息系统平稳运行，保障住房公积金业务正常办理，使系统功能与住房公积金政策及国家要求保持一致。运维服务内容包括但不限于硬件系统支撑运维，操作系统及软件应用运维，功能需求优化升级服务、数据库运维、政策性优化应用系统服务、系统安全管理和安全巡检服务、数据管理和备份恢复服务、人员培训等。</w:t>
            </w:r>
          </w:p>
          <w:p>
            <w:pPr>
              <w:pStyle w:val="null3"/>
              <w:jc w:val="both"/>
            </w:pPr>
            <w:r>
              <w:rPr>
                <w:rFonts w:ascii="仿宋_GB2312" w:hAnsi="仿宋_GB2312" w:cs="仿宋_GB2312" w:eastAsia="仿宋_GB2312"/>
                <w:sz w:val="21"/>
              </w:rPr>
              <w:t>运维方式：运维采取人员驻场维护及远程技术维护的方式，每季度提供</w:t>
            </w:r>
            <w:r>
              <w:rPr>
                <w:rFonts w:ascii="仿宋_GB2312" w:hAnsi="仿宋_GB2312" w:cs="仿宋_GB2312" w:eastAsia="仿宋_GB2312"/>
                <w:sz w:val="21"/>
              </w:rPr>
              <w:t>1次巡检服务，驻场人员提供5×8小时现场运维服务，客户服务热线提供7*24小时服务，如遇突发事件，远程技术维护服务响应时间不超过3个小时，技术工程师在接到服务单后到场响应不超过4小时。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满足服务合同及采购内容需求。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满足服务合同及采购内容需求。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其他，服务期满前一个月，达到付款条件起7个工作日内，支付合同总金额的40.0%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1.符合采购人与成交供应商签订的服务合同； 2.符合采购文件、采购需求的技术服务要求、商务要求，以及符合供应商的响应文件及协商结果； 3.符合产品原样本技术数据； 4.符合国家有关技术规范和标准； 5.验收方式 甲乙双方共同参照采购文件、响应文件、合同和承诺条款的有关内容、配置要求等，甲方在收到乙方验收通知书及相关验收资料后通知乙方，甲乙双方共同对系统进行验收，并由乙方将验收报告提交甲方。 验收工作由甲方、财政部门及相关专家共同完成，经相关负责人确认验收通过并签字、盖章，则视为甲乙双方确认验收通过。验收过程和步骤应符合财政部门的有关规定，符合使用单位要求。除非甲方以书面方式同意予以免除，否则对于合同中约定的硬件产品，甲方均有权选择单独，或要求乙方协助对产品加电联通进行测试性运行或使用，以确定产品是否符合本合同约定。 7.甲方对交付成果提出异议的，乙方应在接到异议之日起5个工作日内，选择以下一种或多种方式解决异议，相应的异议处理方式应经甲方认可： 1）上门修复、调试； 2）指定时间内免费更新到品质、性能更优良的软件系统。</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 仲裁机关 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（1）服务期限：自合同签订之日起至2026年12月31日止；（2）服务地点：采购人指定地点。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供应商是法人或其他 组织的应提供营业执照等证明文件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 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供应商提供具有财务审计资质单位出具的2024年或2025年度财务报告或协商前六个月内其基本账户银行出具的资信证明或政府采购信用担保机构出具的磋商担保函；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供应商提供响应文件提交截止时间前六个月内任意二个月的缴费凭据；（依法免税的供应商应提 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供应商提供响应文件递交截止时间前六个月内任意二个月的社保缴费凭据或社保机构开具的社会 保险参保缴费情况证明；（依法不需要交纳社会保障资金的供应商应提供相关证明）；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 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 法定代表人身份证明</w:t>
            </w:r>
          </w:p>
        </w:tc>
        <w:tc>
          <w:tcPr>
            <w:tcW w:type="dxa" w:w="3322"/>
          </w:tcPr>
          <w:p>
            <w:pPr>
              <w:pStyle w:val="null3"/>
            </w:pPr>
            <w:r>
              <w:rPr>
                <w:rFonts w:ascii="仿宋_GB2312" w:hAnsi="仿宋_GB2312" w:cs="仿宋_GB2312" w:eastAsia="仿宋_GB2312"/>
              </w:rPr>
              <w:t>法定代表人参与协商时需提供法定代表人身份证明；被授权人参与协商时需提供法定代表人授权委托书；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供应商不得为“信用中国(www.creditchina.gov.cn)”中列入失信被执行人名单的供应商 ，不得为“中国政府采购网(www.ccgp.gov.cn)”政府采购严重违法失信行为记录名单中 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采购文件上要求签字或盖章的，签字或盖章应 齐全。</w:t>
            </w:r>
          </w:p>
        </w:tc>
        <w:tc>
          <w:tcPr>
            <w:tcW w:type="dxa" w:w="1661"/>
          </w:tcPr>
          <w:p>
            <w:pPr>
              <w:pStyle w:val="null3"/>
            </w:pPr>
            <w:r>
              <w:rPr>
                <w:rFonts w:ascii="仿宋_GB2312" w:hAnsi="仿宋_GB2312" w:cs="仿宋_GB2312" w:eastAsia="仿宋_GB2312"/>
              </w:rPr>
              <w:t>法定代表人身份证明.docx 中小企业声明函 商务应答表 供应商应提交的相关资格证明材料 服务内容及服务要求应答表 报价表 响应文件封面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完全响应采购文件商务要求、技术服务要求。</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