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39D499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3.1技术、服务标准和要求</w:t>
      </w:r>
    </w:p>
    <w:p w14:paraId="169363E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76799E3">
      <w:pPr>
        <w:pStyle w:val="4"/>
      </w:pPr>
      <w:r>
        <w:rPr>
          <w:rFonts w:ascii="仿宋_GB2312" w:hAnsi="仿宋_GB2312" w:eastAsia="仿宋_GB2312" w:cs="仿宋_GB2312"/>
        </w:rPr>
        <w:t>采购包预算金额（元）: 861,285.42</w:t>
      </w:r>
    </w:p>
    <w:p w14:paraId="37FCD6A6">
      <w:pPr>
        <w:pStyle w:val="4"/>
      </w:pPr>
      <w:r>
        <w:rPr>
          <w:rFonts w:ascii="仿宋_GB2312" w:hAnsi="仿宋_GB2312" w:eastAsia="仿宋_GB2312" w:cs="仿宋_GB2312"/>
        </w:rPr>
        <w:t>采购包最高限价（元）: 861,285.42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4C88A3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470F9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84" w:type="dxa"/>
          </w:tcPr>
          <w:p w14:paraId="28B801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60A1CF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 w14:paraId="29473B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 w14:paraId="7D1F5D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2BE52C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41BD98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A7930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84" w:type="dxa"/>
          </w:tcPr>
          <w:p w14:paraId="0F88BB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工程</w:t>
            </w:r>
          </w:p>
        </w:tc>
        <w:tc>
          <w:tcPr>
            <w:tcW w:w="1384" w:type="dxa"/>
          </w:tcPr>
          <w:p w14:paraId="07AF53EF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 w14:paraId="0AB2DC5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861,285.42</w:t>
            </w:r>
          </w:p>
        </w:tc>
        <w:tc>
          <w:tcPr>
            <w:tcW w:w="1384" w:type="dxa"/>
          </w:tcPr>
          <w:p w14:paraId="34DB0B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17FA01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5A3263E6">
      <w:pPr>
        <w:pStyle w:val="4"/>
        <w:ind w:firstLine="480"/>
      </w:pPr>
      <w:r>
        <w:rPr>
          <w:rFonts w:ascii="仿宋_GB2312" w:hAnsi="仿宋_GB2312" w:eastAsia="仿宋_GB2312" w:cs="仿宋_GB2312"/>
        </w:rPr>
        <w:t>一、技术、服务标准和要求：</w:t>
      </w:r>
    </w:p>
    <w:p w14:paraId="12F1AEF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CFB6210">
      <w:pPr>
        <w:pStyle w:val="4"/>
      </w:pPr>
      <w:r>
        <w:rPr>
          <w:rFonts w:ascii="仿宋_GB2312" w:hAnsi="仿宋_GB2312" w:eastAsia="仿宋_GB2312" w:cs="仿宋_GB2312"/>
        </w:rPr>
        <w:t>标的名称：工程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181036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4D3E9D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68113D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2D7DCB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E367C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71153C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2881810D"/>
        </w:tc>
        <w:tc>
          <w:tcPr>
            <w:tcW w:w="2769" w:type="dxa"/>
          </w:tcPr>
          <w:p w14:paraId="76496EEE">
            <w:pPr>
              <w:pStyle w:val="4"/>
              <w:numPr>
                <w:ilvl w:val="0"/>
                <w:numId w:val="1"/>
              </w:numPr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一、项目概况：</w:t>
            </w:r>
          </w:p>
          <w:p w14:paraId="756B2295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该展览计划展出文物两百余件，展品主要涉及青铜器、拓本及文玩杂器等。采购内容依照展览需求主要包括以下方面：一、展示方案深化设计、施工图深化设计。二、展厅基础装饰施工。三、辅展设施设备的制作、采购或租赁及安装（包括但不限于基础展台、积木台、展板、文物支架、艺术品、多媒体设备等）。四、展厅多媒体展项的设计与制作（包括但不限于动画、游戏、带特效的艺术场景等）。五、符合博物馆展示需求与展品特性的灯光设计，以及专业的调光服务。六、展柜辅助工程（包括但不限于安防监控反馈系统、展厅导览标识等）。七、提供专业的文物运输服务及购买相应的保险。</w:t>
            </w:r>
          </w:p>
        </w:tc>
      </w:tr>
      <w:tr w14:paraId="6C9BA7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BF4472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30D75643"/>
        </w:tc>
        <w:tc>
          <w:tcPr>
            <w:tcW w:w="2769" w:type="dxa"/>
          </w:tcPr>
          <w:p w14:paraId="1AA49786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二、《金石学在陕西·追金篇》展览内容介绍与方案说明</w:t>
            </w:r>
          </w:p>
          <w:p w14:paraId="3A15045A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本次展览以“金石学在陕西”为主题，上篇“追金”，聚焦陕西地区自商周至清代民国的青铜器遗存，系统梳理金石学的学术脉络、历史价值与当代传承。本次展览共展出文物两百余件。</w:t>
            </w:r>
          </w:p>
          <w:p w14:paraId="220B781E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展览分为五个单元。第一单元“吉金渊薮”集中展示陕西出土的商周青铜器。第二单元“礼乐重光”将视角转向汉代至元代，展现在此漫长时期中，后人如何收藏、仿制和使用商周青铜器，以及复古礼制如何持续影响历代王朝。第三单元“楮墨传古”聚焦于全形拓技艺及其在金石学研究中的重要作用。第四单元“文脉延芳”转向明清时期仿古铜器及其生活美学功能。</w:t>
            </w:r>
          </w:p>
        </w:tc>
      </w:tr>
    </w:tbl>
    <w:p w14:paraId="4E9C46AC">
      <w:pPr>
        <w:pStyle w:val="4"/>
        <w:ind w:firstLine="480"/>
      </w:pPr>
      <w:r>
        <w:rPr>
          <w:rFonts w:ascii="仿宋_GB2312" w:hAnsi="仿宋_GB2312" w:eastAsia="仿宋_GB2312" w:cs="仿宋_GB2312"/>
        </w:rPr>
        <w:t>二、供应商针对本项目的施工，必须达到国家及行业现行技术规范标准，符合国家及行业验收合格标准：</w:t>
      </w:r>
    </w:p>
    <w:p w14:paraId="4D1ED37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442E809">
      <w:pPr>
        <w:pStyle w:val="4"/>
      </w:pPr>
      <w:r>
        <w:rPr>
          <w:rFonts w:ascii="仿宋_GB2312" w:hAnsi="仿宋_GB2312" w:eastAsia="仿宋_GB2312" w:cs="仿宋_GB2312"/>
        </w:rPr>
        <w:t>符合国家相关质量要求及验收标准。</w:t>
      </w:r>
    </w:p>
    <w:p w14:paraId="55B2C7D4">
      <w:pPr>
        <w:pStyle w:val="4"/>
        <w:ind w:firstLine="480"/>
      </w:pPr>
      <w:r>
        <w:rPr>
          <w:rFonts w:ascii="仿宋_GB2312" w:hAnsi="仿宋_GB2312" w:eastAsia="仿宋_GB2312" w:cs="仿宋_GB2312"/>
        </w:rPr>
        <w:t>三、针对本项目的其他技术服务要求：</w:t>
      </w:r>
    </w:p>
    <w:p w14:paraId="75B5121E">
      <w:pPr>
        <w:pStyle w:val="4"/>
      </w:pPr>
      <w:r>
        <w:rPr>
          <w:rFonts w:ascii="仿宋_GB2312" w:hAnsi="仿宋_GB2312" w:eastAsia="仿宋_GB2312" w:cs="仿宋_GB2312"/>
        </w:rPr>
        <w:t>工 期：项目周期为15日历天，开工日期以甲方出具的开工通知书日期为准。 施工地点：陕西历史博物馆第六展厅； 质保期：该项目所涉展项、设备、材料、零部件或软件在安装完后至展期结束。 保修要求：提供免费维修服务：开放日期间1小时内电话或网络响应；4小时内现场响应。一般故障24小时内解决，如果无法在24小时内解决的，应在48小时内提供备用产品，以确保展项运行正常。定期提供质检服务。安排专人负责展场设施，展柜内台座、支架，灯光及多媒体等质量检查，消除隐患，确保安全。 付款方式：以双方共同确认进场时间，监理部门出具的开工单为准。预付合同总金额的40%为备料款。工程验收合格且展览结束后按照甲方最终审计价款支付尾款。最终结算价款以博物馆纪检审计结果为准。付款转账前，应开具符合财务要求的正式发票，否则有权延期付款。</w:t>
      </w:r>
    </w:p>
    <w:p w14:paraId="799BBAED">
      <w:pPr>
        <w:pStyle w:val="4"/>
        <w:ind w:firstLine="480"/>
      </w:pPr>
      <w:r>
        <w:rPr>
          <w:rFonts w:ascii="仿宋_GB2312" w:hAnsi="仿宋_GB2312" w:eastAsia="仿宋_GB2312" w:cs="仿宋_GB2312"/>
        </w:rPr>
        <w:t>四、工程量清单（详见附件）</w:t>
      </w:r>
    </w:p>
    <w:p w14:paraId="47631077">
      <w:pPr>
        <w:pStyle w:val="4"/>
        <w:ind w:firstLine="480"/>
      </w:pPr>
      <w:r>
        <w:rPr>
          <w:rFonts w:ascii="仿宋_GB2312" w:hAnsi="仿宋_GB2312" w:eastAsia="仿宋_GB2312" w:cs="仿宋_GB2312"/>
        </w:rPr>
        <w:t xml:space="preserve"> （说明：工程量清单应当结合《政府采购需求管理办法》（财库〔2021〕22号）第六条第二款规定，明确相关性能、材料、结构、外观、安全、标准等。）</w:t>
      </w:r>
    </w:p>
    <w:p w14:paraId="03EB72D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bullet"/>
      <w:lvlText w:val=""/>
      <w:lvlJc w:val="left"/>
      <w:pPr>
        <w:ind w:left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F1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2026-05-21T07:38:09Z</dcterms:created>
  <dc:creator>Administrator</dc:creator>
  <cp:lastModifiedBy>安安</cp:lastModifiedBy>
  <dcterms:modified xsi:type="dcterms:W3CDTF">2026-05-21T07:38:12Z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eyJoZGlkIjoiY2JiM2Q2YTNkZTc1Mjk4ODRhOWVjZTc0YTFmYTE5NzciLCJ1c2VySWQiOiIxMTQ2NDU0OTA0In0=</vt:lpwstr>
  </property>
  <property fmtid="{D5CDD505-2E9C-101B-9397-08002B2CF9AE}" pid="4" name="ICV">
    <vt:lpwstr>3530125D1BAE4246B356B37CB787832D_12</vt:lpwstr>
  </property>
</Properties>
</file>