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E45DA">
      <w:p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green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禁止响应情形承诺书</w:t>
      </w:r>
    </w:p>
    <w:p w14:paraId="70C0A719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bookmarkEnd w:id="0"/>
    <w:p w14:paraId="09376409">
      <w:pPr>
        <w:pStyle w:val="8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2DC81FCE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19392F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与本项目其他供应商为同一法定代表人或负责人；</w:t>
      </w:r>
    </w:p>
    <w:p w14:paraId="1498F374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4987F66E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07735B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4E892D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本项目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的监理单位或与其有利害关系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737547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278610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3A826E65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0E6A43ED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DEE933C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00815BB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（供应商若有以上1-2情形之一的，可在磋商现场及时提出，经确认后，相关响应均无效。）</w:t>
      </w:r>
    </w:p>
    <w:p w14:paraId="4CECFB0A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00250F8">
      <w:pPr>
        <w:pStyle w:val="14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80CC53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CD6C84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0A153454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3CD48746">
      <w:pPr>
        <w:pStyle w:val="11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464192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br w:type="page"/>
      </w:r>
    </w:p>
    <w:p w14:paraId="7EEB87AC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D702E24"/>
    <w:rsid w:val="23D77FA4"/>
    <w:rsid w:val="26D32C40"/>
    <w:rsid w:val="32940808"/>
    <w:rsid w:val="432824BB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C54FBF3EB60C4637ABF4386780A82650_13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