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452F8">
      <w:pPr>
        <w:pStyle w:val="8"/>
        <w:jc w:val="center"/>
        <w:outlineLvl w:val="1"/>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补充说明</w:t>
      </w:r>
    </w:p>
    <w:tbl>
      <w:tblPr>
        <w:tblStyle w:val="6"/>
        <w:tblW w:w="9386"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907"/>
        <w:gridCol w:w="6589"/>
      </w:tblGrid>
      <w:tr w14:paraId="45AE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rPr>
        <w:tc>
          <w:tcPr>
            <w:tcW w:w="890" w:type="dxa"/>
            <w:vAlign w:val="center"/>
          </w:tcPr>
          <w:p w14:paraId="53EB377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907" w:type="dxa"/>
            <w:vAlign w:val="center"/>
          </w:tcPr>
          <w:p w14:paraId="4A130A5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条款名称</w:t>
            </w:r>
          </w:p>
        </w:tc>
        <w:tc>
          <w:tcPr>
            <w:tcW w:w="6589" w:type="dxa"/>
            <w:vAlign w:val="center"/>
          </w:tcPr>
          <w:p w14:paraId="7C0EBE3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lang w:val="en-US" w:eastAsia="zh-CN"/>
              </w:rPr>
              <w:t>内容</w:t>
            </w:r>
          </w:p>
        </w:tc>
      </w:tr>
      <w:tr w14:paraId="18AB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FC925D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1</w:t>
            </w:r>
          </w:p>
        </w:tc>
        <w:tc>
          <w:tcPr>
            <w:tcW w:w="1907" w:type="dxa"/>
            <w:shd w:val="clear" w:color="auto" w:fill="auto"/>
            <w:vAlign w:val="center"/>
          </w:tcPr>
          <w:p w14:paraId="697F058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供应商</w:t>
            </w:r>
          </w:p>
          <w:p w14:paraId="5F23BF0D">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资格连续性</w:t>
            </w:r>
          </w:p>
        </w:tc>
        <w:tc>
          <w:tcPr>
            <w:tcW w:w="6589" w:type="dxa"/>
            <w:shd w:val="clear" w:color="auto" w:fill="auto"/>
            <w:vAlign w:val="center"/>
          </w:tcPr>
          <w:p w14:paraId="399AC666">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1）供应商发生合并、分立、破产等重大变化的，应及时</w:t>
            </w:r>
            <w:r>
              <w:rPr>
                <w:rFonts w:hint="default" w:ascii="仿宋" w:hAnsi="仿宋" w:eastAsia="仿宋" w:cs="仿宋"/>
                <w:color w:val="auto"/>
                <w:kern w:val="2"/>
                <w:sz w:val="24"/>
                <w:szCs w:val="24"/>
                <w:highlight w:val="none"/>
                <w:lang w:val="en-US" w:eastAsia="zh-CN" w:bidi="ar-SA"/>
              </w:rPr>
              <w:t>书面</w:t>
            </w:r>
            <w:r>
              <w:rPr>
                <w:rFonts w:hint="eastAsia" w:ascii="仿宋" w:hAnsi="仿宋" w:eastAsia="仿宋" w:cs="仿宋"/>
                <w:color w:val="auto"/>
                <w:kern w:val="2"/>
                <w:sz w:val="24"/>
                <w:szCs w:val="24"/>
                <w:highlight w:val="none"/>
                <w:lang w:val="en-US" w:eastAsia="zh-CN" w:bidi="ar-SA"/>
              </w:rPr>
              <w:t>告知采购人，否则承担一切不利后果。重大变化导致供应商或成交人不再符合采购要求或不能正常履约的，任何时候采购人均有权取消其响应或成交资格。</w:t>
            </w:r>
          </w:p>
          <w:p w14:paraId="15397D93">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成交人应保证企业及项目履约相关的必备资质及相关证书的有效性、连续性。如遇资质或证书临界到期需更换，成交人应提前及时续办，确保成交人资格合规合法有效，否则采购人有权随时取消其成交或履约资格，由此造成的后果由成交人自行承担。</w:t>
            </w:r>
          </w:p>
        </w:tc>
      </w:tr>
      <w:tr w14:paraId="3986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2B9A74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p>
        </w:tc>
        <w:tc>
          <w:tcPr>
            <w:tcW w:w="1907" w:type="dxa"/>
            <w:shd w:val="clear" w:color="auto" w:fill="auto"/>
            <w:vAlign w:val="center"/>
          </w:tcPr>
          <w:p w14:paraId="2A7E5E80">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现场勘查</w:t>
            </w:r>
          </w:p>
        </w:tc>
        <w:tc>
          <w:tcPr>
            <w:tcW w:w="6589" w:type="dxa"/>
            <w:shd w:val="clear" w:color="auto" w:fill="auto"/>
            <w:vAlign w:val="center"/>
          </w:tcPr>
          <w:p w14:paraId="317DEB4F">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p w14:paraId="331FBBA7">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1.若需自行踏勘，请联系采购人。在踏勘现场中发生的费用、人员伤亡和财产损失均由供应商自行负责。</w:t>
            </w:r>
          </w:p>
          <w:p w14:paraId="112EA5B8">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2.供应商在踏勘现场中了解到的相关情况，仅供其在编制响应文件时参考，采购人不对供应商据此作出的判断和决策负责。</w:t>
            </w:r>
          </w:p>
        </w:tc>
      </w:tr>
      <w:tr w14:paraId="2DDF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D9AC10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2DA2CFCB">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标前答疑会</w:t>
            </w:r>
          </w:p>
        </w:tc>
        <w:tc>
          <w:tcPr>
            <w:tcW w:w="6589" w:type="dxa"/>
            <w:shd w:val="clear" w:color="auto" w:fill="auto"/>
            <w:vAlign w:val="center"/>
          </w:tcPr>
          <w:p w14:paraId="0170D93F">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tc>
      </w:tr>
      <w:tr w14:paraId="5B11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166D52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907" w:type="dxa"/>
            <w:tcBorders>
              <w:right w:val="nil"/>
            </w:tcBorders>
            <w:vAlign w:val="center"/>
          </w:tcPr>
          <w:p w14:paraId="43D67EE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磋商</w:t>
            </w:r>
            <w:r>
              <w:rPr>
                <w:rFonts w:hint="eastAsia" w:ascii="仿宋" w:hAnsi="仿宋" w:eastAsia="仿宋" w:cs="仿宋"/>
                <w:color w:val="auto"/>
                <w:sz w:val="24"/>
                <w:szCs w:val="24"/>
              </w:rPr>
              <w:t>文件</w:t>
            </w:r>
          </w:p>
        </w:tc>
        <w:tc>
          <w:tcPr>
            <w:tcW w:w="6589" w:type="dxa"/>
            <w:tcBorders>
              <w:left w:val="nil"/>
            </w:tcBorders>
            <w:vAlign w:val="center"/>
          </w:tcPr>
          <w:p w14:paraId="22EE7B61">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val="en-US" w:eastAsia="zh-CN"/>
              </w:rPr>
            </w:pPr>
          </w:p>
        </w:tc>
      </w:tr>
      <w:tr w14:paraId="0172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E8DD2C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4.1</w:t>
            </w:r>
          </w:p>
        </w:tc>
        <w:tc>
          <w:tcPr>
            <w:tcW w:w="1907" w:type="dxa"/>
            <w:vAlign w:val="center"/>
          </w:tcPr>
          <w:p w14:paraId="18A8CD8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磋商文件的</w:t>
            </w:r>
          </w:p>
          <w:p w14:paraId="0FF4B608">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sz w:val="24"/>
                <w:szCs w:val="24"/>
                <w:highlight w:val="none"/>
              </w:rPr>
              <w:t>澄清、修改</w:t>
            </w:r>
          </w:p>
        </w:tc>
        <w:tc>
          <w:tcPr>
            <w:tcW w:w="6589" w:type="dxa"/>
            <w:vAlign w:val="top"/>
          </w:tcPr>
          <w:p w14:paraId="796E686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en-US" w:eastAsia="zh-CN"/>
              </w:rPr>
              <w:t>文件发出后，</w:t>
            </w:r>
            <w:r>
              <w:rPr>
                <w:rFonts w:hint="eastAsia" w:ascii="仿宋" w:hAnsi="仿宋" w:eastAsia="仿宋" w:cs="仿宋"/>
                <w:color w:val="auto"/>
                <w:kern w:val="2"/>
                <w:sz w:val="24"/>
                <w:szCs w:val="24"/>
                <w:lang w:val="en-US" w:eastAsia="zh-CN" w:bidi="ar-SA"/>
              </w:rPr>
              <w:t>采购人或者代理机构可以对已发出的</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文件进行必要的</w:t>
            </w: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kern w:val="2"/>
                <w:sz w:val="24"/>
                <w:szCs w:val="24"/>
                <w:lang w:val="en-US" w:eastAsia="zh-CN" w:bidi="ar-SA"/>
              </w:rPr>
              <w:t>澄清或者修改。</w:t>
            </w:r>
          </w:p>
          <w:p w14:paraId="652F11D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r>
              <w:rPr>
                <w:rFonts w:hint="eastAsia" w:ascii="仿宋" w:hAnsi="仿宋" w:eastAsia="仿宋" w:cs="仿宋"/>
                <w:sz w:val="24"/>
                <w:szCs w:val="24"/>
                <w:lang w:val="en-US" w:eastAsia="zh-CN"/>
              </w:rPr>
              <w:t>说明、澄清或修改</w:t>
            </w:r>
            <w:r>
              <w:rPr>
                <w:rFonts w:hint="eastAsia" w:ascii="仿宋" w:hAnsi="仿宋" w:eastAsia="仿宋" w:cs="仿宋"/>
                <w:color w:val="auto"/>
                <w:kern w:val="2"/>
                <w:sz w:val="24"/>
                <w:szCs w:val="24"/>
                <w:lang w:val="en-US" w:eastAsia="zh-CN" w:bidi="ar-SA"/>
              </w:rPr>
              <w:t>的内容为</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文件的组成部分，采购人或者代理机构将在陕西省政府采购网以公告形式通知所有已合法获取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2"/>
                <w:sz w:val="24"/>
                <w:szCs w:val="24"/>
                <w:lang w:val="en-US" w:eastAsia="zh-CN" w:bidi="ar-SA"/>
              </w:rPr>
              <w:t>文件的供应商。澄清、修改内容可能影响响应文件编制的，应在提交首次响应文件截止之日5个工作日前进行，不足顺延。</w:t>
            </w:r>
          </w:p>
          <w:p w14:paraId="37AA983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供应商应及时关注并了解本项目更正信息，按更正后的最新要求进行应标，若未按最新要求应标的，自行承担不利后果。采购人或代理机构不承担由于供应商联络信息不准确、人员变动等自身原因造成的信息接收不及时、不准确等后果。</w:t>
            </w:r>
          </w:p>
        </w:tc>
      </w:tr>
      <w:tr w14:paraId="780B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6065BD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4.2</w:t>
            </w:r>
          </w:p>
        </w:tc>
        <w:tc>
          <w:tcPr>
            <w:tcW w:w="1907" w:type="dxa"/>
            <w:vAlign w:val="center"/>
          </w:tcPr>
          <w:p w14:paraId="214ECD8B">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供应商对</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文件的</w:t>
            </w:r>
            <w:r>
              <w:rPr>
                <w:rFonts w:hint="eastAsia" w:ascii="仿宋" w:hAnsi="仿宋" w:eastAsia="仿宋" w:cs="仿宋"/>
                <w:color w:val="auto"/>
                <w:sz w:val="24"/>
                <w:szCs w:val="24"/>
                <w:highlight w:val="none"/>
                <w:lang w:val="en-US" w:eastAsia="zh-CN"/>
              </w:rPr>
              <w:t>咨询</w:t>
            </w:r>
          </w:p>
        </w:tc>
        <w:tc>
          <w:tcPr>
            <w:tcW w:w="6589" w:type="dxa"/>
            <w:vAlign w:val="top"/>
          </w:tcPr>
          <w:p w14:paraId="469A5783">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highlight w:val="cyan"/>
                <w:lang w:val="en-US" w:eastAsia="zh-CN"/>
              </w:rPr>
            </w:pPr>
            <w:r>
              <w:rPr>
                <w:rFonts w:hint="eastAsia" w:ascii="仿宋" w:hAnsi="仿宋" w:eastAsia="仿宋" w:cs="仿宋"/>
                <w:color w:val="auto"/>
                <w:kern w:val="0"/>
                <w:sz w:val="24"/>
                <w:szCs w:val="24"/>
                <w:highlight w:val="none"/>
                <w:lang w:val="en-US" w:eastAsia="zh-CN"/>
              </w:rPr>
              <w:t>1.供应商</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highlight w:val="none"/>
              </w:rPr>
              <w:t>磋商</w:t>
            </w:r>
            <w:r>
              <w:rPr>
                <w:rFonts w:hint="eastAsia" w:ascii="仿宋" w:hAnsi="仿宋" w:eastAsia="仿宋" w:cs="仿宋"/>
                <w:color w:val="auto"/>
                <w:kern w:val="0"/>
                <w:sz w:val="24"/>
                <w:szCs w:val="24"/>
                <w:highlight w:val="none"/>
                <w:lang w:val="en-US" w:eastAsia="zh-CN"/>
              </w:rPr>
              <w:t>文件后，应尽快阅读，</w:t>
            </w:r>
            <w:r>
              <w:rPr>
                <w:rFonts w:hint="eastAsia" w:ascii="仿宋" w:hAnsi="仿宋" w:eastAsia="仿宋" w:cs="仿宋"/>
                <w:color w:val="auto"/>
                <w:sz w:val="24"/>
                <w:highlight w:val="none"/>
                <w:lang w:val="en-US" w:eastAsia="zh-CN"/>
              </w:rPr>
              <w:t>对于文件中出现的同一内容前后不一致、表述不准确、笔误/瑕疵、漏项等问题，供应商应及时向代理公司提出咨询、确认，否则应视为其完全理解和接受</w:t>
            </w:r>
            <w:r>
              <w:rPr>
                <w:rFonts w:hint="eastAsia" w:ascii="仿宋" w:hAnsi="仿宋" w:eastAsia="仿宋" w:cs="仿宋"/>
                <w:color w:val="auto"/>
                <w:sz w:val="24"/>
                <w:szCs w:val="24"/>
                <w:highlight w:val="none"/>
              </w:rPr>
              <w:t>磋商</w:t>
            </w:r>
            <w:r>
              <w:rPr>
                <w:rFonts w:hint="eastAsia" w:ascii="仿宋" w:hAnsi="仿宋" w:eastAsia="仿宋" w:cs="仿宋"/>
                <w:color w:val="auto"/>
                <w:sz w:val="24"/>
                <w:highlight w:val="none"/>
                <w:lang w:val="en-US" w:eastAsia="zh-CN"/>
              </w:rPr>
              <w:t>文件，对此造成的不良后果自担</w:t>
            </w:r>
            <w:r>
              <w:rPr>
                <w:rFonts w:hint="eastAsia" w:ascii="仿宋" w:hAnsi="仿宋" w:eastAsia="仿宋" w:cs="仿宋"/>
                <w:color w:val="auto"/>
                <w:sz w:val="24"/>
                <w:szCs w:val="24"/>
                <w:highlight w:val="none"/>
                <w:lang w:val="en-US" w:eastAsia="zh-CN"/>
              </w:rPr>
              <w:t>。</w:t>
            </w:r>
          </w:p>
          <w:p w14:paraId="28348288">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2.供应商未及时查看获取项目相关信息及对磋商文件的自我理解、判定、推测等造成的不利后果，供应商自行承担。</w:t>
            </w:r>
          </w:p>
          <w:p w14:paraId="0A8DC785">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kern w:val="0"/>
                <w:sz w:val="24"/>
                <w:szCs w:val="24"/>
                <w:highlight w:val="none"/>
                <w:lang w:val="en-US" w:eastAsia="zh-CN"/>
              </w:rPr>
              <w:t>3.采购人有权拒绝接收或回复供应商逾期提出的任何要求。</w:t>
            </w:r>
          </w:p>
        </w:tc>
      </w:tr>
      <w:tr w14:paraId="51F46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90" w:type="dxa"/>
            <w:vAlign w:val="center"/>
          </w:tcPr>
          <w:p w14:paraId="028A49C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w:t>
            </w:r>
          </w:p>
        </w:tc>
        <w:tc>
          <w:tcPr>
            <w:tcW w:w="8496" w:type="dxa"/>
            <w:gridSpan w:val="2"/>
            <w:vAlign w:val="center"/>
          </w:tcPr>
          <w:p w14:paraId="0E7D867D">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最高限价</w:t>
            </w:r>
          </w:p>
        </w:tc>
      </w:tr>
      <w:tr w14:paraId="4ED4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1A25E7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5.1</w:t>
            </w:r>
          </w:p>
        </w:tc>
        <w:tc>
          <w:tcPr>
            <w:tcW w:w="1907" w:type="dxa"/>
            <w:shd w:val="clear" w:color="auto" w:fill="auto"/>
            <w:vAlign w:val="center"/>
          </w:tcPr>
          <w:p w14:paraId="7A316945">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最高限价</w:t>
            </w:r>
          </w:p>
          <w:p w14:paraId="031CE407">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编制、计算依据</w:t>
            </w:r>
          </w:p>
        </w:tc>
        <w:tc>
          <w:tcPr>
            <w:tcW w:w="6589" w:type="dxa"/>
            <w:shd w:val="clear" w:color="auto" w:fill="auto"/>
            <w:vAlign w:val="center"/>
          </w:tcPr>
          <w:p w14:paraId="73F1F239">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1、《陕西省建设工程工程量清单计价标准及计算标准》（2025）；</w:t>
            </w:r>
          </w:p>
          <w:p w14:paraId="4BB1124E">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陕西省房屋建筑与装饰工程消耗量定额》（2025），《陕西省通用安装工程消耗量定额》（2025），《陕西市政工程消耗量定额》（2025）、《陕西省园林绿化工程消耗量定额》（2025）、《陕西省计价表说明》（2025）、《陕西省建设工程费用规则》（2025）及其他相关文件；</w:t>
            </w:r>
          </w:p>
          <w:p w14:paraId="0DCDC19E">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3、税金执行陕建发﹝2019﹞45号《关于调整我省建设工程计价依据的通知》；</w:t>
            </w:r>
          </w:p>
          <w:p w14:paraId="0010E1D0">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4、其他相关资料。</w:t>
            </w:r>
          </w:p>
          <w:p w14:paraId="10A5A550">
            <w:pPr>
              <w:keepNext w:val="0"/>
              <w:keepLines w:val="0"/>
              <w:pageBreakBefore w:val="0"/>
              <w:widowControl/>
              <w:kinsoku/>
              <w:wordWrap/>
              <w:overflowPunct/>
              <w:topLinePunct w:val="0"/>
              <w:autoSpaceDE/>
              <w:autoSpaceDN/>
              <w:bidi w:val="0"/>
              <w:adjustRightInd/>
              <w:spacing w:beforeAutospacing="0" w:afterAutospacing="0" w:line="50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5、本工程暂列金额（工程预留金）为84015.75元，用于工程签证及变更费用，投标企业不得对其修改调整。</w:t>
            </w:r>
          </w:p>
          <w:p w14:paraId="5AA83DD9">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6、采用广联达云计价平台GCCP7.0 （版本号：7.5000.23.3）。</w:t>
            </w:r>
          </w:p>
        </w:tc>
      </w:tr>
      <w:tr w14:paraId="45FF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3AFDE2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5.2</w:t>
            </w:r>
          </w:p>
        </w:tc>
        <w:tc>
          <w:tcPr>
            <w:tcW w:w="1907" w:type="dxa"/>
            <w:shd w:val="clear" w:color="auto" w:fill="auto"/>
            <w:vAlign w:val="center"/>
          </w:tcPr>
          <w:p w14:paraId="70B92F92">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最高限价</w:t>
            </w:r>
          </w:p>
        </w:tc>
        <w:tc>
          <w:tcPr>
            <w:tcW w:w="6589" w:type="dxa"/>
            <w:shd w:val="clear" w:color="auto" w:fill="auto"/>
            <w:vAlign w:val="center"/>
          </w:tcPr>
          <w:p w14:paraId="4FBF8833">
            <w:pPr>
              <w:pStyle w:val="10"/>
              <w:keepNext w:val="0"/>
              <w:keepLines w:val="0"/>
              <w:pageBreakBefore w:val="0"/>
              <w:widowControl/>
              <w:kinsoku/>
              <w:wordWrap/>
              <w:overflowPunct/>
              <w:topLinePunct w:val="0"/>
              <w:autoSpaceDE w:val="0"/>
              <w:autoSpaceDN w:val="0"/>
              <w:bidi w:val="0"/>
              <w:adjustRightInd w:val="0"/>
              <w:snapToGrid w:val="0"/>
              <w:spacing w:line="460" w:lineRule="exact"/>
              <w:jc w:val="both"/>
              <w:textAlignment w:val="baseline"/>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highlight w:val="none"/>
                <w:lang w:val="en-US" w:eastAsia="zh-CN"/>
              </w:rPr>
              <w:t>1314152.77元</w:t>
            </w:r>
            <w:r>
              <w:rPr>
                <w:rFonts w:hint="eastAsia" w:cs="仿宋"/>
                <w:spacing w:val="4"/>
                <w:sz w:val="24"/>
                <w:szCs w:val="24"/>
                <w:highlight w:val="none"/>
                <w:lang w:val="en-US" w:eastAsia="zh-CN"/>
              </w:rPr>
              <w:t>（</w:t>
            </w:r>
            <w:r>
              <w:rPr>
                <w:rFonts w:hint="eastAsia" w:ascii="仿宋" w:hAnsi="仿宋" w:eastAsia="仿宋" w:cs="仿宋"/>
                <w:spacing w:val="4"/>
                <w:sz w:val="24"/>
                <w:szCs w:val="24"/>
                <w:highlight w:val="none"/>
                <w:lang w:val="en-US" w:eastAsia="zh-CN"/>
              </w:rPr>
              <w:t>超出限价，</w:t>
            </w:r>
            <w:r>
              <w:rPr>
                <w:rFonts w:hint="eastAsia" w:cs="仿宋"/>
                <w:spacing w:val="4"/>
                <w:sz w:val="24"/>
                <w:szCs w:val="24"/>
                <w:highlight w:val="none"/>
                <w:lang w:val="en-US" w:eastAsia="zh-CN"/>
              </w:rPr>
              <w:t>响应</w:t>
            </w:r>
            <w:r>
              <w:rPr>
                <w:rFonts w:hint="eastAsia" w:ascii="仿宋" w:hAnsi="仿宋" w:eastAsia="仿宋" w:cs="仿宋"/>
                <w:spacing w:val="4"/>
                <w:sz w:val="24"/>
                <w:szCs w:val="24"/>
                <w:highlight w:val="none"/>
                <w:lang w:val="en-US" w:eastAsia="zh-CN"/>
              </w:rPr>
              <w:t>无效</w:t>
            </w:r>
            <w:r>
              <w:rPr>
                <w:rFonts w:hint="eastAsia" w:cs="仿宋"/>
                <w:spacing w:val="4"/>
                <w:sz w:val="24"/>
                <w:szCs w:val="24"/>
                <w:highlight w:val="none"/>
                <w:lang w:val="en-US" w:eastAsia="zh-CN"/>
              </w:rPr>
              <w:t>）</w:t>
            </w:r>
            <w:r>
              <w:rPr>
                <w:rFonts w:hint="eastAsia" w:ascii="仿宋" w:hAnsi="仿宋" w:eastAsia="仿宋" w:cs="仿宋"/>
                <w:spacing w:val="4"/>
                <w:sz w:val="24"/>
                <w:szCs w:val="24"/>
                <w:lang w:val="en-US" w:eastAsia="zh-CN"/>
              </w:rPr>
              <w:t>。</w:t>
            </w:r>
          </w:p>
        </w:tc>
      </w:tr>
      <w:tr w14:paraId="18DD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5CD719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6</w:t>
            </w:r>
          </w:p>
        </w:tc>
        <w:tc>
          <w:tcPr>
            <w:tcW w:w="1907" w:type="dxa"/>
            <w:tcBorders>
              <w:right w:val="nil"/>
            </w:tcBorders>
            <w:vAlign w:val="center"/>
          </w:tcPr>
          <w:p w14:paraId="0DB3538D">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kern w:val="0"/>
                <w:sz w:val="24"/>
                <w:szCs w:val="24"/>
              </w:rPr>
              <w:t>响应</w:t>
            </w:r>
            <w:r>
              <w:rPr>
                <w:rFonts w:hint="eastAsia" w:ascii="仿宋" w:hAnsi="仿宋" w:eastAsia="仿宋" w:cs="仿宋"/>
                <w:color w:val="auto"/>
                <w:sz w:val="24"/>
                <w:szCs w:val="24"/>
              </w:rPr>
              <w:t>文件</w:t>
            </w:r>
          </w:p>
        </w:tc>
        <w:tc>
          <w:tcPr>
            <w:tcW w:w="6589" w:type="dxa"/>
            <w:tcBorders>
              <w:left w:val="nil"/>
            </w:tcBorders>
            <w:vAlign w:val="top"/>
          </w:tcPr>
          <w:p w14:paraId="35D694D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0"/>
                <w:sz w:val="24"/>
                <w:szCs w:val="24"/>
                <w:lang w:val="en-US" w:eastAsia="zh-CN"/>
              </w:rPr>
            </w:pPr>
          </w:p>
        </w:tc>
      </w:tr>
      <w:tr w14:paraId="6214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31B7DA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kern w:val="2"/>
                <w:sz w:val="24"/>
                <w:szCs w:val="24"/>
                <w:lang w:val="en-US" w:eastAsia="zh-CN" w:bidi="ar-SA"/>
              </w:rPr>
              <w:t>.1</w:t>
            </w:r>
          </w:p>
        </w:tc>
        <w:tc>
          <w:tcPr>
            <w:tcW w:w="1907" w:type="dxa"/>
            <w:shd w:val="clear" w:color="auto" w:fill="auto"/>
            <w:vAlign w:val="center"/>
          </w:tcPr>
          <w:p w14:paraId="7177AA83">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供应商对响应文件的补充、修改、</w:t>
            </w:r>
            <w:r>
              <w:rPr>
                <w:rFonts w:hint="default" w:ascii="仿宋" w:hAnsi="仿宋" w:eastAsia="仿宋" w:cs="仿宋"/>
                <w:color w:val="auto"/>
                <w:sz w:val="24"/>
                <w:szCs w:val="24"/>
                <w:lang w:val="en-US" w:eastAsia="zh-CN"/>
              </w:rPr>
              <w:t>撤回</w:t>
            </w:r>
          </w:p>
        </w:tc>
        <w:tc>
          <w:tcPr>
            <w:tcW w:w="6589" w:type="dxa"/>
            <w:shd w:val="clear" w:color="auto" w:fill="auto"/>
            <w:vAlign w:val="top"/>
          </w:tcPr>
          <w:p w14:paraId="128FB1A9">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1.供应商在提交首次响应文件截止时间前，供应商可以补充、修改或者撤回已成功提交的响应文件：对响应文件进行补充、修改的，应当先行撤回已提交的响应文件，补充、修改后重新提交。</w:t>
            </w:r>
          </w:p>
          <w:p w14:paraId="0F0CE27E">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2.响应文件撤回未及时提交，视为未提交响应文件。</w:t>
            </w:r>
          </w:p>
        </w:tc>
      </w:tr>
      <w:tr w14:paraId="2E3EF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70B0D0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6.2</w:t>
            </w:r>
          </w:p>
        </w:tc>
        <w:tc>
          <w:tcPr>
            <w:tcW w:w="1907" w:type="dxa"/>
            <w:shd w:val="clear" w:color="auto" w:fill="auto"/>
            <w:vAlign w:val="center"/>
          </w:tcPr>
          <w:p w14:paraId="66F4649B">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磋商响应</w:t>
            </w:r>
          </w:p>
        </w:tc>
        <w:tc>
          <w:tcPr>
            <w:tcW w:w="6589" w:type="dxa"/>
            <w:shd w:val="clear" w:color="auto" w:fill="auto"/>
            <w:vAlign w:val="center"/>
          </w:tcPr>
          <w:p w14:paraId="0DD9A15C">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应当按照采购文件的要求编制响应文件，响应文件应当对采购文件提出的资格、符合性以及商务技术等全部实质性要求作出响应。响应文件包含采购文件要求提供的和供应商自动附加补充的所有资料，其全部内容均属于供应商的法定承诺，具有同等法律效力。</w:t>
            </w:r>
          </w:p>
          <w:p w14:paraId="25625B6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strike w:val="0"/>
                <w:dstrike w:val="0"/>
                <w:color w:val="auto"/>
                <w:sz w:val="24"/>
                <w:szCs w:val="24"/>
                <w:highlight w:val="none"/>
                <w:lang w:val="en-US" w:eastAsia="zh-CN"/>
              </w:rPr>
              <w:t>磋商</w:t>
            </w:r>
            <w:r>
              <w:rPr>
                <w:rFonts w:hint="eastAsia" w:ascii="仿宋" w:hAnsi="仿宋" w:eastAsia="仿宋" w:cs="仿宋"/>
                <w:color w:val="auto"/>
                <w:sz w:val="24"/>
                <w:szCs w:val="24"/>
                <w:highlight w:val="none"/>
                <w:lang w:val="en-US" w:eastAsia="zh-CN"/>
              </w:rPr>
              <w:t>响应提供的工程、货物、技术、质量、服务等应满足国家、行业现行标准规范及本次采购要求是基本要求；对于国家、行业相关的强制性要求，无论磋商文件是否要求/规定，供应商也均应完全满足且提供必须的佐证资料，否则响应无效。</w:t>
            </w:r>
          </w:p>
          <w:p w14:paraId="7F4B296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3.响应内容评审：</w:t>
            </w:r>
            <w:r>
              <w:rPr>
                <w:rFonts w:hint="eastAsia" w:ascii="仿宋" w:hAnsi="仿宋" w:eastAsia="仿宋" w:cs="仿宋"/>
                <w:color w:val="auto"/>
                <w:sz w:val="21"/>
                <w:szCs w:val="21"/>
                <w:highlight w:val="none"/>
                <w:lang w:val="en-US" w:eastAsia="zh-CN"/>
              </w:rPr>
              <w:t>①磋商小组须首先依据采购文件规定的关联文件进行要素评审，若关联文件评审要素缺失，则响应文件相应内容为准（响应文件内容前后不一致时，以磋商小组要求澄清后的内容为准，若未经澄清，则以对采购人有利为原则的内容为准）。②对于响应文件中概括性表述/承诺和要求明确响应的内容冲突时，以明确精准、具体化的响应内容为准，概括性表述/承诺不能笼统替代具体化响应。③采购文件要求提供的内容与供应商自行增补的辅助资料内容不一致时，以前者为准。④自行增补的辅助资料，若存在虚假、伪造等违法情形，供应商须承担不利后果和法律责任。</w:t>
            </w:r>
          </w:p>
        </w:tc>
      </w:tr>
      <w:tr w14:paraId="46120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1C7B66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6.3</w:t>
            </w:r>
          </w:p>
        </w:tc>
        <w:tc>
          <w:tcPr>
            <w:tcW w:w="1907" w:type="dxa"/>
            <w:shd w:val="clear" w:color="auto" w:fill="auto"/>
            <w:vAlign w:val="center"/>
          </w:tcPr>
          <w:p w14:paraId="1BDB7FE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磋</w:t>
            </w:r>
            <w:r>
              <w:rPr>
                <w:rFonts w:hint="eastAsia" w:ascii="仿宋" w:hAnsi="仿宋" w:eastAsia="仿宋" w:cs="仿宋"/>
                <w:color w:val="auto"/>
                <w:sz w:val="24"/>
                <w:szCs w:val="24"/>
                <w:highlight w:val="none"/>
                <w:lang w:val="en-US" w:eastAsia="zh-CN"/>
              </w:rPr>
              <w:t>商（响应）</w:t>
            </w:r>
            <w:r>
              <w:rPr>
                <w:rFonts w:hint="eastAsia" w:ascii="仿宋" w:hAnsi="仿宋" w:eastAsia="仿宋" w:cs="仿宋"/>
                <w:color w:val="auto"/>
                <w:sz w:val="24"/>
                <w:szCs w:val="24"/>
                <w:highlight w:val="none"/>
              </w:rPr>
              <w:t>报</w:t>
            </w:r>
            <w:r>
              <w:rPr>
                <w:rFonts w:hint="eastAsia" w:ascii="仿宋" w:hAnsi="仿宋" w:eastAsia="仿宋" w:cs="仿宋"/>
                <w:sz w:val="24"/>
                <w:szCs w:val="24"/>
                <w:highlight w:val="none"/>
              </w:rPr>
              <w:t>价</w:t>
            </w:r>
          </w:p>
        </w:tc>
        <w:tc>
          <w:tcPr>
            <w:tcW w:w="6589" w:type="dxa"/>
            <w:shd w:val="clear" w:color="auto" w:fill="auto"/>
            <w:vAlign w:val="center"/>
          </w:tcPr>
          <w:p w14:paraId="4BEA9D30">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1.人民币报价，为含税价。</w:t>
            </w:r>
          </w:p>
          <w:p w14:paraId="1389075B">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pacing w:val="4"/>
                <w:sz w:val="24"/>
                <w:szCs w:val="24"/>
                <w:lang w:val="en-US" w:eastAsia="zh-CN"/>
              </w:rPr>
              <w:t>本项目为固定总价合同（</w:t>
            </w:r>
            <w:r>
              <w:rPr>
                <w:rFonts w:hint="eastAsia" w:ascii="仿宋" w:hAnsi="仿宋" w:eastAsia="仿宋" w:cs="仿宋"/>
                <w:color w:val="auto"/>
                <w:spacing w:val="4"/>
                <w:sz w:val="24"/>
                <w:szCs w:val="24"/>
                <w:highlight w:val="none"/>
                <w:lang w:val="en-US" w:eastAsia="zh-CN"/>
              </w:rPr>
              <w:t>全费用交钥匙价</w:t>
            </w:r>
            <w:r>
              <w:rPr>
                <w:rFonts w:hint="eastAsia" w:ascii="仿宋" w:hAnsi="仿宋" w:eastAsia="仿宋" w:cs="仿宋"/>
                <w:color w:val="auto"/>
                <w:spacing w:val="4"/>
                <w:sz w:val="24"/>
                <w:szCs w:val="24"/>
                <w:lang w:val="en-US" w:eastAsia="zh-CN"/>
              </w:rPr>
              <w:t>），</w:t>
            </w:r>
            <w:r>
              <w:rPr>
                <w:rFonts w:hint="eastAsia" w:ascii="仿宋" w:hAnsi="仿宋" w:eastAsia="仿宋" w:cs="仿宋"/>
                <w:color w:val="auto"/>
                <w:sz w:val="24"/>
                <w:szCs w:val="24"/>
                <w:highlight w:val="none"/>
                <w:lang w:val="en-US" w:eastAsia="zh-CN"/>
              </w:rPr>
              <w:t>包含按采购要求及投标响应完成本项目所发生的可预见和不可预见的一切费用，采购人不再支付任何费用（合同另有约定的事项除外）。</w:t>
            </w:r>
          </w:p>
          <w:p w14:paraId="7FA7D03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3.本项目成交价在合同期内应固定不变。（不可抗力、法定情形或合法变更等影响价格情形除外）。</w:t>
            </w:r>
          </w:p>
          <w:p w14:paraId="040738C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pacing w:val="4"/>
                <w:sz w:val="24"/>
                <w:szCs w:val="24"/>
                <w:lang w:val="en-US" w:eastAsia="zh-CN"/>
              </w:rPr>
              <w:t>供应商</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pacing w:val="4"/>
                <w:sz w:val="24"/>
                <w:szCs w:val="24"/>
                <w:lang w:val="en-US" w:eastAsia="zh-CN"/>
              </w:rPr>
              <w:t>根据磋商文件、施工图纸、工程量清单、施工现场情况及工程特点行业规范等，</w:t>
            </w:r>
            <w:r>
              <w:rPr>
                <w:rFonts w:hint="eastAsia" w:ascii="仿宋" w:hAnsi="仿宋" w:eastAsia="仿宋" w:cs="仿宋"/>
                <w:color w:val="auto"/>
                <w:sz w:val="24"/>
                <w:szCs w:val="24"/>
                <w:highlight w:val="none"/>
                <w:lang w:val="en-US" w:eastAsia="zh-CN"/>
              </w:rPr>
              <w:t>全面考虑风险，及时了解和掌握项目情况及所在地区与本项目相关的政策、规定及价格等情况，结合企业自身技术力量、装备管理水平及市场行情，做到报价准确合理、合法合规，减少失误，不得违反《价格法》和《反不正当竞争法》的相关规定。因误读、理解偏差、对文件、项目或政策了解不全等原因造成的后果，将按照对采购人有利的方法进行处理，不利后果由供应商自行承担。</w:t>
            </w:r>
          </w:p>
          <w:p w14:paraId="29190FD4">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pacing w:val="4"/>
                <w:sz w:val="24"/>
                <w:szCs w:val="24"/>
                <w:lang w:val="en-US" w:eastAsia="zh-CN"/>
              </w:rPr>
            </w:pPr>
            <w:r>
              <w:rPr>
                <w:rFonts w:hint="eastAsia" w:ascii="仿宋" w:hAnsi="仿宋" w:eastAsia="仿宋" w:cs="仿宋"/>
                <w:color w:val="auto"/>
                <w:spacing w:val="4"/>
                <w:sz w:val="24"/>
                <w:szCs w:val="24"/>
                <w:lang w:val="en-US" w:eastAsia="zh-CN"/>
              </w:rPr>
              <w:t>5.措施项目中的安全文明施工费、规费和税金等，须按国家或省级、行业建设主管部门的规定计算，不得作为竞争性费用。</w:t>
            </w:r>
          </w:p>
          <w:p w14:paraId="086B552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pacing w:val="4"/>
                <w:sz w:val="24"/>
                <w:szCs w:val="24"/>
                <w:lang w:val="en-US" w:eastAsia="zh-CN"/>
              </w:rPr>
              <w:t>6.</w:t>
            </w:r>
            <w:r>
              <w:rPr>
                <w:rFonts w:hint="eastAsia" w:ascii="仿宋" w:hAnsi="仿宋" w:eastAsia="仿宋" w:cs="仿宋"/>
                <w:color w:val="auto"/>
                <w:sz w:val="24"/>
                <w:szCs w:val="24"/>
                <w:highlight w:val="none"/>
                <w:lang w:val="en-US" w:eastAsia="zh-CN"/>
              </w:rPr>
              <w:t>除采购文件要求明确响应的内容外，其他漏报、少报费用视为已含在响应报价中，且不对采购范围、采购内容及项目质量等完整履约产生任何影响</w:t>
            </w:r>
            <w:r>
              <w:rPr>
                <w:rFonts w:hint="eastAsia" w:ascii="仿宋" w:hAnsi="仿宋" w:eastAsia="仿宋" w:cs="仿宋"/>
                <w:color w:val="auto"/>
                <w:sz w:val="24"/>
                <w:szCs w:val="24"/>
                <w:lang w:val="en-US" w:eastAsia="zh-CN"/>
              </w:rPr>
              <w:t>。</w:t>
            </w:r>
          </w:p>
        </w:tc>
      </w:tr>
      <w:tr w14:paraId="7D672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145EE9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kern w:val="2"/>
                <w:sz w:val="24"/>
                <w:szCs w:val="24"/>
                <w:lang w:val="en-US" w:eastAsia="zh-CN" w:bidi="ar-SA"/>
              </w:rPr>
              <w:t>6.4</w:t>
            </w:r>
          </w:p>
        </w:tc>
        <w:tc>
          <w:tcPr>
            <w:tcW w:w="1907" w:type="dxa"/>
            <w:shd w:val="clear" w:color="auto" w:fill="auto"/>
            <w:vAlign w:val="center"/>
          </w:tcPr>
          <w:p w14:paraId="0C989434">
            <w:pPr>
              <w:pStyle w:val="9"/>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计价要求</w:t>
            </w:r>
          </w:p>
        </w:tc>
        <w:tc>
          <w:tcPr>
            <w:tcW w:w="6589" w:type="dxa"/>
            <w:shd w:val="clear" w:color="auto" w:fill="auto"/>
            <w:vAlign w:val="center"/>
          </w:tcPr>
          <w:p w14:paraId="5402B6AC">
            <w:pPr>
              <w:pStyle w:val="10"/>
              <w:keepNext w:val="0"/>
              <w:keepLines w:val="0"/>
              <w:pageBreakBefore w:val="0"/>
              <w:widowControl/>
              <w:kinsoku/>
              <w:wordWrap/>
              <w:overflowPunct/>
              <w:topLinePunct w:val="0"/>
              <w:autoSpaceDE w:val="0"/>
              <w:autoSpaceDN w:val="0"/>
              <w:bidi w:val="0"/>
              <w:adjustRightInd w:val="0"/>
              <w:snapToGrid w:val="0"/>
              <w:spacing w:line="460" w:lineRule="exact"/>
              <w:ind w:left="119"/>
              <w:jc w:val="both"/>
              <w:textAlignment w:val="baseline"/>
              <w:rPr>
                <w:rFonts w:hint="eastAsia" w:ascii="仿宋" w:hAnsi="仿宋" w:eastAsia="仿宋" w:cs="仿宋"/>
                <w:color w:val="auto"/>
                <w:spacing w:val="4"/>
                <w:sz w:val="24"/>
                <w:szCs w:val="24"/>
                <w:highlight w:val="yellow"/>
                <w:lang w:val="en-US" w:eastAsia="zh-CN"/>
              </w:rPr>
            </w:pPr>
            <w:r>
              <w:rPr>
                <w:rFonts w:hint="eastAsia" w:ascii="仿宋" w:hAnsi="仿宋" w:eastAsia="仿宋" w:cs="仿宋"/>
                <w:color w:val="auto"/>
                <w:spacing w:val="4"/>
                <w:sz w:val="24"/>
                <w:szCs w:val="24"/>
                <w:lang w:val="en-US" w:eastAsia="zh-CN"/>
              </w:rPr>
              <w:t>1.采用广联达云计价平台GCCP7.0 （版本号：7.5000.23.3）。</w:t>
            </w:r>
          </w:p>
          <w:p w14:paraId="54CD75C7">
            <w:pPr>
              <w:pStyle w:val="10"/>
              <w:keepNext w:val="0"/>
              <w:keepLines w:val="0"/>
              <w:pageBreakBefore w:val="0"/>
              <w:widowControl/>
              <w:kinsoku/>
              <w:wordWrap/>
              <w:overflowPunct/>
              <w:topLinePunct w:val="0"/>
              <w:autoSpaceDE w:val="0"/>
              <w:autoSpaceDN w:val="0"/>
              <w:bidi w:val="0"/>
              <w:adjustRightInd w:val="0"/>
              <w:snapToGrid w:val="0"/>
              <w:spacing w:line="460" w:lineRule="exact"/>
              <w:ind w:left="119" w:leftChars="0"/>
              <w:jc w:val="both"/>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pacing w:val="4"/>
                <w:sz w:val="24"/>
                <w:szCs w:val="24"/>
                <w:lang w:val="en-US" w:eastAsia="zh-CN"/>
              </w:rPr>
              <w:t>2.未按要求计价，后果由</w:t>
            </w:r>
            <w:r>
              <w:rPr>
                <w:rFonts w:hint="eastAsia" w:cs="仿宋"/>
                <w:color w:val="auto"/>
                <w:spacing w:val="4"/>
                <w:sz w:val="24"/>
                <w:szCs w:val="24"/>
                <w:lang w:val="en-US" w:eastAsia="zh-CN"/>
              </w:rPr>
              <w:t>供应商</w:t>
            </w:r>
            <w:r>
              <w:rPr>
                <w:rFonts w:hint="eastAsia" w:ascii="仿宋" w:hAnsi="仿宋" w:eastAsia="仿宋" w:cs="仿宋"/>
                <w:color w:val="auto"/>
                <w:spacing w:val="4"/>
                <w:sz w:val="24"/>
                <w:szCs w:val="24"/>
                <w:lang w:val="en-US" w:eastAsia="zh-CN"/>
              </w:rPr>
              <w:t>自行承担。</w:t>
            </w:r>
          </w:p>
        </w:tc>
      </w:tr>
      <w:tr w14:paraId="6371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77FF281">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6.5</w:t>
            </w:r>
          </w:p>
        </w:tc>
        <w:tc>
          <w:tcPr>
            <w:tcW w:w="1907" w:type="dxa"/>
            <w:shd w:val="clear" w:color="auto" w:fill="auto"/>
            <w:vAlign w:val="center"/>
          </w:tcPr>
          <w:p w14:paraId="7000D701">
            <w:pPr>
              <w:keepNext w:val="0"/>
              <w:keepLines w:val="0"/>
              <w:pageBreakBefore w:val="0"/>
              <w:kinsoku/>
              <w:wordWrap/>
              <w:overflowPunct/>
              <w:topLinePunct w:val="0"/>
              <w:bidi w:val="0"/>
              <w:spacing w:line="46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highlight w:val="none"/>
                <w:lang w:val="en-US" w:eastAsia="zh-CN"/>
              </w:rPr>
              <w:t>响应有效期</w:t>
            </w:r>
          </w:p>
        </w:tc>
        <w:tc>
          <w:tcPr>
            <w:tcW w:w="6589" w:type="dxa"/>
            <w:shd w:val="clear" w:color="auto" w:fill="auto"/>
            <w:vAlign w:val="center"/>
          </w:tcPr>
          <w:p w14:paraId="02897477">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color w:val="auto"/>
                <w:sz w:val="24"/>
                <w:szCs w:val="24"/>
                <w:highlight w:val="none"/>
                <w:lang w:val="en-US" w:eastAsia="zh-CN"/>
              </w:rPr>
            </w:pPr>
            <w:r>
              <w:rPr>
                <w:rFonts w:ascii="仿宋_GB2312" w:hAnsi="仿宋_GB2312" w:eastAsia="仿宋_GB2312" w:cs="仿宋_GB2312"/>
                <w:color w:val="auto"/>
                <w:highlight w:val="none"/>
              </w:rPr>
              <w:t>提交</w:t>
            </w:r>
            <w:r>
              <w:rPr>
                <w:rFonts w:hint="eastAsia" w:ascii="仿宋_GB2312" w:hAnsi="仿宋_GB2312" w:eastAsia="仿宋_GB2312" w:cs="仿宋_GB2312"/>
                <w:color w:val="auto"/>
                <w:highlight w:val="none"/>
                <w:lang w:val="en-US" w:eastAsia="zh-CN"/>
              </w:rPr>
              <w:t>响应文件</w:t>
            </w:r>
            <w:r>
              <w:rPr>
                <w:rFonts w:ascii="仿宋_GB2312" w:hAnsi="仿宋_GB2312" w:eastAsia="仿宋_GB2312" w:cs="仿宋_GB2312"/>
                <w:color w:val="auto"/>
                <w:highlight w:val="none"/>
              </w:rPr>
              <w:t>文件的截止之日起不少于120天。</w:t>
            </w:r>
            <w:r>
              <w:rPr>
                <w:rFonts w:hint="eastAsia" w:ascii="仿宋_GB2312" w:hAnsi="仿宋_GB2312" w:eastAsia="仿宋_GB2312" w:cs="仿宋_GB2312"/>
                <w:color w:val="auto"/>
                <w:highlight w:val="none"/>
                <w:lang w:eastAsia="zh-CN"/>
              </w:rPr>
              <w:t>（</w:t>
            </w:r>
            <w:r>
              <w:rPr>
                <w:rFonts w:hint="eastAsia" w:ascii="仿宋" w:hAnsi="仿宋" w:eastAsia="仿宋" w:cs="仿宋"/>
                <w:color w:val="auto"/>
                <w:spacing w:val="1"/>
                <w:sz w:val="21"/>
                <w:szCs w:val="21"/>
                <w:highlight w:val="none"/>
                <w:lang w:eastAsia="zh-CN"/>
              </w:rPr>
              <w:t>出现特殊情况需要延长</w:t>
            </w:r>
            <w:r>
              <w:rPr>
                <w:rFonts w:hint="eastAsia" w:ascii="仿宋" w:hAnsi="仿宋" w:eastAsia="仿宋" w:cs="仿宋"/>
                <w:color w:val="auto"/>
                <w:spacing w:val="1"/>
                <w:sz w:val="21"/>
                <w:szCs w:val="21"/>
                <w:highlight w:val="none"/>
                <w:lang w:val="en-US" w:eastAsia="zh-CN"/>
              </w:rPr>
              <w:t>响应</w:t>
            </w:r>
            <w:r>
              <w:rPr>
                <w:rFonts w:hint="eastAsia" w:ascii="仿宋" w:hAnsi="仿宋" w:eastAsia="仿宋" w:cs="仿宋"/>
                <w:color w:val="auto"/>
                <w:spacing w:val="1"/>
                <w:sz w:val="21"/>
                <w:szCs w:val="21"/>
                <w:highlight w:val="none"/>
                <w:lang w:eastAsia="zh-CN"/>
              </w:rPr>
              <w:t>有效期的，</w:t>
            </w:r>
            <w:r>
              <w:rPr>
                <w:rFonts w:hint="eastAsia" w:ascii="仿宋" w:hAnsi="仿宋" w:eastAsia="仿宋" w:cs="仿宋"/>
                <w:color w:val="auto"/>
                <w:spacing w:val="1"/>
                <w:sz w:val="21"/>
                <w:szCs w:val="21"/>
                <w:highlight w:val="none"/>
                <w:lang w:val="en-US" w:eastAsia="zh-CN"/>
              </w:rPr>
              <w:t>采购人</w:t>
            </w:r>
            <w:r>
              <w:rPr>
                <w:rFonts w:hint="eastAsia" w:ascii="仿宋" w:hAnsi="仿宋" w:eastAsia="仿宋" w:cs="仿宋"/>
                <w:color w:val="auto"/>
                <w:spacing w:val="1"/>
                <w:sz w:val="21"/>
                <w:szCs w:val="21"/>
                <w:highlight w:val="none"/>
                <w:lang w:eastAsia="zh-CN"/>
              </w:rPr>
              <w:t>以书面形式通知所有</w:t>
            </w:r>
            <w:r>
              <w:rPr>
                <w:rFonts w:hint="eastAsia" w:ascii="仿宋" w:hAnsi="仿宋" w:eastAsia="仿宋" w:cs="仿宋"/>
                <w:color w:val="auto"/>
                <w:spacing w:val="1"/>
                <w:sz w:val="21"/>
                <w:szCs w:val="21"/>
                <w:highlight w:val="none"/>
                <w:lang w:val="en-US" w:eastAsia="zh-CN"/>
              </w:rPr>
              <w:t>有效供应商</w:t>
            </w:r>
            <w:r>
              <w:rPr>
                <w:rFonts w:hint="eastAsia" w:ascii="仿宋" w:hAnsi="仿宋" w:eastAsia="仿宋" w:cs="仿宋"/>
                <w:color w:val="auto"/>
                <w:spacing w:val="1"/>
                <w:sz w:val="21"/>
                <w:szCs w:val="21"/>
                <w:highlight w:val="none"/>
                <w:lang w:eastAsia="zh-CN"/>
              </w:rPr>
              <w:t>延长</w:t>
            </w:r>
            <w:r>
              <w:rPr>
                <w:rFonts w:hint="eastAsia" w:ascii="仿宋" w:hAnsi="仿宋" w:eastAsia="仿宋" w:cs="仿宋"/>
                <w:color w:val="auto"/>
                <w:spacing w:val="1"/>
                <w:sz w:val="21"/>
                <w:szCs w:val="21"/>
                <w:highlight w:val="none"/>
                <w:lang w:val="en-US" w:eastAsia="zh-CN"/>
              </w:rPr>
              <w:t>响应</w:t>
            </w:r>
            <w:r>
              <w:rPr>
                <w:rFonts w:hint="eastAsia" w:ascii="仿宋" w:hAnsi="仿宋" w:eastAsia="仿宋" w:cs="仿宋"/>
                <w:color w:val="auto"/>
                <w:spacing w:val="1"/>
                <w:sz w:val="21"/>
                <w:szCs w:val="21"/>
                <w:highlight w:val="none"/>
                <w:lang w:eastAsia="zh-CN"/>
              </w:rPr>
              <w:t>有效期。</w:t>
            </w:r>
            <w:r>
              <w:rPr>
                <w:rFonts w:hint="eastAsia" w:ascii="仿宋" w:hAnsi="仿宋" w:eastAsia="仿宋" w:cs="仿宋"/>
                <w:color w:val="auto"/>
                <w:spacing w:val="1"/>
                <w:sz w:val="21"/>
                <w:szCs w:val="21"/>
                <w:highlight w:val="none"/>
                <w:lang w:val="en-US" w:eastAsia="zh-CN"/>
              </w:rPr>
              <w:t>供应商</w:t>
            </w:r>
            <w:r>
              <w:rPr>
                <w:rFonts w:hint="eastAsia" w:ascii="仿宋" w:hAnsi="仿宋" w:eastAsia="仿宋" w:cs="仿宋"/>
                <w:color w:val="auto"/>
                <w:spacing w:val="1"/>
                <w:sz w:val="21"/>
                <w:szCs w:val="21"/>
                <w:highlight w:val="none"/>
                <w:lang w:eastAsia="zh-CN"/>
              </w:rPr>
              <w:t>应予以书面答复，同意延长的，应相应延长其</w:t>
            </w:r>
            <w:r>
              <w:rPr>
                <w:rFonts w:hint="eastAsia" w:ascii="仿宋" w:hAnsi="仿宋" w:eastAsia="仿宋" w:cs="仿宋"/>
                <w:color w:val="auto"/>
                <w:spacing w:val="1"/>
                <w:sz w:val="21"/>
                <w:szCs w:val="21"/>
                <w:highlight w:val="none"/>
                <w:lang w:val="en-US" w:eastAsia="zh-CN"/>
              </w:rPr>
              <w:t>响应</w:t>
            </w:r>
            <w:r>
              <w:rPr>
                <w:rFonts w:hint="eastAsia" w:ascii="仿宋" w:hAnsi="仿宋" w:eastAsia="仿宋" w:cs="仿宋"/>
                <w:color w:val="auto"/>
                <w:spacing w:val="1"/>
                <w:sz w:val="21"/>
                <w:szCs w:val="21"/>
                <w:highlight w:val="none"/>
                <w:lang w:eastAsia="zh-CN"/>
              </w:rPr>
              <w:t>保证金的有效期，但不得要求或被允许修改其</w:t>
            </w:r>
            <w:r>
              <w:rPr>
                <w:rFonts w:hint="eastAsia" w:ascii="仿宋" w:hAnsi="仿宋" w:eastAsia="仿宋" w:cs="仿宋"/>
                <w:color w:val="auto"/>
                <w:spacing w:val="1"/>
                <w:sz w:val="21"/>
                <w:szCs w:val="21"/>
                <w:highlight w:val="none"/>
                <w:lang w:val="en-US" w:eastAsia="zh-CN"/>
              </w:rPr>
              <w:t>响应</w:t>
            </w:r>
            <w:r>
              <w:rPr>
                <w:rFonts w:hint="eastAsia" w:ascii="仿宋" w:hAnsi="仿宋" w:eastAsia="仿宋" w:cs="仿宋"/>
                <w:color w:val="auto"/>
                <w:spacing w:val="1"/>
                <w:sz w:val="21"/>
                <w:szCs w:val="21"/>
                <w:highlight w:val="none"/>
                <w:lang w:eastAsia="zh-CN"/>
              </w:rPr>
              <w:t>文件；</w:t>
            </w:r>
            <w:r>
              <w:rPr>
                <w:rFonts w:hint="eastAsia" w:ascii="仿宋" w:hAnsi="仿宋" w:eastAsia="仿宋" w:cs="仿宋"/>
                <w:color w:val="auto"/>
                <w:spacing w:val="1"/>
                <w:sz w:val="21"/>
                <w:szCs w:val="21"/>
                <w:highlight w:val="none"/>
                <w:lang w:val="en-US" w:eastAsia="zh-CN"/>
              </w:rPr>
              <w:t>供应商</w:t>
            </w:r>
            <w:r>
              <w:rPr>
                <w:rFonts w:hint="eastAsia" w:ascii="仿宋" w:hAnsi="仿宋" w:eastAsia="仿宋" w:cs="仿宋"/>
                <w:color w:val="auto"/>
                <w:spacing w:val="1"/>
                <w:sz w:val="21"/>
                <w:szCs w:val="21"/>
                <w:highlight w:val="none"/>
                <w:lang w:eastAsia="zh-CN"/>
              </w:rPr>
              <w:t>拒绝延长的，其</w:t>
            </w:r>
            <w:r>
              <w:rPr>
                <w:rFonts w:hint="eastAsia" w:ascii="仿宋" w:hAnsi="仿宋" w:eastAsia="仿宋" w:cs="仿宋"/>
                <w:color w:val="auto"/>
                <w:spacing w:val="1"/>
                <w:sz w:val="21"/>
                <w:szCs w:val="21"/>
                <w:highlight w:val="none"/>
                <w:lang w:val="en-US" w:eastAsia="zh-CN"/>
              </w:rPr>
              <w:t>响应</w:t>
            </w:r>
            <w:r>
              <w:rPr>
                <w:rFonts w:hint="eastAsia" w:ascii="仿宋" w:hAnsi="仿宋" w:eastAsia="仿宋" w:cs="仿宋"/>
                <w:color w:val="auto"/>
                <w:spacing w:val="1"/>
                <w:sz w:val="21"/>
                <w:szCs w:val="21"/>
                <w:highlight w:val="none"/>
                <w:lang w:eastAsia="zh-CN"/>
              </w:rPr>
              <w:t>失效，但有权收回其</w:t>
            </w:r>
            <w:r>
              <w:rPr>
                <w:rFonts w:hint="eastAsia" w:ascii="仿宋" w:hAnsi="仿宋" w:eastAsia="仿宋" w:cs="仿宋"/>
                <w:color w:val="auto"/>
                <w:spacing w:val="1"/>
                <w:sz w:val="21"/>
                <w:szCs w:val="21"/>
                <w:highlight w:val="none"/>
                <w:lang w:val="en-US" w:eastAsia="zh-CN"/>
              </w:rPr>
              <w:t>响应</w:t>
            </w:r>
            <w:r>
              <w:rPr>
                <w:rFonts w:hint="eastAsia" w:ascii="仿宋" w:hAnsi="仿宋" w:eastAsia="仿宋" w:cs="仿宋"/>
                <w:color w:val="auto"/>
                <w:spacing w:val="1"/>
                <w:sz w:val="21"/>
                <w:szCs w:val="21"/>
                <w:highlight w:val="none"/>
                <w:lang w:eastAsia="zh-CN"/>
              </w:rPr>
              <w:t>保证金。）</w:t>
            </w:r>
          </w:p>
        </w:tc>
      </w:tr>
      <w:tr w14:paraId="5AD4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077161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6.6</w:t>
            </w:r>
          </w:p>
        </w:tc>
        <w:tc>
          <w:tcPr>
            <w:tcW w:w="1907" w:type="dxa"/>
            <w:shd w:val="clear" w:color="auto" w:fill="auto"/>
            <w:vAlign w:val="center"/>
          </w:tcPr>
          <w:p w14:paraId="15965F7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val="en-US" w:eastAsia="zh-CN"/>
              </w:rPr>
              <w:t>响应备选方案</w:t>
            </w:r>
          </w:p>
        </w:tc>
        <w:tc>
          <w:tcPr>
            <w:tcW w:w="6589" w:type="dxa"/>
            <w:shd w:val="clear" w:color="auto" w:fill="auto"/>
            <w:vAlign w:val="center"/>
          </w:tcPr>
          <w:p w14:paraId="5EC0A477">
            <w:pPr>
              <w:keepNext w:val="0"/>
              <w:keepLines w:val="0"/>
              <w:pageBreakBefore w:val="0"/>
              <w:kinsoku/>
              <w:wordWrap/>
              <w:overflowPunct/>
              <w:topLinePunct w:val="0"/>
              <w:autoSpaceDE/>
              <w:autoSpaceDN/>
              <w:bidi w:val="0"/>
              <w:adjustRightInd/>
              <w:snapToGrid w:val="0"/>
              <w:spacing w:line="500" w:lineRule="exact"/>
              <w:jc w:val="left"/>
              <w:textAlignment w:val="baseline"/>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不允许</w:t>
            </w:r>
          </w:p>
        </w:tc>
      </w:tr>
      <w:tr w14:paraId="66F0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16491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8496" w:type="dxa"/>
            <w:gridSpan w:val="2"/>
            <w:shd w:val="clear" w:color="auto" w:fill="auto"/>
            <w:vAlign w:val="center"/>
          </w:tcPr>
          <w:p w14:paraId="7505E792">
            <w:pPr>
              <w:keepNext w:val="0"/>
              <w:keepLines w:val="0"/>
              <w:pageBreakBefore w:val="0"/>
              <w:numPr>
                <w:ilvl w:val="0"/>
                <w:numId w:val="0"/>
              </w:numPr>
              <w:tabs>
                <w:tab w:val="left" w:pos="0"/>
              </w:tabs>
              <w:kinsoku/>
              <w:wordWrap/>
              <w:overflowPunct/>
              <w:topLinePunct w:val="0"/>
              <w:bidi w:val="0"/>
              <w:spacing w:line="460" w:lineRule="exact"/>
              <w:ind w:left="0" w:leftChars="0" w:firstLine="240" w:firstLineChars="100"/>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磋 商</w:t>
            </w:r>
          </w:p>
        </w:tc>
      </w:tr>
      <w:tr w14:paraId="6005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87B0017">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7.1</w:t>
            </w:r>
          </w:p>
        </w:tc>
        <w:tc>
          <w:tcPr>
            <w:tcW w:w="1907" w:type="dxa"/>
            <w:shd w:val="clear" w:color="auto" w:fill="auto"/>
            <w:vAlign w:val="center"/>
          </w:tcPr>
          <w:p w14:paraId="2C2009A5">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eastAsia="zh-CN"/>
              </w:rPr>
              <w:t>磋商</w:t>
            </w:r>
            <w:r>
              <w:rPr>
                <w:rFonts w:hint="eastAsia" w:ascii="仿宋" w:hAnsi="仿宋" w:eastAsia="仿宋" w:cs="仿宋"/>
                <w:kern w:val="2"/>
                <w:sz w:val="24"/>
                <w:szCs w:val="24"/>
                <w:lang w:val="en-US" w:eastAsia="zh-CN" w:bidi="ar-SA"/>
              </w:rPr>
              <w:t>规则</w:t>
            </w:r>
          </w:p>
        </w:tc>
        <w:tc>
          <w:tcPr>
            <w:tcW w:w="6589" w:type="dxa"/>
            <w:shd w:val="clear" w:color="auto" w:fill="auto"/>
            <w:vAlign w:val="center"/>
          </w:tcPr>
          <w:p w14:paraId="23DAAB6E">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1.磋商轮次、顺序以及报价次数根据磋商情况由磋商小组决定，现场磋商至少一轮，报价次数不少于两次（含首次响应报价），每轮报价均需满足相应要求，若报价无效则响应无效，不再进入后续评审。</w:t>
            </w:r>
          </w:p>
          <w:p w14:paraId="64727793">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磋商过程可能实质性变动采购需求中的技术、服务及合同条款等（磋商文件规定的实质性内容不得变动），变动后的内容须经采购人认可，并通知进入磋商环节的所有供应商，磋商结束后，供应商根据磋商变化后的内容提交响应文件和最后响应报价，磋商小组以提交的最后响应文件和报价进行评审。</w:t>
            </w:r>
          </w:p>
          <w:p w14:paraId="3E69D8CB">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3.磋商过程中的多轮报价均以总价进行报价，以首次响应总价与最后总报价变动比例为准，对首次响应单价进行同比例调整后为最终成交单价，成交后价格不得更改。</w:t>
            </w:r>
          </w:p>
          <w:p w14:paraId="39C8905A">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4.在磋商内容未发生实质性改变或未提高响应标准的情况下，供应商后轮报价不得高于前轮报价，否则磋商小组对其响应文件作无效处理。</w:t>
            </w:r>
          </w:p>
          <w:p w14:paraId="3C2CCBE9">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5.在提交最后报价之前，供应商可以根据磋商情况退出磋商。</w:t>
            </w:r>
          </w:p>
        </w:tc>
      </w:tr>
      <w:tr w14:paraId="1C1B1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CBD959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snapToGrid w:val="0"/>
                <w:color w:val="auto"/>
                <w:kern w:val="0"/>
                <w:sz w:val="24"/>
                <w:szCs w:val="24"/>
                <w:highlight w:val="none"/>
                <w:lang w:val="en-US" w:eastAsia="zh-CN" w:bidi="ar-SA"/>
              </w:rPr>
            </w:pPr>
            <w:r>
              <w:rPr>
                <w:rFonts w:hint="eastAsia" w:ascii="仿宋" w:hAnsi="仿宋" w:eastAsia="仿宋" w:cs="仿宋"/>
                <w:color w:val="auto"/>
                <w:sz w:val="24"/>
                <w:szCs w:val="24"/>
                <w:highlight w:val="none"/>
                <w:lang w:val="en-US" w:eastAsia="zh-CN"/>
              </w:rPr>
              <w:t>8</w:t>
            </w:r>
          </w:p>
        </w:tc>
        <w:tc>
          <w:tcPr>
            <w:tcW w:w="1907" w:type="dxa"/>
            <w:shd w:val="clear" w:color="auto" w:fill="auto"/>
            <w:vAlign w:val="center"/>
          </w:tcPr>
          <w:p w14:paraId="036DBB10">
            <w:pPr>
              <w:keepNext w:val="0"/>
              <w:keepLines w:val="0"/>
              <w:pageBreakBefore w:val="0"/>
              <w:wordWrap/>
              <w:overflowPunct/>
              <w:topLinePunct w:val="0"/>
              <w:bidi w:val="0"/>
              <w:spacing w:line="460" w:lineRule="exact"/>
              <w:jc w:val="center"/>
              <w:rPr>
                <w:rFonts w:hint="eastAsia" w:ascii="仿宋" w:hAnsi="仿宋" w:eastAsia="仿宋" w:cs="仿宋"/>
                <w:snapToGrid w:val="0"/>
                <w:color w:val="000000"/>
                <w:spacing w:val="4"/>
                <w:kern w:val="0"/>
                <w:sz w:val="24"/>
                <w:szCs w:val="24"/>
                <w:lang w:val="en-US" w:eastAsia="zh-CN" w:bidi="ar-SA"/>
              </w:rPr>
            </w:pPr>
            <w:r>
              <w:rPr>
                <w:rFonts w:hint="eastAsia" w:ascii="仿宋" w:hAnsi="仿宋" w:eastAsia="仿宋" w:cs="仿宋"/>
                <w:snapToGrid w:val="0"/>
                <w:color w:val="000000"/>
                <w:spacing w:val="4"/>
                <w:kern w:val="0"/>
                <w:sz w:val="24"/>
                <w:szCs w:val="24"/>
                <w:lang w:val="en-US" w:eastAsia="zh-CN" w:bidi="ar-SA"/>
              </w:rPr>
              <w:t>工程变更、工程量偏差调整</w:t>
            </w:r>
          </w:p>
        </w:tc>
        <w:tc>
          <w:tcPr>
            <w:tcW w:w="6589" w:type="dxa"/>
            <w:shd w:val="clear" w:color="auto" w:fill="auto"/>
            <w:vAlign w:val="center"/>
          </w:tcPr>
          <w:p w14:paraId="467DEA80">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供应商在响应前应复核并确认采购方提供的工程量清单、图纸及相关资料，如发现工程量清单、图纸及相关资料中有不符项、漏项或错误，应及时提出，经由采购方确认是否进行修改调整，否则视为供应商理解、认可并接受工程量清单、图纸及相关资料所包含的所有内容和范围。对于供应商因为误读、漏项、理解偏差、对文件资料了解不全等原因造成的损失，均由供应商自行承担。</w:t>
            </w:r>
          </w:p>
          <w:p w14:paraId="251CA43E">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2.合同项下工程变更：合同项下工程累计变更金额超过成交合同价10%（含10%）的，原则上应重新进行采购。</w:t>
            </w:r>
          </w:p>
          <w:p w14:paraId="00857E37">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3.合同外变更：依法进行。</w:t>
            </w:r>
          </w:p>
        </w:tc>
      </w:tr>
      <w:tr w14:paraId="2456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043923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9</w:t>
            </w:r>
          </w:p>
        </w:tc>
        <w:tc>
          <w:tcPr>
            <w:tcW w:w="1907" w:type="dxa"/>
            <w:shd w:val="clear" w:color="auto" w:fill="auto"/>
            <w:vAlign w:val="center"/>
          </w:tcPr>
          <w:p w14:paraId="1AAD020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★实质性要求</w:t>
            </w:r>
          </w:p>
        </w:tc>
        <w:tc>
          <w:tcPr>
            <w:tcW w:w="6589" w:type="dxa"/>
            <w:shd w:val="clear" w:color="auto" w:fill="auto"/>
            <w:vAlign w:val="center"/>
          </w:tcPr>
          <w:p w14:paraId="209F704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1.供应商资格要求；2.符合性要求；3.法律法规和磋商文件规定的其他实质性要求。</w:t>
            </w:r>
            <w:r>
              <w:rPr>
                <w:rFonts w:hint="eastAsia" w:ascii="仿宋" w:hAnsi="仿宋" w:eastAsia="仿宋" w:cs="仿宋"/>
                <w:b w:val="0"/>
                <w:bCs w:val="0"/>
                <w:color w:val="auto"/>
                <w:sz w:val="24"/>
                <w:szCs w:val="24"/>
                <w:highlight w:val="none"/>
                <w:lang w:val="en-US" w:eastAsia="zh-CN"/>
              </w:rPr>
              <w:t>（供应商自行承担由于理解偏差、佐证失效/无效、未按要求编排、随意改变采购文件给定格式内容、提供虚假资料等原因造成的不利后果）</w:t>
            </w:r>
          </w:p>
        </w:tc>
      </w:tr>
      <w:tr w14:paraId="28D1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B4A758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10</w:t>
            </w:r>
          </w:p>
        </w:tc>
        <w:tc>
          <w:tcPr>
            <w:tcW w:w="1907" w:type="dxa"/>
            <w:shd w:val="clear" w:color="auto" w:fill="auto"/>
            <w:vAlign w:val="center"/>
          </w:tcPr>
          <w:p w14:paraId="5EC54D7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约定与标准</w:t>
            </w:r>
          </w:p>
        </w:tc>
        <w:tc>
          <w:tcPr>
            <w:tcW w:w="6589" w:type="dxa"/>
            <w:shd w:val="clear" w:color="auto" w:fill="auto"/>
            <w:vAlign w:val="center"/>
          </w:tcPr>
          <w:p w14:paraId="107FD9F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成交人在磋商或履约过程中，应严格遵守诚信原则与全面履约义务。对于采购活动中有关服务、质量、技术等约定不明确的，应首先按国家强制性标准、推荐性标准、地方标准依次执行，其次应符合国家、行业/地方现行标准规范和采购要求，最终达到满足实现本合同目的和功能的特定标准。</w:t>
            </w:r>
          </w:p>
          <w:p w14:paraId="3CD7022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本磋商文件所拟订的技术为基本/主要技术要求，并未对一切技术细节做出规定，也未充分引述有关标准和规范条文，供应商所提供的服务、货物、性能和功能应不低于本文件条款的要求，并应按本磋商文件的要求提交符合本技术要求规定及与项目有关的完整的技术方案。</w:t>
            </w:r>
          </w:p>
          <w:p w14:paraId="67671CB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3.供应商须保证所提供服务、货物等的质量满足国家或行业现行法律法规及相关规章和采购要求，并且承担所有在合同中指定的责任和义务。</w:t>
            </w:r>
          </w:p>
          <w:p w14:paraId="45ADD5F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供应商拟提供的服务/产品须是成熟的、市场供应充足的、能保证正常履约的。成交后不能以任何理由对磋商、响应做实质性的修改（如工程内容、标准、工期、变更价格、减少工程量等），导致采购人与成交人之间权利义务发生重大变化。若确实需要变更，则由采购人上报监管部门审批，依法进行处理。</w:t>
            </w:r>
          </w:p>
          <w:p w14:paraId="5C0B7B8D">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default"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5.供应商的磋商响应，视为已充分考虑了本项目的特殊性、作业限制性及现场可能存在的所有现场风险，所报价格已涵盖了本项目已明确或未明确但与项目相关联的伴随服务等全部内容，无漏项、缺项，后续不能因未踏勘、未核实现场信息、现场细节及其他问题提出任何调价、索赔和异议。</w:t>
            </w:r>
          </w:p>
        </w:tc>
      </w:tr>
      <w:tr w14:paraId="1CD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B378EF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12</w:t>
            </w:r>
          </w:p>
        </w:tc>
        <w:tc>
          <w:tcPr>
            <w:tcW w:w="1907" w:type="dxa"/>
            <w:shd w:val="clear" w:color="auto" w:fill="auto"/>
            <w:vAlign w:val="center"/>
          </w:tcPr>
          <w:p w14:paraId="3A416E0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数字计算</w:t>
            </w:r>
          </w:p>
        </w:tc>
        <w:tc>
          <w:tcPr>
            <w:tcW w:w="6589" w:type="dxa"/>
            <w:shd w:val="clear" w:color="auto" w:fill="auto"/>
            <w:vAlign w:val="center"/>
          </w:tcPr>
          <w:p w14:paraId="6D0E531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四舍五入，保留小数点后两位</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（特殊说明除外）</w:t>
            </w:r>
          </w:p>
        </w:tc>
      </w:tr>
      <w:tr w14:paraId="3491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72C10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p>
        </w:tc>
        <w:tc>
          <w:tcPr>
            <w:tcW w:w="1907" w:type="dxa"/>
            <w:tcBorders>
              <w:right w:val="nil"/>
            </w:tcBorders>
            <w:vAlign w:val="center"/>
          </w:tcPr>
          <w:p w14:paraId="3DB5CE0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eastAsia="zh-CN"/>
              </w:rPr>
              <w:t>中小企业</w:t>
            </w:r>
          </w:p>
        </w:tc>
        <w:tc>
          <w:tcPr>
            <w:tcW w:w="6589" w:type="dxa"/>
            <w:tcBorders>
              <w:left w:val="nil"/>
            </w:tcBorders>
            <w:vAlign w:val="center"/>
          </w:tcPr>
          <w:p w14:paraId="04BA17B2">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402D0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F5CBD65">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r>
              <w:rPr>
                <w:rFonts w:hint="eastAsia" w:ascii="仿宋" w:hAnsi="仿宋" w:eastAsia="仿宋" w:cs="仿宋"/>
                <w:color w:val="auto"/>
                <w:sz w:val="24"/>
                <w:szCs w:val="24"/>
                <w:lang w:val="en-US" w:eastAsia="zh-CN"/>
              </w:rPr>
              <w:t>.1</w:t>
            </w:r>
          </w:p>
        </w:tc>
        <w:tc>
          <w:tcPr>
            <w:tcW w:w="1907" w:type="dxa"/>
            <w:shd w:val="clear" w:color="auto" w:fill="auto"/>
            <w:vAlign w:val="center"/>
          </w:tcPr>
          <w:p w14:paraId="310A23C6">
            <w:pPr>
              <w:keepNext w:val="0"/>
              <w:keepLines w:val="0"/>
              <w:pageBreakBefore w:val="0"/>
              <w:tabs>
                <w:tab w:val="left" w:pos="0"/>
              </w:tabs>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eastAsia="zh-CN"/>
              </w:rPr>
              <w:t>中小企业</w:t>
            </w:r>
          </w:p>
        </w:tc>
        <w:tc>
          <w:tcPr>
            <w:tcW w:w="6589" w:type="dxa"/>
            <w:shd w:val="clear" w:color="auto" w:fill="auto"/>
            <w:vAlign w:val="center"/>
          </w:tcPr>
          <w:p w14:paraId="0E6B6FDA">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1.中小企业判定依据：《中小企业划型标准规定》。</w:t>
            </w:r>
          </w:p>
          <w:p w14:paraId="2BA51F03">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2.中小企业，是指在中华人民共和国境内依法设立，依据国务院批准的中小企业划分标准确定的中型企业、小型企业和微型企业，但与大企业的负责人为同一人，或者与大企业存在直接控股、管理关系的除外。</w:t>
            </w:r>
          </w:p>
          <w:p w14:paraId="5231AB9A">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3.符合中小企业划分标准的个体工商户，在政府采购活动中视同中小企业。符合条件的监狱企业、残疾人福利性单位视同小微企业，在参加政府采购活动时享受扶持政策。</w:t>
            </w:r>
          </w:p>
          <w:p w14:paraId="7EEB841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4.供应商提供《中小企业声明函》（或《残疾人福利性单位声明函》、《监狱或戒毒企业声明函》），并对声明的真实性、准确性、有效性负责。</w:t>
            </w:r>
          </w:p>
          <w:p w14:paraId="371507DB">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5.成交人提供的《中小企业声明函》、《残疾人福利性单位声明函》、《监狱或戒毒企业声明函》随同成交结果公示，接受社会监督，若有不实，将承担经济和法律后果。</w:t>
            </w:r>
          </w:p>
          <w:p w14:paraId="62FC0032">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6.享受扶持政策获得政府采购合同的，小微企业不得将合同分包给大中型企业，中型企业不得将合同分包给大型企业。</w:t>
            </w:r>
          </w:p>
          <w:p w14:paraId="3F3DC44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7.发生纠纷时，对中小企业的最终认定，由供应商注册登记所在地的县级以上人民政府中小企业主管部门负责。</w:t>
            </w:r>
          </w:p>
        </w:tc>
      </w:tr>
      <w:tr w14:paraId="2D87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E58B29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r>
              <w:rPr>
                <w:rFonts w:hint="eastAsia" w:ascii="仿宋" w:hAnsi="仿宋" w:eastAsia="仿宋" w:cs="仿宋"/>
                <w:color w:val="auto"/>
                <w:sz w:val="24"/>
                <w:szCs w:val="24"/>
                <w:lang w:val="en-US" w:eastAsia="zh-CN"/>
              </w:rPr>
              <w:t>.2</w:t>
            </w:r>
          </w:p>
        </w:tc>
        <w:tc>
          <w:tcPr>
            <w:tcW w:w="1907" w:type="dxa"/>
            <w:shd w:val="clear" w:color="auto" w:fill="auto"/>
            <w:vAlign w:val="center"/>
          </w:tcPr>
          <w:p w14:paraId="23826781">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中小企业</w:t>
            </w:r>
          </w:p>
          <w:p w14:paraId="0C50D9B7">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划型标准</w:t>
            </w:r>
          </w:p>
        </w:tc>
        <w:tc>
          <w:tcPr>
            <w:tcW w:w="6589" w:type="dxa"/>
            <w:shd w:val="clear" w:color="auto" w:fill="auto"/>
            <w:vAlign w:val="center"/>
          </w:tcPr>
          <w:p w14:paraId="28BF162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default" w:ascii="仿宋" w:hAnsi="仿宋" w:eastAsia="仿宋" w:cs="仿宋"/>
                <w:b/>
                <w:bCs/>
                <w:color w:val="auto"/>
                <w:sz w:val="24"/>
                <w:szCs w:val="24"/>
                <w:highlight w:val="yellow"/>
                <w:lang w:val="en-US" w:eastAsia="zh-CN"/>
              </w:rPr>
            </w:pPr>
            <w:r>
              <w:rPr>
                <w:rFonts w:hint="eastAsia" w:ascii="仿宋" w:hAnsi="仿宋" w:eastAsia="仿宋" w:cs="仿宋"/>
                <w:b/>
                <w:bCs/>
                <w:color w:val="auto"/>
                <w:sz w:val="24"/>
                <w:szCs w:val="24"/>
                <w:lang w:val="en-US" w:eastAsia="zh-CN"/>
              </w:rPr>
              <w:t>1.本项目所属行业</w:t>
            </w:r>
            <w:r>
              <w:rPr>
                <w:rFonts w:hint="eastAsia" w:ascii="仿宋" w:hAnsi="仿宋" w:eastAsia="仿宋" w:cs="仿宋"/>
                <w:b/>
                <w:bCs/>
                <w:color w:val="auto"/>
                <w:sz w:val="24"/>
                <w:szCs w:val="24"/>
                <w:highlight w:val="none"/>
                <w:lang w:val="en-US" w:eastAsia="zh-CN"/>
              </w:rPr>
              <w:t>：建筑业</w:t>
            </w:r>
          </w:p>
          <w:p w14:paraId="7554190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highlight w:val="none"/>
                <w:lang w:val="en-US" w:eastAsia="zh-CN"/>
              </w:rPr>
              <w:t>划型标准：</w:t>
            </w:r>
            <w:r>
              <w:rPr>
                <w:rFonts w:hint="eastAsia" w:ascii="仿宋" w:hAnsi="仿宋" w:eastAsia="仿宋" w:cs="仿宋"/>
                <w:snapToGrid w:val="0"/>
                <w:color w:val="000000"/>
                <w:spacing w:val="4"/>
                <w:kern w:val="0"/>
                <w:sz w:val="24"/>
                <w:szCs w:val="24"/>
                <w:lang w:val="en-US" w:eastAsia="zh-CN" w:bidi="ar-SA"/>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仿宋" w:hAnsi="仿宋" w:eastAsia="仿宋" w:cs="仿宋"/>
                <w:color w:val="auto"/>
                <w:sz w:val="24"/>
                <w:szCs w:val="24"/>
                <w:lang w:val="en-US" w:eastAsia="zh-CN"/>
              </w:rPr>
              <w:t>。</w:t>
            </w:r>
          </w:p>
        </w:tc>
      </w:tr>
      <w:tr w14:paraId="56B4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F4C1B7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w:t>
            </w:r>
            <w:r>
              <w:rPr>
                <w:rFonts w:hint="eastAsia" w:ascii="仿宋" w:hAnsi="仿宋" w:eastAsia="仿宋" w:cs="仿宋"/>
                <w:color w:val="auto"/>
                <w:sz w:val="24"/>
                <w:szCs w:val="24"/>
                <w:lang w:val="en-US" w:eastAsia="zh-CN"/>
              </w:rPr>
              <w:t>.3</w:t>
            </w:r>
          </w:p>
        </w:tc>
        <w:tc>
          <w:tcPr>
            <w:tcW w:w="1907" w:type="dxa"/>
            <w:shd w:val="clear" w:color="auto" w:fill="auto"/>
            <w:vAlign w:val="center"/>
          </w:tcPr>
          <w:p w14:paraId="484E8863">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中小企业声明函填写说明</w:t>
            </w:r>
          </w:p>
        </w:tc>
        <w:tc>
          <w:tcPr>
            <w:tcW w:w="6589" w:type="dxa"/>
            <w:shd w:val="clear" w:color="auto" w:fill="auto"/>
            <w:vAlign w:val="center"/>
          </w:tcPr>
          <w:p w14:paraId="01B632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从业人员、营业收入、资产总额：以参加本采购活动的上年年末数字为准（或全年平均数字），无上一年度数据的新成立企业可不填报（须提供有效印证材料）。</w:t>
            </w:r>
          </w:p>
        </w:tc>
      </w:tr>
      <w:tr w14:paraId="58B1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5999B2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13.4</w:t>
            </w:r>
          </w:p>
        </w:tc>
        <w:tc>
          <w:tcPr>
            <w:tcW w:w="1907" w:type="dxa"/>
            <w:shd w:val="clear" w:color="auto" w:fill="auto"/>
            <w:vAlign w:val="center"/>
          </w:tcPr>
          <w:p w14:paraId="3CD88BA2">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声明函澄清、</w:t>
            </w:r>
          </w:p>
          <w:p w14:paraId="486AA957">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修正</w:t>
            </w:r>
          </w:p>
        </w:tc>
        <w:tc>
          <w:tcPr>
            <w:tcW w:w="6589" w:type="dxa"/>
            <w:shd w:val="clear" w:color="auto" w:fill="auto"/>
            <w:vAlign w:val="center"/>
          </w:tcPr>
          <w:p w14:paraId="4858EF4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声明函中存在明显笔误、划</w:t>
            </w:r>
            <w:r>
              <w:rPr>
                <w:rFonts w:hint="default" w:ascii="仿宋" w:hAnsi="仿宋" w:eastAsia="仿宋" w:cs="仿宋"/>
                <w:color w:val="auto"/>
                <w:sz w:val="24"/>
                <w:szCs w:val="24"/>
                <w:lang w:val="en-US" w:eastAsia="zh-CN"/>
              </w:rPr>
              <w:t>型</w:t>
            </w:r>
            <w:r>
              <w:rPr>
                <w:rFonts w:hint="eastAsia" w:ascii="仿宋" w:hAnsi="仿宋" w:eastAsia="仿宋" w:cs="仿宋"/>
                <w:color w:val="auto"/>
                <w:sz w:val="24"/>
                <w:szCs w:val="24"/>
                <w:lang w:val="en-US" w:eastAsia="zh-CN"/>
              </w:rPr>
              <w:t>错误、同一内容前后不一致等无主观故意为之的</w:t>
            </w:r>
            <w:r>
              <w:rPr>
                <w:rFonts w:hint="default" w:ascii="仿宋" w:hAnsi="仿宋" w:eastAsia="仿宋" w:cs="仿宋"/>
                <w:color w:val="auto"/>
                <w:sz w:val="24"/>
                <w:szCs w:val="24"/>
                <w:lang w:val="en-US" w:eastAsia="zh-CN"/>
              </w:rPr>
              <w:t>情</w:t>
            </w:r>
            <w:r>
              <w:rPr>
                <w:rFonts w:hint="eastAsia" w:ascii="仿宋" w:hAnsi="仿宋" w:eastAsia="仿宋" w:cs="仿宋"/>
                <w:color w:val="auto"/>
                <w:sz w:val="24"/>
                <w:szCs w:val="24"/>
                <w:lang w:val="en-US" w:eastAsia="zh-CN"/>
              </w:rPr>
              <w:t>形，磋商小组可要求供应商予以澄清，澄清后符合中小企业条件的，该声明函有效，否则无效。</w:t>
            </w:r>
          </w:p>
        </w:tc>
      </w:tr>
      <w:tr w14:paraId="7D01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8BBA22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w:t>
            </w:r>
          </w:p>
        </w:tc>
        <w:tc>
          <w:tcPr>
            <w:tcW w:w="1907" w:type="dxa"/>
            <w:tcBorders>
              <w:right w:val="nil"/>
            </w:tcBorders>
            <w:vAlign w:val="center"/>
          </w:tcPr>
          <w:p w14:paraId="55EA803C">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合同</w:t>
            </w:r>
          </w:p>
        </w:tc>
        <w:tc>
          <w:tcPr>
            <w:tcW w:w="6589" w:type="dxa"/>
            <w:tcBorders>
              <w:left w:val="nil"/>
            </w:tcBorders>
            <w:vAlign w:val="center"/>
          </w:tcPr>
          <w:p w14:paraId="2E3718CD">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3C14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086240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14.1</w:t>
            </w:r>
          </w:p>
        </w:tc>
        <w:tc>
          <w:tcPr>
            <w:tcW w:w="1907" w:type="dxa"/>
            <w:vAlign w:val="center"/>
          </w:tcPr>
          <w:p w14:paraId="259F7FC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合同类型</w:t>
            </w:r>
          </w:p>
        </w:tc>
        <w:tc>
          <w:tcPr>
            <w:tcW w:w="6589" w:type="dxa"/>
            <w:vAlign w:val="center"/>
          </w:tcPr>
          <w:p w14:paraId="3B7CD1C0">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固定总价合同（项目包干价）</w:t>
            </w:r>
          </w:p>
        </w:tc>
      </w:tr>
      <w:tr w14:paraId="29B4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A224F5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14.2</w:t>
            </w:r>
          </w:p>
        </w:tc>
        <w:tc>
          <w:tcPr>
            <w:tcW w:w="1907" w:type="dxa"/>
            <w:shd w:val="clear" w:color="auto" w:fill="auto"/>
            <w:vAlign w:val="center"/>
          </w:tcPr>
          <w:p w14:paraId="5EA69C9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val="en-US" w:eastAsia="zh-CN"/>
              </w:rPr>
              <w:t>合同订立</w:t>
            </w:r>
          </w:p>
        </w:tc>
        <w:tc>
          <w:tcPr>
            <w:tcW w:w="6589" w:type="dxa"/>
            <w:shd w:val="clear" w:color="auto" w:fill="auto"/>
            <w:vAlign w:val="center"/>
          </w:tcPr>
          <w:p w14:paraId="51A96A85">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val="en-US" w:eastAsia="zh-CN"/>
              </w:rPr>
              <w:t>自成交</w:t>
            </w:r>
            <w:r>
              <w:rPr>
                <w:rFonts w:hint="eastAsia" w:ascii="仿宋" w:hAnsi="仿宋" w:eastAsia="仿宋" w:cs="仿宋"/>
                <w:bCs/>
                <w:color w:val="auto"/>
                <w:sz w:val="24"/>
                <w:szCs w:val="24"/>
              </w:rPr>
              <w:t>通知书</w:t>
            </w:r>
            <w:r>
              <w:rPr>
                <w:rFonts w:hint="eastAsia" w:ascii="仿宋" w:hAnsi="仿宋" w:eastAsia="仿宋" w:cs="仿宋"/>
                <w:bCs/>
                <w:color w:val="auto"/>
                <w:sz w:val="24"/>
                <w:szCs w:val="24"/>
                <w:lang w:val="en-US" w:eastAsia="zh-CN"/>
              </w:rPr>
              <w:t>发出之日起</w:t>
            </w:r>
            <w:r>
              <w:rPr>
                <w:rFonts w:hint="eastAsia" w:ascii="仿宋" w:hAnsi="仿宋" w:eastAsia="仿宋" w:cs="仿宋"/>
                <w:bCs/>
                <w:color w:val="auto"/>
                <w:sz w:val="24"/>
                <w:szCs w:val="24"/>
                <w:highlight w:val="none"/>
                <w:lang w:val="en-US" w:eastAsia="zh-CN"/>
              </w:rPr>
              <w:t>三十</w:t>
            </w:r>
            <w:r>
              <w:rPr>
                <w:rFonts w:hint="eastAsia" w:ascii="仿宋" w:hAnsi="仿宋" w:eastAsia="仿宋" w:cs="仿宋"/>
                <w:bCs/>
                <w:color w:val="auto"/>
                <w:sz w:val="24"/>
                <w:szCs w:val="24"/>
                <w:highlight w:val="none"/>
                <w:lang w:eastAsia="zh-CN"/>
              </w:rPr>
              <w:t>日（</w:t>
            </w:r>
            <w:r>
              <w:rPr>
                <w:rFonts w:hint="eastAsia" w:ascii="仿宋" w:hAnsi="仿宋" w:eastAsia="仿宋" w:cs="仿宋"/>
                <w:bCs/>
                <w:color w:val="auto"/>
                <w:sz w:val="24"/>
                <w:szCs w:val="24"/>
                <w:highlight w:val="none"/>
                <w:lang w:val="en-US" w:eastAsia="zh-CN"/>
              </w:rPr>
              <w:t>按照政府采购最新政策规定，应当自</w:t>
            </w:r>
            <w:r>
              <w:rPr>
                <w:rFonts w:hint="eastAsia" w:ascii="仿宋" w:hAnsi="仿宋" w:eastAsia="仿宋" w:cs="仿宋"/>
                <w:bCs/>
                <w:color w:val="auto"/>
                <w:sz w:val="24"/>
                <w:szCs w:val="24"/>
                <w:lang w:val="en-US" w:eastAsia="zh-CN"/>
              </w:rPr>
              <w:t>成交</w:t>
            </w:r>
            <w:r>
              <w:rPr>
                <w:rFonts w:hint="eastAsia" w:ascii="仿宋" w:hAnsi="仿宋" w:eastAsia="仿宋" w:cs="仿宋"/>
                <w:bCs/>
                <w:color w:val="auto"/>
                <w:sz w:val="24"/>
                <w:szCs w:val="24"/>
                <w:highlight w:val="none"/>
                <w:lang w:val="en-US" w:eastAsia="zh-CN"/>
              </w:rPr>
              <w:t>通知书发出之日起二十五日</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rPr>
              <w:t>内</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采购人与成交人按照磋商文件确定的事项和响应文件订立书面合同（合同不能对已确定的实质性内容进行修改）。采购人和成交人不得再行订立背离合同实质性内容的其他协议</w:t>
            </w:r>
            <w:r>
              <w:rPr>
                <w:rFonts w:hint="eastAsia" w:ascii="仿宋" w:hAnsi="仿宋" w:eastAsia="仿宋" w:cs="仿宋"/>
                <w:bCs/>
                <w:color w:val="auto"/>
                <w:sz w:val="24"/>
                <w:szCs w:val="24"/>
                <w:lang w:eastAsia="zh-CN"/>
              </w:rPr>
              <w:t>。</w:t>
            </w:r>
          </w:p>
          <w:p w14:paraId="410752BD">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2、磋商文件要求成交人提交履约保证金或者其他形式履约或风险保证的，成交人应当提交；拒绝提交的，视为放弃成交资格。</w:t>
            </w:r>
          </w:p>
          <w:p w14:paraId="6FC8B363">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成交通知书是合同的重要组成部分。磋商文件、响应文件及评审过程中有关的澄清文件均作为合同附件。成交无效的，发出的成交通知书和签订的合同自始没有法律约束力，但不影响合同中独立存在的有关解决争议方法的条款的效力。</w:t>
            </w:r>
          </w:p>
          <w:p w14:paraId="434B036C">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签订合同前，采购人有权要求对磋商规定的或响应文件资料原件和关键性能指标进行核查、测试，若成交人在规定时间内拒不配合，造成可能导致无法按期签订合同或项目无法按期推进，视为不按采购要求和磋商响应执行，不履行对采购要约的承诺，损害了采购方的权益，构成违约，采购人有权取消其成交资格。</w:t>
            </w:r>
          </w:p>
          <w:p w14:paraId="4BAFBF44">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5、若合同签订期间与成交产品、技术服务等相关的新的国家/行业强制性标准规范开始施行，则双方须依法进行变更，按最新的强制性标准执行，并做好详细说明、记录。</w:t>
            </w:r>
          </w:p>
          <w:p w14:paraId="6BAC4FBC">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6、甲乙双方无正当理由不按规定签订合同，或在签订合同时向对方提出附加条件，更改合同实质性内容的，依法承担相应法律责任；给对方造成损失的应当赔偿。</w:t>
            </w:r>
          </w:p>
          <w:p w14:paraId="0B610A71">
            <w:pPr>
              <w:keepNext w:val="0"/>
              <w:keepLines w:val="0"/>
              <w:pageBreakBefore w:val="0"/>
              <w:tabs>
                <w:tab w:val="left" w:pos="0"/>
              </w:tabs>
              <w:kinsoku/>
              <w:wordWrap/>
              <w:overflowPunct/>
              <w:topLinePunct w:val="0"/>
              <w:autoSpaceDE/>
              <w:autoSpaceDN/>
              <w:bidi w:val="0"/>
              <w:adjustRightInd/>
              <w:spacing w:line="500" w:lineRule="exact"/>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7、成交人应按照合同约定完整履行义务，</w:t>
            </w:r>
            <w:r>
              <w:rPr>
                <w:rFonts w:hint="eastAsia" w:ascii="仿宋" w:hAnsi="仿宋" w:eastAsia="仿宋" w:cs="仿宋"/>
                <w:bCs/>
                <w:color w:val="auto"/>
                <w:sz w:val="24"/>
                <w:szCs w:val="24"/>
                <w:highlight w:val="none"/>
                <w:lang w:val="en-US" w:eastAsia="zh-CN"/>
              </w:rPr>
              <w:t>若其违约或本项目实施条件/要求发生变化或发生不可抗力，采购方有权单方解除合同，相关风险由成交方承担</w:t>
            </w:r>
            <w:r>
              <w:rPr>
                <w:rFonts w:hint="eastAsia" w:ascii="仿宋" w:hAnsi="仿宋" w:eastAsia="仿宋" w:cs="仿宋"/>
                <w:bCs/>
                <w:color w:val="auto"/>
                <w:sz w:val="24"/>
                <w:szCs w:val="24"/>
                <w:highlight w:val="none"/>
              </w:rPr>
              <w:t>。</w:t>
            </w:r>
          </w:p>
        </w:tc>
      </w:tr>
      <w:tr w14:paraId="7EF4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atLeast"/>
        </w:trPr>
        <w:tc>
          <w:tcPr>
            <w:tcW w:w="890" w:type="dxa"/>
            <w:shd w:val="clear" w:color="auto" w:fill="auto"/>
            <w:vAlign w:val="center"/>
          </w:tcPr>
          <w:p w14:paraId="3877609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14.3</w:t>
            </w:r>
          </w:p>
          <w:p w14:paraId="0CD03BC3">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p>
        </w:tc>
        <w:tc>
          <w:tcPr>
            <w:tcW w:w="1907" w:type="dxa"/>
            <w:vAlign w:val="center"/>
          </w:tcPr>
          <w:p w14:paraId="31167329">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合同分包、转包</w:t>
            </w:r>
          </w:p>
        </w:tc>
        <w:tc>
          <w:tcPr>
            <w:tcW w:w="6589" w:type="dxa"/>
            <w:vAlign w:val="center"/>
          </w:tcPr>
          <w:p w14:paraId="5D87A4F3">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不允许。</w:t>
            </w:r>
          </w:p>
          <w:p w14:paraId="62FE69EC">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Cs/>
                <w:color w:val="auto"/>
                <w:sz w:val="24"/>
                <w:szCs w:val="24"/>
                <w:lang w:val="en-US" w:eastAsia="zh-CN"/>
              </w:rPr>
              <w:t>提示：</w:t>
            </w:r>
            <w:r>
              <w:rPr>
                <w:rFonts w:hint="eastAsia" w:ascii="仿宋" w:hAnsi="仿宋" w:eastAsia="仿宋" w:cs="仿宋"/>
                <w:color w:val="auto"/>
                <w:kern w:val="0"/>
                <w:sz w:val="24"/>
                <w:szCs w:val="24"/>
              </w:rPr>
              <w:t>中小企业根据《政府采购促进中小企业发展管办法》（财库〔2020〕46号）规定的政策获取政府采购合同后，小型、微型企业不得分包或转包给大型、中型企业，中型企业不得分包或转包给大型企业。</w:t>
            </w:r>
          </w:p>
        </w:tc>
      </w:tr>
      <w:tr w14:paraId="4E39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76B98B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14</w:t>
            </w:r>
            <w:r>
              <w:rPr>
                <w:rFonts w:hint="eastAsia" w:ascii="仿宋" w:hAnsi="仿宋" w:eastAsia="仿宋" w:cs="仿宋"/>
                <w:color w:val="auto"/>
                <w:kern w:val="2"/>
                <w:sz w:val="24"/>
                <w:szCs w:val="24"/>
                <w:lang w:val="en-US" w:eastAsia="zh-CN" w:bidi="ar-SA"/>
              </w:rPr>
              <w:t>.4</w:t>
            </w:r>
          </w:p>
        </w:tc>
        <w:tc>
          <w:tcPr>
            <w:tcW w:w="1907" w:type="dxa"/>
            <w:vAlign w:val="center"/>
          </w:tcPr>
          <w:p w14:paraId="61E1691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合同争议及违约</w:t>
            </w:r>
          </w:p>
        </w:tc>
        <w:tc>
          <w:tcPr>
            <w:tcW w:w="6589" w:type="dxa"/>
            <w:vAlign w:val="center"/>
          </w:tcPr>
          <w:p w14:paraId="743AD4B8">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先按本项目采购合同执行，若涉及采购合同未规定的条款，则按《中华人民共和国民法典》</w:t>
            </w:r>
            <w:r>
              <w:rPr>
                <w:rFonts w:hint="eastAsia" w:ascii="仿宋" w:hAnsi="仿宋" w:eastAsia="仿宋" w:cs="仿宋"/>
                <w:bCs/>
                <w:color w:val="auto"/>
                <w:sz w:val="24"/>
                <w:szCs w:val="24"/>
                <w:lang w:val="en-US" w:eastAsia="zh-CN"/>
              </w:rPr>
              <w:t>等相关规定执行。</w:t>
            </w:r>
          </w:p>
        </w:tc>
      </w:tr>
      <w:tr w14:paraId="3495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840A5D1">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w:t>
            </w:r>
          </w:p>
        </w:tc>
        <w:tc>
          <w:tcPr>
            <w:tcW w:w="1907" w:type="dxa"/>
            <w:tcBorders>
              <w:right w:val="nil"/>
            </w:tcBorders>
            <w:vAlign w:val="center"/>
          </w:tcPr>
          <w:p w14:paraId="2C7084C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highlight w:val="none"/>
                <w:lang w:val="en-US" w:eastAsia="zh-CN"/>
              </w:rPr>
              <w:t>磋商评审</w:t>
            </w:r>
          </w:p>
        </w:tc>
        <w:tc>
          <w:tcPr>
            <w:tcW w:w="6589" w:type="dxa"/>
            <w:tcBorders>
              <w:left w:val="nil"/>
            </w:tcBorders>
            <w:vAlign w:val="center"/>
          </w:tcPr>
          <w:p w14:paraId="104B4E72">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4A1B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E572D8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15.1</w:t>
            </w:r>
          </w:p>
        </w:tc>
        <w:tc>
          <w:tcPr>
            <w:tcW w:w="1907" w:type="dxa"/>
            <w:shd w:val="clear" w:color="auto" w:fill="auto"/>
            <w:vAlign w:val="center"/>
          </w:tcPr>
          <w:p w14:paraId="552899FE">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color w:val="auto"/>
                <w:sz w:val="24"/>
                <w:szCs w:val="24"/>
                <w:lang w:val="en-US" w:eastAsia="zh-CN"/>
              </w:rPr>
              <w:t>资格审查主体</w:t>
            </w:r>
          </w:p>
        </w:tc>
        <w:tc>
          <w:tcPr>
            <w:tcW w:w="6589" w:type="dxa"/>
            <w:shd w:val="clear" w:color="auto" w:fill="auto"/>
            <w:vAlign w:val="center"/>
          </w:tcPr>
          <w:p w14:paraId="1C2A0FC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highlight w:val="none"/>
                <w:lang w:val="en-US" w:eastAsia="zh-CN" w:bidi="ar-SA"/>
              </w:rPr>
              <w:t>采购人</w:t>
            </w:r>
          </w:p>
        </w:tc>
      </w:tr>
      <w:tr w14:paraId="3876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7BF8B4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15.2</w:t>
            </w:r>
          </w:p>
        </w:tc>
        <w:tc>
          <w:tcPr>
            <w:tcW w:w="1907" w:type="dxa"/>
            <w:shd w:val="clear" w:color="auto" w:fill="auto"/>
            <w:vAlign w:val="center"/>
          </w:tcPr>
          <w:p w14:paraId="4263917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符合性审查主体</w:t>
            </w:r>
          </w:p>
        </w:tc>
        <w:tc>
          <w:tcPr>
            <w:tcW w:w="6589" w:type="dxa"/>
            <w:shd w:val="clear" w:color="auto" w:fill="auto"/>
            <w:vAlign w:val="center"/>
          </w:tcPr>
          <w:p w14:paraId="4805F43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磋商小组</w:t>
            </w:r>
          </w:p>
        </w:tc>
      </w:tr>
      <w:tr w14:paraId="577E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A1E193C">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15.3</w:t>
            </w:r>
          </w:p>
        </w:tc>
        <w:tc>
          <w:tcPr>
            <w:tcW w:w="1907" w:type="dxa"/>
            <w:shd w:val="clear" w:color="auto" w:fill="auto"/>
            <w:vAlign w:val="center"/>
          </w:tcPr>
          <w:p w14:paraId="23590250">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澄清、更正</w:t>
            </w:r>
          </w:p>
        </w:tc>
        <w:tc>
          <w:tcPr>
            <w:tcW w:w="6589" w:type="dxa"/>
            <w:shd w:val="clear" w:color="auto" w:fill="auto"/>
            <w:vAlign w:val="center"/>
          </w:tcPr>
          <w:p w14:paraId="61FEB03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磋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24CFB78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2.磋商小组要求供应商澄清、说明或者更正响应文件应当线上提出。供应商的澄清、说明或者更正应当进行签章。</w:t>
            </w:r>
          </w:p>
        </w:tc>
      </w:tr>
      <w:tr w14:paraId="1CF6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A0AB6F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15.4</w:t>
            </w:r>
          </w:p>
        </w:tc>
        <w:tc>
          <w:tcPr>
            <w:tcW w:w="1907" w:type="dxa"/>
            <w:shd w:val="clear" w:color="auto" w:fill="auto"/>
            <w:vAlign w:val="center"/>
          </w:tcPr>
          <w:p w14:paraId="75FCEBF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default"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价格修正</w:t>
            </w:r>
          </w:p>
        </w:tc>
        <w:tc>
          <w:tcPr>
            <w:tcW w:w="6589" w:type="dxa"/>
            <w:shd w:val="clear" w:color="auto" w:fill="auto"/>
            <w:vAlign w:val="center"/>
          </w:tcPr>
          <w:p w14:paraId="315200F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响应报价出现下列情况的，按以下原则进行算术修正：</w:t>
            </w:r>
          </w:p>
          <w:p w14:paraId="4D65992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1.报价函与响应文件其他报价不一致以报价函为准：总价大写金额和小写金额不一致的，以大写金额为准（若大写金额出现明显文字或书写常识错误时可修正，无大写或大写错误无法判断具体金额时以小写金额为准）；</w:t>
            </w:r>
          </w:p>
          <w:p w14:paraId="01A2DDA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2.单价汇总与单价计算金额不一致：对明显错误（小数点错位或书写笔误或计算错误等）进行算术修正后，以单价计算金额为准修改单价汇总；</w:t>
            </w:r>
          </w:p>
          <w:p w14:paraId="325CA1E9">
            <w:pPr>
              <w:spacing w:line="480" w:lineRule="auto"/>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3.单价汇总与总价不一致：以单价汇总为准修正总价</w:t>
            </w:r>
            <w:r>
              <w:rPr>
                <w:rFonts w:hint="eastAsia" w:ascii="仿宋" w:hAnsi="仿宋" w:eastAsia="仿宋" w:cs="仿宋"/>
                <w:b w:val="0"/>
                <w:bCs w:val="0"/>
                <w:color w:val="0000FF"/>
                <w:kern w:val="0"/>
                <w:sz w:val="24"/>
                <w:szCs w:val="24"/>
                <w:highlight w:val="none"/>
                <w:lang w:val="en-US" w:eastAsia="zh-CN" w:bidi="ar-SA"/>
              </w:rPr>
              <w:t>；</w:t>
            </w:r>
          </w:p>
          <w:p w14:paraId="01E76597">
            <w:pPr>
              <w:spacing w:line="480" w:lineRule="auto"/>
              <w:rPr>
                <w:color w:val="auto"/>
                <w:highlight w:val="none"/>
              </w:rPr>
            </w:pPr>
            <w:r>
              <w:rPr>
                <w:rFonts w:hint="eastAsia" w:ascii="仿宋" w:hAnsi="仿宋" w:eastAsia="仿宋" w:cs="仿宋"/>
                <w:b w:val="0"/>
                <w:bCs w:val="0"/>
                <w:color w:val="auto"/>
                <w:kern w:val="0"/>
                <w:sz w:val="24"/>
                <w:szCs w:val="24"/>
                <w:highlight w:val="none"/>
                <w:lang w:val="en-US" w:eastAsia="zh-CN" w:bidi="ar-SA"/>
              </w:rPr>
              <w:t>4.供应商承担报价错误的不利后果。</w:t>
            </w:r>
          </w:p>
          <w:p w14:paraId="127CFF32">
            <w:pPr>
              <w:pStyle w:val="8"/>
              <w:spacing w:line="360" w:lineRule="auto"/>
              <w:rPr>
                <w:rFonts w:hint="eastAsia" w:ascii="仿宋" w:hAnsi="仿宋" w:eastAsia="仿宋" w:cs="仿宋"/>
                <w:color w:val="auto"/>
                <w:sz w:val="24"/>
                <w:szCs w:val="24"/>
                <w:highlight w:val="none"/>
                <w:lang w:val="en-US" w:eastAsia="zh-CN"/>
              </w:rPr>
            </w:pPr>
            <w:r>
              <w:rPr>
                <w:rFonts w:ascii="仿宋_GB2312" w:hAnsi="仿宋_GB2312" w:eastAsia="仿宋_GB2312" w:cs="仿宋_GB2312"/>
                <w:color w:val="auto"/>
                <w:highlight w:val="none"/>
              </w:rPr>
              <w:t xml:space="preserve"> </w:t>
            </w:r>
            <w:r>
              <w:rPr>
                <w:rFonts w:hint="eastAsia" w:ascii="仿宋" w:hAnsi="仿宋" w:eastAsia="仿宋" w:cs="仿宋"/>
                <w:b w:val="0"/>
                <w:bCs w:val="0"/>
                <w:color w:val="auto"/>
                <w:kern w:val="0"/>
                <w:sz w:val="24"/>
                <w:szCs w:val="24"/>
                <w:highlight w:val="none"/>
                <w:lang w:val="en-US" w:eastAsia="zh-CN" w:bidi="ar-SA"/>
              </w:rPr>
              <w:t>注：以上问题由磋商小组按规定原则和顺序进行算术修正（非修改），修正后的内容，经供应商确认后产生约束力，不确认视为响应无效。</w:t>
            </w:r>
            <w:r>
              <w:rPr>
                <w:rFonts w:ascii="仿宋_GB2312" w:hAnsi="仿宋_GB2312" w:eastAsia="仿宋_GB2312" w:cs="仿宋_GB2312"/>
                <w:color w:val="auto"/>
                <w:sz w:val="24"/>
                <w:szCs w:val="24"/>
                <w:highlight w:val="none"/>
              </w:rPr>
              <w:t xml:space="preserve"> </w:t>
            </w:r>
          </w:p>
        </w:tc>
      </w:tr>
      <w:tr w14:paraId="6C2A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AC266A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15.5</w:t>
            </w:r>
          </w:p>
        </w:tc>
        <w:tc>
          <w:tcPr>
            <w:tcW w:w="1907" w:type="dxa"/>
            <w:shd w:val="clear" w:color="auto" w:fill="auto"/>
            <w:vAlign w:val="center"/>
          </w:tcPr>
          <w:p w14:paraId="78DB081D">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sz w:val="24"/>
                <w:szCs w:val="24"/>
              </w:rPr>
            </w:pPr>
            <w:r>
              <w:rPr>
                <w:rFonts w:hint="eastAsia" w:ascii="仿宋" w:hAnsi="仿宋" w:eastAsia="仿宋" w:cs="仿宋"/>
                <w:strike w:val="0"/>
                <w:dstrike w:val="0"/>
                <w:color w:val="auto"/>
                <w:sz w:val="24"/>
                <w:szCs w:val="24"/>
                <w:highlight w:val="none"/>
                <w:lang w:val="en-US" w:eastAsia="zh-CN"/>
              </w:rPr>
              <w:t>磋商时可能变化的内容</w:t>
            </w:r>
          </w:p>
        </w:tc>
        <w:tc>
          <w:tcPr>
            <w:tcW w:w="6589" w:type="dxa"/>
            <w:shd w:val="clear" w:color="auto" w:fill="auto"/>
            <w:vAlign w:val="center"/>
          </w:tcPr>
          <w:p w14:paraId="6724A2E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b w:val="0"/>
                <w:bCs w:val="0"/>
                <w:color w:val="auto"/>
                <w:kern w:val="0"/>
                <w:sz w:val="24"/>
                <w:szCs w:val="24"/>
                <w:lang w:val="en-US" w:eastAsia="zh-CN" w:bidi="ar-SA"/>
              </w:rPr>
              <w:t>磋商文件“第三章 磋商项目技术、服务、商务及其他要求”中的技术、服务；“第八章 拟签订采购合同文本”的合同条款。</w:t>
            </w:r>
          </w:p>
        </w:tc>
      </w:tr>
      <w:tr w14:paraId="4ED6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6D879B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15.6</w:t>
            </w:r>
          </w:p>
        </w:tc>
        <w:tc>
          <w:tcPr>
            <w:tcW w:w="1907" w:type="dxa"/>
            <w:shd w:val="clear" w:color="auto" w:fill="auto"/>
            <w:vAlign w:val="center"/>
          </w:tcPr>
          <w:p w14:paraId="5946034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val="0"/>
                <w:bCs w:val="0"/>
                <w:color w:val="auto"/>
                <w:kern w:val="0"/>
                <w:sz w:val="24"/>
                <w:szCs w:val="24"/>
                <w:highlight w:val="yellow"/>
                <w:lang w:val="en-US" w:eastAsia="zh-CN" w:bidi="ar-SA"/>
              </w:rPr>
            </w:pPr>
            <w:r>
              <w:rPr>
                <w:rFonts w:hint="eastAsia" w:ascii="仿宋" w:hAnsi="仿宋" w:eastAsia="仿宋" w:cs="仿宋"/>
                <w:color w:val="auto"/>
                <w:sz w:val="24"/>
                <w:szCs w:val="24"/>
              </w:rPr>
              <w:t>无效</w:t>
            </w:r>
            <w:r>
              <w:rPr>
                <w:rFonts w:hint="eastAsia" w:ascii="仿宋" w:hAnsi="仿宋" w:eastAsia="仿宋" w:cs="仿宋"/>
                <w:color w:val="auto"/>
                <w:sz w:val="24"/>
                <w:szCs w:val="24"/>
                <w:lang w:val="en-US" w:eastAsia="zh-CN"/>
              </w:rPr>
              <w:t>响应</w:t>
            </w:r>
          </w:p>
        </w:tc>
        <w:tc>
          <w:tcPr>
            <w:tcW w:w="6589" w:type="dxa"/>
            <w:shd w:val="clear" w:color="auto" w:fill="auto"/>
            <w:vAlign w:val="center"/>
          </w:tcPr>
          <w:p w14:paraId="5C36CF60">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响应文件出现下列情形之一为无效响应：</w:t>
            </w:r>
          </w:p>
          <w:p w14:paraId="1E8810D8">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1.未通过资格审查。</w:t>
            </w:r>
          </w:p>
          <w:p w14:paraId="052EB657">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2.未通过</w:t>
            </w:r>
            <w:r>
              <w:rPr>
                <w:rFonts w:hint="eastAsia" w:ascii="仿宋" w:hAnsi="仿宋" w:eastAsia="仿宋" w:cs="仿宋"/>
                <w:strike w:val="0"/>
                <w:dstrike w:val="0"/>
                <w:color w:val="auto"/>
                <w:sz w:val="24"/>
                <w:szCs w:val="24"/>
                <w:lang w:val="en-US" w:eastAsia="zh-CN"/>
              </w:rPr>
              <w:t>符合性</w:t>
            </w:r>
            <w:r>
              <w:rPr>
                <w:rFonts w:hint="eastAsia" w:ascii="仿宋" w:hAnsi="仿宋" w:eastAsia="仿宋" w:cs="仿宋"/>
                <w:color w:val="auto"/>
                <w:sz w:val="24"/>
                <w:szCs w:val="24"/>
                <w:lang w:val="en-US" w:eastAsia="zh-CN"/>
              </w:rPr>
              <w:t>审查</w:t>
            </w:r>
            <w:r>
              <w:rPr>
                <w:rFonts w:hint="eastAsia" w:ascii="仿宋" w:hAnsi="仿宋" w:eastAsia="仿宋" w:cs="仿宋"/>
                <w:color w:val="auto"/>
                <w:sz w:val="24"/>
                <w:szCs w:val="24"/>
              </w:rPr>
              <w:t>。</w:t>
            </w:r>
          </w:p>
          <w:p w14:paraId="0F7522C6">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有弄</w:t>
            </w:r>
            <w:r>
              <w:rPr>
                <w:rFonts w:hint="eastAsia" w:ascii="仿宋" w:hAnsi="仿宋" w:eastAsia="仿宋" w:cs="仿宋"/>
                <w:color w:val="auto"/>
                <w:sz w:val="24"/>
                <w:szCs w:val="24"/>
              </w:rPr>
              <w:t>虚</w:t>
            </w:r>
            <w:r>
              <w:rPr>
                <w:rFonts w:hint="eastAsia" w:ascii="仿宋" w:hAnsi="仿宋" w:eastAsia="仿宋" w:cs="仿宋"/>
                <w:color w:val="auto"/>
                <w:sz w:val="24"/>
                <w:szCs w:val="24"/>
                <w:lang w:val="en-US" w:eastAsia="zh-CN"/>
              </w:rPr>
              <w:t>作</w:t>
            </w:r>
            <w:r>
              <w:rPr>
                <w:rFonts w:hint="eastAsia" w:ascii="仿宋" w:hAnsi="仿宋" w:eastAsia="仿宋" w:cs="仿宋"/>
                <w:color w:val="auto"/>
                <w:sz w:val="24"/>
                <w:szCs w:val="24"/>
              </w:rPr>
              <w:t>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串标围标等违法违规行为的</w:t>
            </w:r>
            <w:r>
              <w:rPr>
                <w:rFonts w:hint="eastAsia" w:ascii="仿宋" w:hAnsi="仿宋" w:eastAsia="仿宋" w:cs="仿宋"/>
                <w:color w:val="auto"/>
                <w:sz w:val="24"/>
                <w:szCs w:val="24"/>
              </w:rPr>
              <w:t>。</w:t>
            </w:r>
          </w:p>
          <w:p w14:paraId="7C9A8949">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未合法合规获取采购资料。</w:t>
            </w:r>
          </w:p>
          <w:p w14:paraId="6916FFC0">
            <w:pPr>
              <w:keepNext w:val="0"/>
              <w:keepLines w:val="0"/>
              <w:pageBreakBefore w:val="0"/>
              <w:kinsoku/>
              <w:wordWrap/>
              <w:overflowPunct/>
              <w:topLinePunct w:val="0"/>
              <w:autoSpaceDE/>
              <w:autoSpaceDN/>
              <w:bidi w:val="0"/>
              <w:adjustRightInd/>
              <w:spacing w:beforeAutospacing="0" w:afterAutospacing="0" w:line="500" w:lineRule="exac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5.响应文件</w:t>
            </w:r>
            <w:r>
              <w:rPr>
                <w:rFonts w:hint="eastAsia" w:ascii="仿宋" w:hAnsi="仿宋" w:eastAsia="仿宋" w:cs="仿宋"/>
                <w:color w:val="auto"/>
                <w:sz w:val="24"/>
                <w:szCs w:val="24"/>
              </w:rPr>
              <w:t>附有采购人</w:t>
            </w:r>
            <w:r>
              <w:rPr>
                <w:rFonts w:hint="eastAsia" w:ascii="仿宋" w:hAnsi="仿宋" w:eastAsia="仿宋" w:cs="仿宋"/>
                <w:color w:val="auto"/>
                <w:sz w:val="24"/>
                <w:szCs w:val="24"/>
                <w:lang w:val="en-US" w:eastAsia="zh-CN"/>
              </w:rPr>
              <w:t>不能接受的条件。</w:t>
            </w:r>
          </w:p>
          <w:p w14:paraId="01A92AF3">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6.磋商文件及法律法规规定的其他无效情形。</w:t>
            </w:r>
          </w:p>
        </w:tc>
      </w:tr>
      <w:tr w14:paraId="3ACD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3C95E0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w:t>
            </w:r>
          </w:p>
        </w:tc>
        <w:tc>
          <w:tcPr>
            <w:tcW w:w="1907" w:type="dxa"/>
            <w:tcBorders>
              <w:right w:val="nil"/>
            </w:tcBorders>
            <w:shd w:val="clear" w:color="auto" w:fill="auto"/>
            <w:vAlign w:val="center"/>
          </w:tcPr>
          <w:p w14:paraId="211C3B3E">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color w:val="auto"/>
                <w:sz w:val="24"/>
                <w:szCs w:val="24"/>
                <w:highlight w:val="none"/>
              </w:rPr>
              <w:t>成交人</w:t>
            </w:r>
          </w:p>
        </w:tc>
        <w:tc>
          <w:tcPr>
            <w:tcW w:w="6589" w:type="dxa"/>
            <w:tcBorders>
              <w:left w:val="nil"/>
            </w:tcBorders>
            <w:shd w:val="clear" w:color="auto" w:fill="auto"/>
            <w:vAlign w:val="center"/>
          </w:tcPr>
          <w:p w14:paraId="4E9B1FF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p>
        </w:tc>
      </w:tr>
      <w:tr w14:paraId="553D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F19C45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16.1</w:t>
            </w:r>
          </w:p>
        </w:tc>
        <w:tc>
          <w:tcPr>
            <w:tcW w:w="1907" w:type="dxa"/>
            <w:shd w:val="clear" w:color="auto" w:fill="auto"/>
            <w:vAlign w:val="center"/>
          </w:tcPr>
          <w:p w14:paraId="4038C68C">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确定</w:t>
            </w:r>
            <w:r>
              <w:rPr>
                <w:rFonts w:hint="eastAsia" w:ascii="仿宋" w:hAnsi="仿宋" w:eastAsia="仿宋" w:cs="仿宋"/>
                <w:color w:val="auto"/>
                <w:sz w:val="24"/>
                <w:szCs w:val="24"/>
                <w:highlight w:val="none"/>
              </w:rPr>
              <w:t>成交人</w:t>
            </w:r>
          </w:p>
        </w:tc>
        <w:tc>
          <w:tcPr>
            <w:tcW w:w="6589" w:type="dxa"/>
            <w:shd w:val="clear" w:color="auto" w:fill="auto"/>
            <w:vAlign w:val="center"/>
          </w:tcPr>
          <w:p w14:paraId="5DDF62AC">
            <w:pPr>
              <w:keepNext w:val="0"/>
              <w:keepLines w:val="0"/>
              <w:pageBreakBefore w:val="0"/>
              <w:numPr>
                <w:ilvl w:val="0"/>
                <w:numId w:val="0"/>
              </w:numPr>
              <w:tabs>
                <w:tab w:val="left" w:pos="0"/>
              </w:tabs>
              <w:kinsoku/>
              <w:wordWrap/>
              <w:overflowPunct/>
              <w:topLinePunct w:val="0"/>
              <w:autoSpaceDE/>
              <w:autoSpaceDN/>
              <w:bidi w:val="0"/>
              <w:adjustRightInd/>
              <w:spacing w:line="500" w:lineRule="exact"/>
              <w:ind w:left="0" w:leftChars="0" w:firstLine="0" w:firstLineChars="0"/>
              <w:textAlignment w:val="auto"/>
              <w:rPr>
                <w:rFonts w:hint="eastAsia" w:ascii="仿宋" w:hAnsi="仿宋" w:eastAsia="仿宋" w:cs="仿宋"/>
                <w:bCs/>
                <w:color w:val="auto"/>
                <w:kern w:val="2"/>
                <w:sz w:val="24"/>
                <w:szCs w:val="24"/>
                <w:lang w:val="en-US" w:eastAsia="zh-CN" w:bidi="ar-SA"/>
              </w:rPr>
            </w:pPr>
            <w:r>
              <w:rPr>
                <w:rFonts w:hint="eastAsia" w:ascii="仿宋" w:hAnsi="仿宋" w:eastAsia="仿宋" w:cs="仿宋"/>
                <w:color w:val="auto"/>
                <w:kern w:val="0"/>
                <w:sz w:val="24"/>
                <w:szCs w:val="24"/>
                <w:lang w:val="en-US" w:eastAsia="zh-CN" w:bidi="ar-SA"/>
              </w:rPr>
              <w:t>采购人</w:t>
            </w:r>
          </w:p>
        </w:tc>
      </w:tr>
      <w:tr w14:paraId="0576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FC2DF8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16.2</w:t>
            </w:r>
          </w:p>
        </w:tc>
        <w:tc>
          <w:tcPr>
            <w:tcW w:w="1907" w:type="dxa"/>
            <w:shd w:val="clear" w:color="auto" w:fill="auto"/>
            <w:vAlign w:val="center"/>
          </w:tcPr>
          <w:p w14:paraId="1CB6BACB">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val="en-US" w:eastAsia="zh-CN"/>
              </w:rPr>
              <w:t>人变更</w:t>
            </w:r>
          </w:p>
        </w:tc>
        <w:tc>
          <w:tcPr>
            <w:tcW w:w="6589" w:type="dxa"/>
            <w:shd w:val="clear" w:color="auto" w:fill="auto"/>
            <w:vAlign w:val="center"/>
          </w:tcPr>
          <w:p w14:paraId="2F4D6E72">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1.根据采购法实施条例第49条和财库便函【2019】154号文，</w:t>
            </w:r>
            <w:r>
              <w:rPr>
                <w:rFonts w:hint="eastAsia" w:ascii="仿宋" w:hAnsi="仿宋" w:eastAsia="仿宋" w:cs="仿宋"/>
                <w:color w:val="auto"/>
                <w:sz w:val="24"/>
                <w:szCs w:val="24"/>
                <w:highlight w:val="none"/>
              </w:rPr>
              <w:t>成交</w:t>
            </w:r>
            <w:r>
              <w:rPr>
                <w:rFonts w:hint="eastAsia" w:ascii="仿宋" w:hAnsi="仿宋" w:eastAsia="仿宋" w:cs="仿宋"/>
                <w:color w:val="auto"/>
                <w:sz w:val="24"/>
                <w:szCs w:val="24"/>
                <w:highlight w:val="none"/>
                <w:lang w:val="en-US" w:eastAsia="zh-CN"/>
              </w:rPr>
              <w:t>人拒绝与采购人签订合同（或弃标），采购人可根据采购项目的实际情况，综合考虑递补供应商的经济性和效率等因素，自主确定是否重新开展采购活动或确定下一候选人为中标或者成交供应商。</w:t>
            </w:r>
          </w:p>
          <w:p w14:paraId="70E00AEF">
            <w:pPr>
              <w:keepNext w:val="0"/>
              <w:keepLines w:val="0"/>
              <w:pageBreakBefore w:val="0"/>
              <w:kinsoku/>
              <w:wordWrap/>
              <w:overflowPunct/>
              <w:topLinePunct w:val="0"/>
              <w:bidi w:val="0"/>
              <w:adjustRightInd/>
              <w:snapToGrid w:val="0"/>
              <w:spacing w:line="500" w:lineRule="exact"/>
              <w:jc w:val="left"/>
              <w:textAlignment w:val="baseline"/>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2.出现变更</w:t>
            </w:r>
            <w:r>
              <w:rPr>
                <w:rFonts w:hint="eastAsia" w:ascii="仿宋" w:hAnsi="仿宋" w:eastAsia="仿宋" w:cs="仿宋"/>
                <w:color w:val="auto"/>
                <w:sz w:val="24"/>
                <w:szCs w:val="24"/>
                <w:highlight w:val="none"/>
              </w:rPr>
              <w:t>成交</w:t>
            </w:r>
            <w:r>
              <w:rPr>
                <w:rFonts w:hint="default" w:ascii="仿宋" w:hAnsi="仿宋" w:eastAsia="仿宋" w:cs="仿宋"/>
                <w:color w:val="auto"/>
                <w:sz w:val="24"/>
                <w:szCs w:val="24"/>
                <w:highlight w:val="none"/>
                <w:lang w:val="en-US" w:eastAsia="zh-CN"/>
              </w:rPr>
              <w:t>人的其他情形时，按照政府采购法及相关法律法规进行。</w:t>
            </w:r>
          </w:p>
          <w:p w14:paraId="784ED690">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lang w:val="en-US" w:eastAsia="zh-CN"/>
              </w:rPr>
              <w:t>3.合同签订前，若</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人经营状况发生变化，</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人须及时向采购人说明情况，采购人认为</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人不具备履约能力，可取消其</w:t>
            </w:r>
            <w:r>
              <w:rPr>
                <w:rFonts w:hint="eastAsia" w:ascii="仿宋" w:hAnsi="仿宋" w:eastAsia="仿宋" w:cs="仿宋"/>
                <w:color w:val="auto"/>
                <w:sz w:val="24"/>
                <w:szCs w:val="24"/>
                <w:highlight w:val="none"/>
              </w:rPr>
              <w:t>成交</w:t>
            </w:r>
            <w:r>
              <w:rPr>
                <w:rFonts w:hint="eastAsia" w:ascii="仿宋" w:hAnsi="仿宋" w:eastAsia="仿宋" w:cs="仿宋"/>
                <w:color w:val="auto"/>
                <w:kern w:val="0"/>
                <w:sz w:val="24"/>
                <w:lang w:val="en-US" w:eastAsia="zh-CN"/>
              </w:rPr>
              <w:t>资格</w:t>
            </w:r>
            <w:r>
              <w:rPr>
                <w:rFonts w:hint="eastAsia" w:ascii="仿宋" w:hAnsi="仿宋" w:eastAsia="仿宋" w:cs="仿宋"/>
                <w:bCs/>
                <w:color w:val="auto"/>
                <w:sz w:val="24"/>
                <w:szCs w:val="24"/>
              </w:rPr>
              <w:t>。</w:t>
            </w:r>
          </w:p>
        </w:tc>
      </w:tr>
      <w:tr w14:paraId="5FD1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5B14BF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p>
        </w:tc>
        <w:tc>
          <w:tcPr>
            <w:tcW w:w="1907" w:type="dxa"/>
            <w:shd w:val="clear" w:color="auto" w:fill="auto"/>
            <w:vAlign w:val="center"/>
          </w:tcPr>
          <w:p w14:paraId="226BA22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rPr>
              <w:t>重新采购</w:t>
            </w:r>
          </w:p>
        </w:tc>
        <w:tc>
          <w:tcPr>
            <w:tcW w:w="6589" w:type="dxa"/>
            <w:shd w:val="clear" w:color="auto" w:fill="auto"/>
            <w:vAlign w:val="center"/>
          </w:tcPr>
          <w:p w14:paraId="27BAE4E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（1）出现影响采购公正的违法、违规行为的；</w:t>
            </w:r>
          </w:p>
          <w:p w14:paraId="19036D2B">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（2）实质响应的供应商不足三家的；（经审批可采取其他采购方式的除外）</w:t>
            </w:r>
          </w:p>
          <w:p w14:paraId="1678519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（3）所有供应商的报价均超出</w:t>
            </w:r>
            <w:r>
              <w:rPr>
                <w:rFonts w:hint="eastAsia" w:ascii="仿宋" w:hAnsi="仿宋" w:eastAsia="仿宋" w:cs="仿宋"/>
                <w:bCs/>
                <w:color w:val="auto"/>
                <w:sz w:val="24"/>
                <w:szCs w:val="24"/>
                <w:lang w:val="en-US" w:eastAsia="zh-CN"/>
              </w:rPr>
              <w:t>项目</w:t>
            </w:r>
            <w:r>
              <w:rPr>
                <w:rFonts w:hint="eastAsia" w:ascii="仿宋" w:hAnsi="仿宋" w:eastAsia="仿宋" w:cs="仿宋"/>
                <w:color w:val="auto"/>
                <w:sz w:val="24"/>
                <w:szCs w:val="24"/>
                <w:lang w:val="en-US" w:eastAsia="zh-CN"/>
              </w:rPr>
              <w:t>预算金额或最高限价，采购人不能支付的；</w:t>
            </w:r>
          </w:p>
          <w:p w14:paraId="7831A5EB">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（4）项目发生重大变更；</w:t>
            </w:r>
          </w:p>
          <w:p w14:paraId="0D3E667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lang w:val="en-US" w:eastAsia="zh-CN"/>
              </w:rPr>
            </w:pPr>
            <w:r>
              <w:rPr>
                <w:rFonts w:hint="eastAsia" w:ascii="仿宋" w:hAnsi="仿宋" w:eastAsia="仿宋" w:cs="仿宋"/>
                <w:color w:val="auto"/>
                <w:sz w:val="24"/>
                <w:szCs w:val="24"/>
                <w:lang w:val="en-US" w:eastAsia="zh-CN"/>
              </w:rPr>
              <w:t>（5）法律法规和招标文件规定的其他情形。</w:t>
            </w:r>
          </w:p>
        </w:tc>
      </w:tr>
      <w:tr w14:paraId="70EC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1347C1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w:t>
            </w:r>
          </w:p>
        </w:tc>
        <w:tc>
          <w:tcPr>
            <w:tcW w:w="1907" w:type="dxa"/>
            <w:tcBorders>
              <w:right w:val="nil"/>
            </w:tcBorders>
            <w:shd w:val="clear" w:color="auto" w:fill="auto"/>
            <w:vAlign w:val="center"/>
          </w:tcPr>
          <w:p w14:paraId="765B97CE">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0"/>
                <w:highlight w:val="none"/>
                <w:lang w:val="en-US" w:eastAsia="zh-CN"/>
              </w:rPr>
            </w:pPr>
            <w:r>
              <w:rPr>
                <w:rFonts w:hint="eastAsia" w:ascii="仿宋" w:hAnsi="仿宋" w:eastAsia="仿宋" w:cs="仿宋"/>
                <w:sz w:val="24"/>
                <w:szCs w:val="24"/>
                <w:lang w:val="en-US" w:eastAsia="zh-CN"/>
              </w:rPr>
              <w:t>串标释义（部分）</w:t>
            </w:r>
          </w:p>
        </w:tc>
        <w:tc>
          <w:tcPr>
            <w:tcW w:w="6589" w:type="dxa"/>
            <w:tcBorders>
              <w:left w:val="nil"/>
            </w:tcBorders>
            <w:shd w:val="clear" w:color="auto" w:fill="auto"/>
            <w:vAlign w:val="center"/>
          </w:tcPr>
          <w:p w14:paraId="31EE4CC2">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p>
        </w:tc>
      </w:tr>
      <w:tr w14:paraId="26BA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38743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17.1</w:t>
            </w:r>
          </w:p>
        </w:tc>
        <w:tc>
          <w:tcPr>
            <w:tcW w:w="1907" w:type="dxa"/>
            <w:shd w:val="clear" w:color="auto" w:fill="auto"/>
            <w:vAlign w:val="center"/>
          </w:tcPr>
          <w:p w14:paraId="061D6CF1">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文件异常一致</w:t>
            </w:r>
            <w:r>
              <w:rPr>
                <w:rFonts w:hint="eastAsia" w:ascii="仿宋" w:hAnsi="仿宋" w:eastAsia="仿宋" w:cs="仿宋"/>
                <w:sz w:val="24"/>
                <w:szCs w:val="24"/>
                <w:lang w:val="en-US" w:eastAsia="zh-CN"/>
              </w:rPr>
              <w:t>（雷同）</w:t>
            </w:r>
          </w:p>
        </w:tc>
        <w:tc>
          <w:tcPr>
            <w:tcW w:w="6589" w:type="dxa"/>
            <w:shd w:val="clear" w:color="auto" w:fill="auto"/>
            <w:vAlign w:val="center"/>
          </w:tcPr>
          <w:p w14:paraId="4BD7512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极小概率或者完全不可能一致的内容在不同响应文件中同时出现（如响应文件错误的内容或打印错误的内容雷同；由供应商自行编制的格式或自行编写的方案异常一致；属于某一供应商特有的业绩、编号、标识等在其他响应文件中同时出现等情形）。</w:t>
            </w:r>
          </w:p>
        </w:tc>
      </w:tr>
      <w:tr w14:paraId="6DF97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6F642F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17.2</w:t>
            </w:r>
          </w:p>
        </w:tc>
        <w:tc>
          <w:tcPr>
            <w:tcW w:w="1907" w:type="dxa"/>
            <w:shd w:val="clear" w:color="auto" w:fill="auto"/>
            <w:vAlign w:val="center"/>
          </w:tcPr>
          <w:p w14:paraId="03589314">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文件相互混装</w:t>
            </w:r>
          </w:p>
        </w:tc>
        <w:tc>
          <w:tcPr>
            <w:tcW w:w="6589" w:type="dxa"/>
            <w:shd w:val="clear" w:color="auto" w:fill="auto"/>
            <w:vAlign w:val="center"/>
          </w:tcPr>
          <w:p w14:paraId="04248E8B">
            <w:pPr>
              <w:keepNext w:val="0"/>
              <w:keepLines w:val="0"/>
              <w:pageBreakBefore w:val="0"/>
              <w:widowControl/>
              <w:kinsoku/>
              <w:wordWrap/>
              <w:overflowPunct/>
              <w:topLinePunct w:val="0"/>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指一家响应文件中混有本项目其他供应商（指提交了响应文件的单位）的响应资料即为混装（并非仅指双方互有混装的情形）。</w:t>
            </w:r>
          </w:p>
        </w:tc>
      </w:tr>
      <w:tr w14:paraId="5C73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984B42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17.3</w:t>
            </w:r>
          </w:p>
        </w:tc>
        <w:tc>
          <w:tcPr>
            <w:tcW w:w="1907" w:type="dxa"/>
            <w:shd w:val="clear" w:color="auto" w:fill="auto"/>
            <w:vAlign w:val="center"/>
          </w:tcPr>
          <w:p w14:paraId="419876D0">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报价规律性</w:t>
            </w:r>
          </w:p>
        </w:tc>
        <w:tc>
          <w:tcPr>
            <w:tcW w:w="6589" w:type="dxa"/>
            <w:shd w:val="clear" w:color="auto" w:fill="auto"/>
            <w:vAlign w:val="center"/>
          </w:tcPr>
          <w:p w14:paraId="4E55B306">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指磋商报价（总价或分项）呈现等差或等比数列趋势变化、分项报价高度一致等情形。</w:t>
            </w:r>
          </w:p>
        </w:tc>
      </w:tr>
      <w:tr w14:paraId="250C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3BE726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17.4</w:t>
            </w:r>
          </w:p>
        </w:tc>
        <w:tc>
          <w:tcPr>
            <w:tcW w:w="1907" w:type="dxa"/>
            <w:shd w:val="clear" w:color="auto" w:fill="auto"/>
            <w:vAlign w:val="center"/>
          </w:tcPr>
          <w:p w14:paraId="51B6E93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串标认定</w:t>
            </w:r>
          </w:p>
        </w:tc>
        <w:tc>
          <w:tcPr>
            <w:tcW w:w="6589" w:type="dxa"/>
            <w:shd w:val="clear" w:color="auto" w:fill="auto"/>
            <w:vAlign w:val="center"/>
          </w:tcPr>
          <w:p w14:paraId="2B41D15B">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线上采购由系统进行自动识别、提示。</w:t>
            </w:r>
          </w:p>
        </w:tc>
      </w:tr>
      <w:tr w14:paraId="2841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C23150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p>
        </w:tc>
        <w:tc>
          <w:tcPr>
            <w:tcW w:w="1907" w:type="dxa"/>
            <w:tcBorders>
              <w:right w:val="nil"/>
            </w:tcBorders>
            <w:vAlign w:val="center"/>
          </w:tcPr>
          <w:p w14:paraId="43F85C94">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补充事项</w:t>
            </w:r>
          </w:p>
        </w:tc>
        <w:tc>
          <w:tcPr>
            <w:tcW w:w="6589" w:type="dxa"/>
            <w:tcBorders>
              <w:left w:val="nil"/>
            </w:tcBorders>
            <w:vAlign w:val="center"/>
          </w:tcPr>
          <w:p w14:paraId="5179E9D8">
            <w:pPr>
              <w:keepNext w:val="0"/>
              <w:keepLines w:val="0"/>
              <w:pageBreakBefore w:val="0"/>
              <w:numPr>
                <w:ilvl w:val="0"/>
                <w:numId w:val="0"/>
              </w:numPr>
              <w:shd w:val="clea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yellow"/>
                <w:lang w:val="en-US" w:eastAsia="zh-CN"/>
              </w:rPr>
            </w:pPr>
          </w:p>
        </w:tc>
      </w:tr>
      <w:tr w14:paraId="0298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570F12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r>
              <w:rPr>
                <w:rFonts w:hint="eastAsia" w:ascii="仿宋" w:hAnsi="仿宋" w:eastAsia="仿宋" w:cs="仿宋"/>
                <w:color w:val="auto"/>
                <w:sz w:val="24"/>
                <w:szCs w:val="24"/>
                <w:highlight w:val="none"/>
                <w:lang w:val="en-US" w:eastAsia="zh-CN"/>
              </w:rPr>
              <w:t>.1</w:t>
            </w:r>
          </w:p>
        </w:tc>
        <w:tc>
          <w:tcPr>
            <w:tcW w:w="1907" w:type="dxa"/>
            <w:vAlign w:val="center"/>
          </w:tcPr>
          <w:p w14:paraId="39E973CC">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磋商文件解释权</w:t>
            </w:r>
          </w:p>
        </w:tc>
        <w:tc>
          <w:tcPr>
            <w:tcW w:w="6589" w:type="dxa"/>
            <w:vAlign w:val="center"/>
          </w:tcPr>
          <w:p w14:paraId="2221918C">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磋商文件的解释权归采购人及代理机构所有：1）对于当事各方对磋商文件发生理解偏差或歧义时，供应商又未在合法时间内提出咨询/质疑，均以代理机构的释义为基本依据，在不影响评审结果或评审公正公平进行的情况下，由代理机构澄清确认后继续评审。2）供应商对磋商文件的自主理解、推测、主观认为、随意臆造等造成的不利后果自负。</w:t>
            </w:r>
          </w:p>
        </w:tc>
      </w:tr>
      <w:tr w14:paraId="5C80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DDF391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18.2</w:t>
            </w:r>
          </w:p>
        </w:tc>
        <w:tc>
          <w:tcPr>
            <w:tcW w:w="1907" w:type="dxa"/>
            <w:shd w:val="clear" w:color="auto" w:fill="auto"/>
            <w:vAlign w:val="center"/>
          </w:tcPr>
          <w:p w14:paraId="5EF6A5A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strike/>
                <w:dstrike w:val="0"/>
                <w:color w:val="0000FF"/>
                <w:sz w:val="24"/>
                <w:szCs w:val="24"/>
                <w:lang w:val="en-US" w:eastAsia="zh-CN"/>
              </w:rPr>
            </w:pPr>
          </w:p>
        </w:tc>
        <w:tc>
          <w:tcPr>
            <w:tcW w:w="6589" w:type="dxa"/>
            <w:shd w:val="clear" w:color="auto" w:fill="auto"/>
            <w:vAlign w:val="center"/>
          </w:tcPr>
          <w:p w14:paraId="7E8C349D">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strike/>
                <w:dstrike w:val="0"/>
                <w:color w:val="0000FF"/>
                <w:sz w:val="24"/>
                <w:szCs w:val="24"/>
                <w:highlight w:val="none"/>
                <w:lang w:val="en-US" w:eastAsia="zh-CN"/>
              </w:rPr>
            </w:pPr>
          </w:p>
        </w:tc>
      </w:tr>
      <w:tr w14:paraId="432F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4E9DC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w:t>
            </w: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3DF645EE">
            <w:pPr>
              <w:keepNext w:val="0"/>
              <w:keepLines w:val="0"/>
              <w:pageBreakBefore w:val="0"/>
              <w:widowControl w:val="0"/>
              <w:kinsoku/>
              <w:wordWrap/>
              <w:overflowPunct/>
              <w:topLinePunct w:val="0"/>
              <w:autoSpaceDE/>
              <w:autoSpaceDN/>
              <w:bidi w:val="0"/>
              <w:adjustRightInd/>
              <w:snapToGrid/>
              <w:spacing w:beforeAutospacing="0" w:afterAutospacing="0" w:line="4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无效资料</w:t>
            </w:r>
          </w:p>
        </w:tc>
        <w:tc>
          <w:tcPr>
            <w:tcW w:w="6589" w:type="dxa"/>
            <w:shd w:val="clear" w:color="auto" w:fill="auto"/>
            <w:vAlign w:val="center"/>
          </w:tcPr>
          <w:p w14:paraId="1E5F6E82">
            <w:pPr>
              <w:keepNext w:val="0"/>
              <w:keepLines w:val="0"/>
              <w:pageBreakBefore w:val="0"/>
              <w:widowControl/>
              <w:kinsoku/>
              <w:wordWrap/>
              <w:overflowPunct/>
              <w:topLinePunct w:val="0"/>
              <w:autoSpaceDE/>
              <w:autoSpaceDN/>
              <w:bidi w:val="0"/>
              <w:adjustRightInd/>
              <w:spacing w:beforeAutospacing="0" w:afterAutospacing="0" w:line="460" w:lineRule="exact"/>
              <w:jc w:val="both"/>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指真实存在（非虚假），但不符合本磋商文件相关要求的过期或内容不相符的文件资料。</w:t>
            </w:r>
          </w:p>
        </w:tc>
      </w:tr>
      <w:tr w14:paraId="4216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11F3283">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18.4</w:t>
            </w:r>
          </w:p>
        </w:tc>
        <w:tc>
          <w:tcPr>
            <w:tcW w:w="1907" w:type="dxa"/>
            <w:shd w:val="clear" w:color="auto" w:fill="auto"/>
            <w:vAlign w:val="center"/>
          </w:tcPr>
          <w:p w14:paraId="4C293A09">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虚假材料</w:t>
            </w:r>
          </w:p>
        </w:tc>
        <w:tc>
          <w:tcPr>
            <w:tcW w:w="6589" w:type="dxa"/>
            <w:shd w:val="clear" w:color="auto" w:fill="auto"/>
            <w:vAlign w:val="center"/>
          </w:tcPr>
          <w:p w14:paraId="6A64FBD0">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1."虚假材料"：指无中生有、伪造、篡改或变造、涂改的各种证件、证书、资料佐证、与客观事实不相符的委托书、授权书或承诺函等。</w:t>
            </w:r>
          </w:p>
          <w:p w14:paraId="58E98332">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2.对政策理解错误或概念不清而导致的错误、笔误、计算错误以及</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提供的已逾期的证书、未年审的证书等不能认定为虚假材料。"虚假"是指材料的真实性而非有效性，无效材料不能等同于虚假材料。</w:t>
            </w:r>
          </w:p>
          <w:p w14:paraId="68DE1F6B">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3.对提供虚假材料谋取中标（成交）的认定，应要同时满足主观和客观两个方面的构成要件，要结合有关的证据材料和供应商篡改、伪造或变造、捏造事实以及该行为的目的性、危害后果等方面，由</w:t>
            </w:r>
            <w:r>
              <w:rPr>
                <w:rFonts w:hint="eastAsia" w:ascii="仿宋" w:hAnsi="仿宋" w:eastAsia="仿宋" w:cs="仿宋"/>
                <w:color w:val="auto"/>
                <w:sz w:val="24"/>
                <w:szCs w:val="24"/>
                <w:lang w:val="en-US" w:eastAsia="zh-CN"/>
              </w:rPr>
              <w:t>监管部门</w:t>
            </w:r>
            <w:r>
              <w:rPr>
                <w:rFonts w:hint="eastAsia" w:ascii="仿宋" w:hAnsi="仿宋" w:eastAsia="仿宋" w:cs="仿宋"/>
                <w:color w:val="auto"/>
                <w:sz w:val="24"/>
                <w:szCs w:val="24"/>
                <w:highlight w:val="none"/>
                <w:lang w:val="en-US" w:eastAsia="zh-CN"/>
              </w:rPr>
              <w:t>进行综合考量和判断。</w:t>
            </w:r>
          </w:p>
        </w:tc>
      </w:tr>
      <w:tr w14:paraId="0759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90" w:type="dxa"/>
            <w:vAlign w:val="center"/>
          </w:tcPr>
          <w:p w14:paraId="070AB20C">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18.5</w:t>
            </w:r>
          </w:p>
        </w:tc>
        <w:tc>
          <w:tcPr>
            <w:tcW w:w="1907" w:type="dxa"/>
            <w:shd w:val="clear" w:color="auto" w:fill="auto"/>
            <w:vAlign w:val="center"/>
          </w:tcPr>
          <w:p w14:paraId="0D1A2B3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印章</w:t>
            </w:r>
          </w:p>
        </w:tc>
        <w:tc>
          <w:tcPr>
            <w:tcW w:w="6589" w:type="dxa"/>
            <w:shd w:val="clear" w:color="auto" w:fill="auto"/>
            <w:vAlign w:val="center"/>
          </w:tcPr>
          <w:p w14:paraId="10226FB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线上采购指供应商电子签章。</w:t>
            </w:r>
          </w:p>
        </w:tc>
      </w:tr>
      <w:tr w14:paraId="395E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DFC07D0">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p>
        </w:tc>
        <w:tc>
          <w:tcPr>
            <w:tcW w:w="1907" w:type="dxa"/>
            <w:shd w:val="clear" w:color="auto" w:fill="auto"/>
            <w:vAlign w:val="center"/>
          </w:tcPr>
          <w:p w14:paraId="7FDA57C0">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费用、风险</w:t>
            </w:r>
          </w:p>
        </w:tc>
        <w:tc>
          <w:tcPr>
            <w:tcW w:w="6589" w:type="dxa"/>
            <w:shd w:val="clear" w:color="auto" w:fill="auto"/>
            <w:vAlign w:val="center"/>
          </w:tcPr>
          <w:p w14:paraId="4F81AFB6">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ind w:left="0" w:leftChars="0" w:firstLine="0" w:firstLineChars="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lang w:val="en-US" w:eastAsia="zh-CN"/>
              </w:rPr>
              <w:t>无论磋商响应结果如何，供应商应自行承担参与本项目发生的所有费用和应担风险。</w:t>
            </w:r>
          </w:p>
        </w:tc>
      </w:tr>
      <w:tr w14:paraId="53D3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13B8073">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18.6</w:t>
            </w:r>
          </w:p>
        </w:tc>
        <w:tc>
          <w:tcPr>
            <w:tcW w:w="1907" w:type="dxa"/>
            <w:shd w:val="clear" w:color="auto" w:fill="auto"/>
            <w:vAlign w:val="center"/>
          </w:tcPr>
          <w:p w14:paraId="16E42F6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正当理由</w:t>
            </w:r>
          </w:p>
        </w:tc>
        <w:tc>
          <w:tcPr>
            <w:tcW w:w="6589" w:type="dxa"/>
            <w:shd w:val="clear" w:color="auto" w:fill="auto"/>
            <w:vAlign w:val="center"/>
          </w:tcPr>
          <w:p w14:paraId="049FB2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是指不可抗力</w:t>
            </w:r>
            <w:r>
              <w:rPr>
                <w:rFonts w:hint="eastAsia" w:ascii="仿宋" w:hAnsi="仿宋" w:eastAsia="仿宋" w:cs="仿宋"/>
                <w:color w:val="auto"/>
                <w:sz w:val="24"/>
                <w:szCs w:val="24"/>
                <w:lang w:val="en-US" w:eastAsia="zh-CN"/>
              </w:rPr>
              <w:t>（指不能预见、不能避免、不能克服的客观情况）：</w:t>
            </w:r>
            <w:r>
              <w:rPr>
                <w:rFonts w:hint="eastAsia" w:ascii="仿宋" w:hAnsi="仿宋" w:eastAsia="仿宋" w:cs="仿宋"/>
                <w:color w:val="auto"/>
                <w:sz w:val="24"/>
                <w:szCs w:val="24"/>
                <w:highlight w:val="none"/>
                <w:lang w:val="en-US" w:eastAsia="zh-CN"/>
              </w:rPr>
              <w:t>一是自然灾害，例如地震、台风、洪水等；二是某些政府行为，例如政府颁布新政策、法律和采取行政措施；三是社会异常事件，例如罢工、战争等。</w:t>
            </w:r>
          </w:p>
        </w:tc>
      </w:tr>
      <w:tr w14:paraId="7677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F7725C8">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18.7</w:t>
            </w:r>
          </w:p>
        </w:tc>
        <w:tc>
          <w:tcPr>
            <w:tcW w:w="1907" w:type="dxa"/>
            <w:shd w:val="clear" w:color="auto" w:fill="auto"/>
            <w:vAlign w:val="center"/>
          </w:tcPr>
          <w:p w14:paraId="08BD3897">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商业秘密</w:t>
            </w:r>
            <w:bookmarkStart w:id="0" w:name="_GoBack"/>
            <w:bookmarkEnd w:id="0"/>
          </w:p>
        </w:tc>
        <w:tc>
          <w:tcPr>
            <w:tcW w:w="6589" w:type="dxa"/>
            <w:shd w:val="clear" w:color="auto" w:fill="auto"/>
            <w:vAlign w:val="center"/>
          </w:tcPr>
          <w:p w14:paraId="7D7D16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为公众所知悉、具有商业价值并经权利人采取相应保密措施的技术信息和经营信息等商业信息。主要指技术秘密、商业情报及经济信息、价格等与技术和经营活动有关的相关信息，如生产工艺、生产原料、客户信息、相关数据、管理、财务、购销渠道以及磋商、响应资料等当事人不愿公开的商业秘密。响应文件是</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根据磋商文件的要求编制的，具有独特、个性的特征，并具有实用性，能为</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带来经济利益，因此其属于</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的商业秘密，不</w:t>
            </w:r>
            <w:r>
              <w:rPr>
                <w:rFonts w:hint="eastAsia" w:ascii="仿宋" w:hAnsi="仿宋" w:eastAsia="仿宋" w:cs="仿宋"/>
                <w:color w:val="auto"/>
                <w:sz w:val="24"/>
                <w:szCs w:val="24"/>
                <w:lang w:val="en-US" w:eastAsia="zh-CN"/>
              </w:rPr>
              <w:t>可</w:t>
            </w:r>
            <w:r>
              <w:rPr>
                <w:rFonts w:hint="eastAsia" w:ascii="仿宋" w:hAnsi="仿宋" w:eastAsia="仿宋" w:cs="仿宋"/>
                <w:color w:val="auto"/>
                <w:sz w:val="24"/>
                <w:szCs w:val="24"/>
                <w:highlight w:val="none"/>
                <w:lang w:val="en-US" w:eastAsia="zh-CN"/>
              </w:rPr>
              <w:t>公开。</w:t>
            </w:r>
          </w:p>
        </w:tc>
      </w:tr>
      <w:tr w14:paraId="5543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D106DCE">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18.8</w:t>
            </w:r>
          </w:p>
        </w:tc>
        <w:tc>
          <w:tcPr>
            <w:tcW w:w="1907" w:type="dxa"/>
            <w:shd w:val="clear" w:color="auto" w:fill="auto"/>
            <w:vAlign w:val="center"/>
          </w:tcPr>
          <w:p w14:paraId="75BBAF7C">
            <w:pPr>
              <w:keepNext w:val="0"/>
              <w:keepLines w:val="0"/>
              <w:pageBreakBefore w:val="0"/>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保密</w:t>
            </w:r>
          </w:p>
        </w:tc>
        <w:tc>
          <w:tcPr>
            <w:tcW w:w="6589" w:type="dxa"/>
            <w:shd w:val="clear" w:color="auto" w:fill="auto"/>
            <w:vAlign w:val="center"/>
          </w:tcPr>
          <w:p w14:paraId="0473537B">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采购活动的当事各方，不得以任何形式向任何单位和个人提供与本项目有关的</w:t>
            </w:r>
            <w:r>
              <w:rPr>
                <w:rFonts w:hint="eastAsia" w:ascii="仿宋" w:hAnsi="仿宋" w:eastAsia="仿宋" w:cs="仿宋"/>
                <w:strike w:val="0"/>
                <w:dstrike w:val="0"/>
                <w:color w:val="auto"/>
                <w:sz w:val="24"/>
                <w:szCs w:val="24"/>
                <w:highlight w:val="none"/>
                <w:lang w:val="en-US" w:eastAsia="zh-CN"/>
              </w:rPr>
              <w:t>采购</w:t>
            </w:r>
            <w:r>
              <w:rPr>
                <w:rFonts w:hint="eastAsia" w:ascii="仿宋" w:hAnsi="仿宋" w:eastAsia="仿宋" w:cs="仿宋"/>
                <w:color w:val="auto"/>
                <w:sz w:val="24"/>
                <w:szCs w:val="24"/>
                <w:highlight w:val="none"/>
                <w:lang w:val="en-US" w:eastAsia="zh-CN"/>
              </w:rPr>
              <w:t>资料，均应对磋商、响应文件中的商业和技术等内容进行保密，违者承担法律责任。</w:t>
            </w:r>
          </w:p>
        </w:tc>
      </w:tr>
      <w:tr w14:paraId="778B2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7E0970D">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18.9</w:t>
            </w:r>
          </w:p>
        </w:tc>
        <w:tc>
          <w:tcPr>
            <w:tcW w:w="1907" w:type="dxa"/>
            <w:vAlign w:val="center"/>
          </w:tcPr>
          <w:p w14:paraId="55F9DB8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其他</w:t>
            </w:r>
          </w:p>
        </w:tc>
        <w:tc>
          <w:tcPr>
            <w:tcW w:w="6589" w:type="dxa"/>
            <w:vAlign w:val="center"/>
          </w:tcPr>
          <w:p w14:paraId="558D076A">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1.本文所称的“以上”、“以下”、“内”、“以内”、“届满”，包括本数；“不足”、“不满”、“超过”、“以外”，不包括本数。</w:t>
            </w:r>
          </w:p>
          <w:p w14:paraId="256EB1F5">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2.文中“自....之日起”，不包含当日，以下一日开始计算。</w:t>
            </w:r>
          </w:p>
          <w:p w14:paraId="0DA0E824">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3.文中“日”等同“日历日”或“天”。月日换算可以30天/月为基准，年以365天为基准。</w:t>
            </w:r>
          </w:p>
        </w:tc>
      </w:tr>
    </w:tbl>
    <w:p w14:paraId="3DDD154A">
      <w:pPr>
        <w:jc w:val="center"/>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rPr>
        <w:br w:type="textWrapping"/>
      </w:r>
    </w:p>
    <w:p w14:paraId="081F857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702E24"/>
    <w:rsid w:val="1D702E24"/>
    <w:rsid w:val="7D422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rPr>
      <w:szCs w:val="21"/>
    </w:rPr>
  </w:style>
  <w:style w:type="paragraph" w:styleId="3">
    <w:name w:val="Plain Text"/>
    <w:basedOn w:val="1"/>
    <w:next w:val="1"/>
    <w:semiHidden/>
    <w:unhideWhenUsed/>
    <w:qFormat/>
    <w:uiPriority w:val="99"/>
    <w:pPr>
      <w:adjustRightInd w:val="0"/>
      <w:snapToGrid w:val="0"/>
      <w:spacing w:line="360" w:lineRule="auto"/>
    </w:pPr>
    <w:rPr>
      <w:rFonts w:ascii="宋体" w:hAnsi="Courier New"/>
    </w:rPr>
  </w:style>
  <w:style w:type="paragraph" w:styleId="4">
    <w:name w:val="toa heading"/>
    <w:basedOn w:val="1"/>
    <w:next w:val="1"/>
    <w:semiHidden/>
    <w:qFormat/>
    <w:uiPriority w:val="99"/>
    <w:pPr>
      <w:spacing w:before="120"/>
    </w:pPr>
    <w:rPr>
      <w:rFonts w:ascii="Cambria" w:hAnsi="Cambria"/>
      <w:sz w:val="24"/>
    </w:rPr>
  </w:style>
  <w:style w:type="paragraph" w:styleId="5">
    <w:name w:val="annotation text"/>
    <w:basedOn w:val="1"/>
    <w:qFormat/>
    <w:uiPriority w:val="0"/>
    <w:pPr>
      <w:jc w:val="left"/>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p15"/>
    <w:basedOn w:val="1"/>
    <w:qFormat/>
    <w:uiPriority w:val="99"/>
    <w:pPr>
      <w:widowControl/>
    </w:pPr>
    <w:rPr>
      <w:kern w:val="0"/>
      <w:sz w:val="21"/>
      <w:szCs w:val="21"/>
    </w:rPr>
  </w:style>
  <w:style w:type="paragraph" w:customStyle="1" w:styleId="10">
    <w:name w:val="Table Text"/>
    <w:basedOn w:val="1"/>
    <w:autoRedefine/>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8429</Words>
  <Characters>8758</Characters>
  <Lines>0</Lines>
  <Paragraphs>0</Paragraphs>
  <TotalTime>1</TotalTime>
  <ScaleCrop>false</ScaleCrop>
  <LinksUpToDate>false</LinksUpToDate>
  <CharactersWithSpaces>8766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2026-09-02T05:03:00Z</dcterms:created>
  <dc:creator>左左</dc:creator>
  <cp:lastModifiedBy>左左</cp:lastModifiedBy>
  <dcterms:modified xsi:type="dcterms:W3CDTF">2026-09-03T02:31:49Z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A98E8CDE9F95420A874A8C7D0E773AEB_11</vt:lpwstr>
  </property>
  <property fmtid="{D5CDD505-2E9C-101B-9397-08002B2CF9AE}" pid="4" name="KSOTemplateDocerSaveRecord">
    <vt:lpwstr>eyJoZGlkIjoiYjgzZjBlMWFiY2UyYjQ1NWYwYWI5MjNkODI5ZDljOGYiLCJ1c2VySWQiOiI1NzY5ODc4MzkifQ==</vt:lpwstr>
  </property>
</Properties>
</file>