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F795CF">
      <w:pPr>
        <w:jc w:val="center"/>
        <w:rPr>
          <w:rFonts w:hint="eastAsia" w:ascii="宋体" w:hAnsi="宋体" w:cs="宋体"/>
          <w:b/>
          <w:color w:val="auto"/>
          <w:spacing w:val="-20"/>
          <w:sz w:val="58"/>
          <w:szCs w:val="58"/>
        </w:rPr>
      </w:pPr>
    </w:p>
    <w:p w14:paraId="7F9F3C1E">
      <w:pPr>
        <w:jc w:val="center"/>
        <w:rPr>
          <w:rFonts w:hint="eastAsia" w:ascii="宋体" w:hAnsi="宋体" w:eastAsia="宋体" w:cs="宋体"/>
          <w:b/>
          <w:color w:val="auto"/>
          <w:spacing w:val="-20"/>
          <w:sz w:val="58"/>
          <w:szCs w:val="58"/>
          <w:lang w:eastAsia="zh-CN"/>
        </w:rPr>
      </w:pPr>
      <w:r>
        <w:rPr>
          <w:rFonts w:hint="eastAsia" w:ascii="宋体" w:hAnsi="宋体" w:cs="宋体"/>
          <w:b/>
          <w:color w:val="auto"/>
          <w:spacing w:val="-20"/>
          <w:sz w:val="58"/>
          <w:szCs w:val="58"/>
          <w:lang w:eastAsia="zh-CN"/>
        </w:rPr>
        <w:t>（</w:t>
      </w:r>
      <w:r>
        <w:rPr>
          <w:rFonts w:hint="eastAsia" w:ascii="宋体" w:hAnsi="宋体" w:cs="宋体"/>
          <w:b/>
          <w:color w:val="auto"/>
          <w:spacing w:val="-20"/>
          <w:sz w:val="58"/>
          <w:szCs w:val="58"/>
          <w:lang w:val="en-US" w:eastAsia="zh-CN"/>
        </w:rPr>
        <w:t>参考格式</w:t>
      </w:r>
      <w:r>
        <w:rPr>
          <w:rFonts w:hint="eastAsia" w:ascii="宋体" w:hAnsi="宋体" w:cs="宋体"/>
          <w:b/>
          <w:color w:val="auto"/>
          <w:spacing w:val="-20"/>
          <w:sz w:val="58"/>
          <w:szCs w:val="58"/>
          <w:lang w:eastAsia="zh-CN"/>
        </w:rPr>
        <w:t>）</w:t>
      </w:r>
    </w:p>
    <w:p w14:paraId="191F6903">
      <w:pPr>
        <w:jc w:val="center"/>
        <w:rPr>
          <w:rFonts w:hint="eastAsia" w:ascii="宋体" w:hAnsi="宋体" w:cs="宋体"/>
          <w:b/>
          <w:color w:val="auto"/>
          <w:spacing w:val="-20"/>
          <w:sz w:val="58"/>
          <w:szCs w:val="58"/>
        </w:rPr>
      </w:pPr>
    </w:p>
    <w:p w14:paraId="098FF1DF">
      <w:pPr>
        <w:spacing w:line="800" w:lineRule="exact"/>
        <w:jc w:val="center"/>
        <w:rPr>
          <w:rFonts w:hint="eastAsia" w:ascii="宋体" w:hAnsi="宋体" w:cs="宋体"/>
          <w:b/>
          <w:color w:val="auto"/>
          <w:sz w:val="72"/>
          <w:szCs w:val="72"/>
        </w:rPr>
      </w:pPr>
      <w:r>
        <w:rPr>
          <w:rFonts w:hint="eastAsia" w:ascii="宋体" w:hAnsi="宋体" w:cs="宋体"/>
          <w:b/>
          <w:color w:val="auto"/>
          <w:sz w:val="72"/>
          <w:szCs w:val="72"/>
          <w:u w:val="single"/>
          <w:lang w:val="en-US" w:eastAsia="zh-CN"/>
        </w:rPr>
        <w:t xml:space="preserve">      </w:t>
      </w:r>
      <w:r>
        <w:rPr>
          <w:rFonts w:hint="eastAsia" w:ascii="宋体" w:hAnsi="宋体" w:cs="宋体"/>
          <w:b/>
          <w:color w:val="auto"/>
          <w:sz w:val="72"/>
          <w:szCs w:val="72"/>
        </w:rPr>
        <w:t>项目</w:t>
      </w:r>
    </w:p>
    <w:p w14:paraId="41A94289">
      <w:pPr>
        <w:spacing w:line="800" w:lineRule="exact"/>
        <w:jc w:val="center"/>
        <w:rPr>
          <w:rFonts w:ascii="宋体" w:hAnsi="宋体" w:cs="宋体"/>
          <w:b/>
          <w:color w:val="auto"/>
          <w:sz w:val="72"/>
          <w:szCs w:val="72"/>
        </w:rPr>
      </w:pPr>
      <w:r>
        <w:rPr>
          <w:rFonts w:hint="eastAsia" w:ascii="宋体" w:hAnsi="宋体" w:cs="宋体"/>
          <w:b/>
          <w:color w:val="auto"/>
          <w:sz w:val="72"/>
          <w:szCs w:val="72"/>
        </w:rPr>
        <w:t>供 货 合 同</w:t>
      </w:r>
    </w:p>
    <w:p w14:paraId="2F339A90">
      <w:pPr>
        <w:spacing w:line="800" w:lineRule="exact"/>
        <w:jc w:val="center"/>
        <w:rPr>
          <w:rFonts w:hint="eastAsia" w:ascii="宋体" w:hAnsi="宋体" w:cs="宋体"/>
          <w:b/>
          <w:color w:val="auto"/>
          <w:sz w:val="36"/>
          <w:szCs w:val="36"/>
        </w:rPr>
      </w:pPr>
    </w:p>
    <w:p w14:paraId="619D0C99">
      <w:pPr>
        <w:spacing w:line="800" w:lineRule="exact"/>
        <w:jc w:val="center"/>
        <w:rPr>
          <w:rFonts w:ascii="宋体" w:hAnsi="宋体" w:cs="宋体"/>
          <w:b/>
          <w:color w:val="auto"/>
          <w:sz w:val="36"/>
          <w:szCs w:val="36"/>
        </w:rPr>
      </w:pPr>
      <w:r>
        <w:rPr>
          <w:rFonts w:hint="eastAsia" w:ascii="宋体" w:hAnsi="宋体" w:cs="宋体"/>
          <w:b/>
          <w:color w:val="auto"/>
          <w:sz w:val="36"/>
          <w:szCs w:val="36"/>
        </w:rPr>
        <w:t>招标编号：</w:t>
      </w:r>
    </w:p>
    <w:p w14:paraId="6C018AD8">
      <w:pPr>
        <w:jc w:val="center"/>
        <w:rPr>
          <w:rFonts w:ascii="宋体" w:hAnsi="宋体" w:cs="宋体"/>
          <w:color w:val="auto"/>
          <w:sz w:val="30"/>
          <w:szCs w:val="30"/>
        </w:rPr>
      </w:pPr>
    </w:p>
    <w:p w14:paraId="15DF882A">
      <w:pPr>
        <w:jc w:val="center"/>
        <w:rPr>
          <w:rFonts w:ascii="宋体" w:hAnsi="宋体" w:cs="宋体"/>
          <w:color w:val="auto"/>
          <w:sz w:val="30"/>
          <w:szCs w:val="30"/>
        </w:rPr>
      </w:pPr>
    </w:p>
    <w:p w14:paraId="7415F8D6">
      <w:pPr>
        <w:jc w:val="center"/>
        <w:rPr>
          <w:rFonts w:ascii="宋体" w:hAnsi="宋体" w:cs="宋体"/>
          <w:color w:val="auto"/>
          <w:sz w:val="30"/>
          <w:szCs w:val="30"/>
        </w:rPr>
      </w:pPr>
    </w:p>
    <w:p w14:paraId="14B41060">
      <w:pPr>
        <w:jc w:val="center"/>
        <w:rPr>
          <w:rFonts w:ascii="宋体" w:hAnsi="宋体" w:cs="宋体"/>
          <w:color w:val="auto"/>
          <w:sz w:val="30"/>
          <w:szCs w:val="30"/>
        </w:rPr>
      </w:pPr>
    </w:p>
    <w:p w14:paraId="4B3C3A2D">
      <w:pPr>
        <w:jc w:val="center"/>
        <w:rPr>
          <w:rFonts w:ascii="宋体" w:hAnsi="宋体" w:cs="宋体"/>
          <w:color w:val="auto"/>
          <w:sz w:val="30"/>
          <w:szCs w:val="30"/>
        </w:rPr>
      </w:pPr>
    </w:p>
    <w:p w14:paraId="6CBB45D0">
      <w:pPr>
        <w:jc w:val="center"/>
        <w:rPr>
          <w:rFonts w:ascii="宋体" w:hAnsi="宋体" w:cs="宋体"/>
          <w:color w:val="auto"/>
          <w:sz w:val="30"/>
          <w:szCs w:val="30"/>
        </w:rPr>
      </w:pPr>
    </w:p>
    <w:p w14:paraId="164A8BF0">
      <w:pPr>
        <w:ind w:firstLine="2080" w:firstLineChars="650"/>
        <w:rPr>
          <w:rFonts w:hint="eastAsia" w:ascii="宋体" w:hAnsi="宋体" w:eastAsia="宋体" w:cs="宋体"/>
          <w:color w:val="auto"/>
          <w:sz w:val="32"/>
          <w:szCs w:val="32"/>
          <w:lang w:eastAsia="zh-CN"/>
        </w:rPr>
      </w:pPr>
      <w:r>
        <w:rPr>
          <w:rFonts w:hint="eastAsia" w:ascii="宋体" w:hAnsi="宋体" w:cs="宋体"/>
          <w:color w:val="auto"/>
          <w:sz w:val="32"/>
          <w:szCs w:val="32"/>
        </w:rPr>
        <w:t>甲  方：</w:t>
      </w:r>
      <w:r>
        <w:rPr>
          <w:rFonts w:hint="eastAsia" w:ascii="宋体" w:hAnsi="宋体" w:cs="宋体"/>
          <w:color w:val="auto"/>
          <w:sz w:val="32"/>
          <w:szCs w:val="32"/>
          <w:lang w:val="en-US" w:eastAsia="zh-CN"/>
        </w:rPr>
        <w:t xml:space="preserve"> </w:t>
      </w:r>
    </w:p>
    <w:p w14:paraId="1C1D62BA">
      <w:pPr>
        <w:tabs>
          <w:tab w:val="left" w:pos="480"/>
        </w:tabs>
        <w:ind w:firstLine="640" w:firstLineChars="200"/>
        <w:rPr>
          <w:rFonts w:ascii="宋体" w:hAnsi="宋体" w:cs="宋体"/>
          <w:color w:val="auto"/>
          <w:sz w:val="32"/>
          <w:szCs w:val="32"/>
        </w:rPr>
      </w:pPr>
      <w:r>
        <w:rPr>
          <w:rFonts w:hint="eastAsia" w:ascii="宋体" w:hAnsi="宋体" w:cs="宋体"/>
          <w:color w:val="auto"/>
          <w:sz w:val="32"/>
          <w:szCs w:val="32"/>
        </w:rPr>
        <w:t xml:space="preserve">         乙  方：</w:t>
      </w:r>
    </w:p>
    <w:p w14:paraId="23105159">
      <w:pPr>
        <w:rPr>
          <w:rFonts w:ascii="宋体" w:hAnsi="宋体" w:cs="宋体"/>
          <w:color w:val="auto"/>
          <w:sz w:val="32"/>
          <w:szCs w:val="32"/>
        </w:rPr>
      </w:pPr>
      <w:r>
        <w:rPr>
          <w:rFonts w:hint="eastAsia" w:ascii="宋体" w:hAnsi="宋体" w:cs="宋体"/>
          <w:color w:val="auto"/>
          <w:sz w:val="32"/>
          <w:szCs w:val="32"/>
        </w:rPr>
        <w:t xml:space="preserve">            </w:t>
      </w:r>
    </w:p>
    <w:p w14:paraId="06E4EF62">
      <w:pPr>
        <w:jc w:val="center"/>
        <w:rPr>
          <w:rFonts w:ascii="宋体" w:hAnsi="宋体" w:cs="宋体"/>
          <w:color w:val="auto"/>
          <w:sz w:val="30"/>
          <w:szCs w:val="30"/>
        </w:rPr>
      </w:pPr>
    </w:p>
    <w:p w14:paraId="2D62D354">
      <w:pPr>
        <w:jc w:val="center"/>
        <w:rPr>
          <w:rFonts w:ascii="宋体" w:hAnsi="宋体" w:cs="宋体"/>
          <w:color w:val="auto"/>
          <w:sz w:val="32"/>
          <w:szCs w:val="32"/>
        </w:rPr>
      </w:pPr>
      <w:r>
        <w:rPr>
          <w:rFonts w:hint="eastAsia" w:ascii="宋体" w:hAnsi="宋体" w:cs="宋体"/>
          <w:color w:val="auto"/>
          <w:sz w:val="32"/>
          <w:szCs w:val="32"/>
        </w:rPr>
        <w:t>XXXX年 XXX月</w:t>
      </w:r>
    </w:p>
    <w:p w14:paraId="7FF74FA0">
      <w:pPr>
        <w:spacing w:line="360" w:lineRule="auto"/>
        <w:ind w:firstLine="480" w:firstLineChars="200"/>
        <w:rPr>
          <w:rFonts w:hint="eastAsia" w:ascii="宋体" w:hAnsi="宋体" w:cs="宋体"/>
          <w:color w:val="auto"/>
          <w:sz w:val="24"/>
        </w:rPr>
      </w:pPr>
    </w:p>
    <w:p w14:paraId="7B11FC5D">
      <w:pPr>
        <w:spacing w:line="360" w:lineRule="auto"/>
        <w:ind w:firstLine="480" w:firstLineChars="200"/>
        <w:rPr>
          <w:rFonts w:hint="eastAsia" w:ascii="宋体" w:hAnsi="宋体" w:cs="宋体"/>
          <w:color w:val="auto"/>
          <w:sz w:val="24"/>
        </w:rPr>
      </w:pPr>
    </w:p>
    <w:p w14:paraId="0858ABEF">
      <w:pPr>
        <w:spacing w:line="360" w:lineRule="auto"/>
        <w:jc w:val="center"/>
        <w:rPr>
          <w:rFonts w:ascii="宋体" w:hAnsi="宋体" w:cs="宋体"/>
          <w:b/>
          <w:color w:val="auto"/>
          <w:sz w:val="32"/>
          <w:szCs w:val="32"/>
        </w:rPr>
      </w:pPr>
      <w:r>
        <w:rPr>
          <w:rFonts w:hint="eastAsia" w:ascii="宋体" w:hAnsi="宋体" w:cs="宋体"/>
          <w:b/>
          <w:color w:val="auto"/>
          <w:sz w:val="32"/>
          <w:szCs w:val="32"/>
        </w:rPr>
        <w:t>供 货 合 同</w:t>
      </w:r>
    </w:p>
    <w:p w14:paraId="145C7B68">
      <w:pPr>
        <w:spacing w:line="360" w:lineRule="auto"/>
        <w:ind w:firstLine="480" w:firstLineChars="200"/>
        <w:rPr>
          <w:rFonts w:hint="eastAsia" w:ascii="宋体" w:hAnsi="宋体" w:eastAsia="宋体" w:cs="宋体"/>
          <w:color w:val="auto"/>
          <w:sz w:val="24"/>
          <w:lang w:eastAsia="zh-CN"/>
        </w:rPr>
      </w:pPr>
      <w:r>
        <w:rPr>
          <w:rFonts w:hint="eastAsia" w:ascii="宋体" w:hAnsi="宋体" w:cs="宋体"/>
          <w:color w:val="auto"/>
          <w:sz w:val="24"/>
        </w:rPr>
        <w:t>甲方：</w:t>
      </w:r>
      <w:r>
        <w:rPr>
          <w:rFonts w:hint="eastAsia" w:ascii="宋体" w:hAnsi="宋体" w:cs="宋体"/>
          <w:color w:val="auto"/>
          <w:sz w:val="24"/>
          <w:lang w:val="en-US" w:eastAsia="zh-CN"/>
        </w:rPr>
        <w:t xml:space="preserve"> </w:t>
      </w:r>
    </w:p>
    <w:p w14:paraId="4BC54B1A">
      <w:pPr>
        <w:spacing w:line="360" w:lineRule="auto"/>
        <w:ind w:firstLine="480" w:firstLineChars="200"/>
        <w:rPr>
          <w:rFonts w:hint="eastAsia" w:ascii="宋体" w:hAnsi="宋体" w:eastAsia="宋体" w:cs="宋体"/>
          <w:color w:val="auto"/>
          <w:sz w:val="24"/>
          <w:lang w:eastAsia="zh-CN"/>
        </w:rPr>
      </w:pPr>
      <w:r>
        <w:rPr>
          <w:rFonts w:hint="eastAsia" w:ascii="宋体" w:hAnsi="宋体" w:cs="宋体"/>
          <w:color w:val="auto"/>
          <w:sz w:val="24"/>
        </w:rPr>
        <w:t>住所地：</w:t>
      </w:r>
      <w:r>
        <w:rPr>
          <w:rFonts w:hint="eastAsia" w:ascii="宋体" w:hAnsi="宋体" w:cs="宋体"/>
          <w:color w:val="auto"/>
          <w:sz w:val="24"/>
          <w:lang w:val="en-US" w:eastAsia="zh-CN"/>
        </w:rPr>
        <w:t xml:space="preserve"> </w:t>
      </w:r>
    </w:p>
    <w:p w14:paraId="47C1B4B3">
      <w:pPr>
        <w:spacing w:line="360" w:lineRule="auto"/>
        <w:ind w:firstLine="480" w:firstLineChars="200"/>
        <w:rPr>
          <w:rFonts w:ascii="宋体" w:hAnsi="宋体" w:cs="宋体"/>
          <w:color w:val="auto"/>
          <w:sz w:val="24"/>
        </w:rPr>
      </w:pPr>
      <w:r>
        <w:rPr>
          <w:rFonts w:hint="eastAsia" w:ascii="宋体" w:hAnsi="宋体" w:cs="宋体"/>
          <w:color w:val="auto"/>
          <w:sz w:val="24"/>
          <w:lang w:val="en-US" w:eastAsia="zh-CN"/>
        </w:rPr>
        <w:t>联系人</w:t>
      </w:r>
      <w:r>
        <w:rPr>
          <w:rFonts w:hint="eastAsia" w:ascii="宋体" w:hAnsi="宋体" w:cs="宋体"/>
          <w:color w:val="auto"/>
          <w:sz w:val="24"/>
        </w:rPr>
        <w:t>：</w:t>
      </w:r>
    </w:p>
    <w:p w14:paraId="65239ED9">
      <w:pPr>
        <w:spacing w:line="360" w:lineRule="auto"/>
        <w:ind w:firstLine="480" w:firstLineChars="200"/>
        <w:rPr>
          <w:rFonts w:hint="eastAsia" w:ascii="宋体" w:hAnsi="宋体" w:eastAsia="宋体" w:cs="宋体"/>
          <w:color w:val="auto"/>
          <w:sz w:val="24"/>
          <w:lang w:eastAsia="zh-CN"/>
        </w:rPr>
      </w:pPr>
      <w:r>
        <w:rPr>
          <w:rFonts w:hint="eastAsia" w:ascii="宋体" w:hAnsi="宋体" w:cs="宋体"/>
          <w:color w:val="auto"/>
          <w:sz w:val="24"/>
        </w:rPr>
        <w:t>联系方式：</w:t>
      </w:r>
      <w:r>
        <w:rPr>
          <w:rFonts w:hint="eastAsia" w:ascii="宋体" w:hAnsi="宋体" w:cs="宋体"/>
          <w:color w:val="auto"/>
          <w:sz w:val="24"/>
          <w:lang w:val="en-US" w:eastAsia="zh-CN"/>
        </w:rPr>
        <w:t xml:space="preserve"> </w:t>
      </w:r>
    </w:p>
    <w:p w14:paraId="2BF1E0A5">
      <w:pPr>
        <w:spacing w:line="360" w:lineRule="auto"/>
        <w:ind w:firstLine="480" w:firstLineChars="200"/>
        <w:rPr>
          <w:rFonts w:hint="eastAsia" w:ascii="宋体" w:hAnsi="宋体" w:cs="宋体"/>
          <w:color w:val="auto"/>
          <w:sz w:val="24"/>
        </w:rPr>
      </w:pPr>
    </w:p>
    <w:p w14:paraId="3E3E642F">
      <w:pPr>
        <w:spacing w:line="360" w:lineRule="auto"/>
        <w:ind w:firstLine="480" w:firstLineChars="200"/>
        <w:rPr>
          <w:rFonts w:hint="eastAsia" w:ascii="宋体" w:hAnsi="宋体" w:cs="宋体"/>
          <w:color w:val="auto"/>
          <w:sz w:val="24"/>
        </w:rPr>
      </w:pPr>
      <w:r>
        <w:rPr>
          <w:rFonts w:hint="eastAsia" w:ascii="宋体" w:hAnsi="宋体" w:cs="宋体"/>
          <w:color w:val="auto"/>
          <w:sz w:val="24"/>
        </w:rPr>
        <w:t>乙方：</w:t>
      </w:r>
    </w:p>
    <w:p w14:paraId="78A1E9D3">
      <w:pPr>
        <w:spacing w:line="360" w:lineRule="auto"/>
        <w:ind w:firstLine="480" w:firstLineChars="200"/>
        <w:rPr>
          <w:rFonts w:ascii="宋体" w:hAnsi="宋体" w:cs="宋体"/>
          <w:color w:val="auto"/>
          <w:sz w:val="24"/>
        </w:rPr>
      </w:pPr>
      <w:r>
        <w:rPr>
          <w:rFonts w:hint="eastAsia" w:ascii="宋体" w:hAnsi="宋体" w:cs="宋体"/>
          <w:color w:val="auto"/>
          <w:sz w:val="24"/>
        </w:rPr>
        <w:t>住所地：</w:t>
      </w:r>
    </w:p>
    <w:p w14:paraId="34BB7489">
      <w:pPr>
        <w:spacing w:line="360" w:lineRule="auto"/>
        <w:ind w:firstLine="480" w:firstLineChars="200"/>
        <w:rPr>
          <w:rFonts w:ascii="宋体" w:hAnsi="宋体" w:cs="宋体"/>
          <w:color w:val="auto"/>
          <w:sz w:val="24"/>
        </w:rPr>
      </w:pPr>
      <w:r>
        <w:rPr>
          <w:rFonts w:hint="eastAsia" w:ascii="宋体" w:hAnsi="宋体" w:cs="宋体"/>
          <w:color w:val="auto"/>
          <w:sz w:val="24"/>
        </w:rPr>
        <w:t>法定代表人：</w:t>
      </w:r>
    </w:p>
    <w:p w14:paraId="7C7BED20">
      <w:pPr>
        <w:spacing w:line="360" w:lineRule="auto"/>
        <w:ind w:firstLine="480" w:firstLineChars="200"/>
        <w:rPr>
          <w:rFonts w:ascii="宋体" w:hAnsi="宋体" w:cs="宋体"/>
          <w:color w:val="auto"/>
          <w:sz w:val="24"/>
        </w:rPr>
      </w:pPr>
      <w:r>
        <w:rPr>
          <w:rFonts w:hint="eastAsia" w:ascii="宋体" w:hAnsi="宋体" w:cs="宋体"/>
          <w:color w:val="auto"/>
          <w:sz w:val="24"/>
        </w:rPr>
        <w:t>联系方式：</w:t>
      </w:r>
    </w:p>
    <w:p w14:paraId="35B807C9">
      <w:pPr>
        <w:spacing w:line="360" w:lineRule="auto"/>
        <w:ind w:firstLine="480" w:firstLineChars="200"/>
        <w:rPr>
          <w:rFonts w:ascii="宋体" w:hAnsi="宋体" w:cs="宋体"/>
          <w:color w:val="auto"/>
          <w:sz w:val="24"/>
        </w:rPr>
      </w:pPr>
      <w:r>
        <w:rPr>
          <w:rFonts w:hint="eastAsia" w:ascii="宋体" w:hAnsi="宋体" w:cs="宋体"/>
          <w:color w:val="auto"/>
          <w:sz w:val="24"/>
        </w:rPr>
        <w:t>西安高新区第</w:t>
      </w:r>
      <w:r>
        <w:rPr>
          <w:rFonts w:hint="eastAsia" w:ascii="宋体" w:hAnsi="宋体" w:cs="宋体"/>
          <w:color w:val="auto"/>
          <w:sz w:val="24"/>
          <w:lang w:val="en-US" w:eastAsia="zh-CN"/>
        </w:rPr>
        <w:t>三初级中学</w:t>
      </w:r>
      <w:r>
        <w:rPr>
          <w:rFonts w:hint="eastAsia" w:ascii="宋体" w:hAnsi="宋体" w:cs="宋体"/>
          <w:color w:val="auto"/>
          <w:sz w:val="24"/>
        </w:rPr>
        <w:t>（以下简称甲方）所需本合同项目下的安全防护设备，确定</w:t>
      </w:r>
      <w:r>
        <w:rPr>
          <w:rFonts w:hint="eastAsia" w:ascii="宋体" w:hAnsi="宋体" w:cs="宋体"/>
          <w:color w:val="auto"/>
          <w:sz w:val="24"/>
          <w:u w:val="single"/>
          <w:lang w:val="en-US" w:eastAsia="zh-CN"/>
        </w:rPr>
        <w:t xml:space="preserve">                </w:t>
      </w:r>
      <w:r>
        <w:rPr>
          <w:rFonts w:hint="eastAsia" w:ascii="宋体" w:hAnsi="宋体" w:cs="宋体"/>
          <w:color w:val="auto"/>
          <w:sz w:val="24"/>
        </w:rPr>
        <w:t>（以下简称乙方）为成交供应商。依据《中华人民共和国政府采购法》、《中华人民共和国民法典》以及招标文件、中标供应商投标文件正本和澄清表（函）、中标通知书，经甲、乙双方协商确认，达成如下条款。</w:t>
      </w:r>
    </w:p>
    <w:p w14:paraId="6E378BCB">
      <w:pPr>
        <w:tabs>
          <w:tab w:val="left" w:pos="480"/>
        </w:tabs>
        <w:spacing w:line="360" w:lineRule="auto"/>
        <w:rPr>
          <w:rFonts w:ascii="宋体" w:hAnsi="宋体" w:cs="宋体"/>
          <w:b/>
          <w:color w:val="auto"/>
          <w:sz w:val="24"/>
        </w:rPr>
      </w:pPr>
      <w:r>
        <w:rPr>
          <w:rFonts w:hint="eastAsia" w:ascii="宋体" w:hAnsi="宋体" w:cs="宋体"/>
          <w:b/>
          <w:color w:val="auto"/>
          <w:sz w:val="24"/>
        </w:rPr>
        <w:t>一、合同标的物内容及数量</w:t>
      </w:r>
      <w:r>
        <w:rPr>
          <w:rFonts w:hint="eastAsia" w:ascii="宋体" w:hAnsi="宋体" w:cs="宋体"/>
          <w:color w:val="auto"/>
          <w:sz w:val="24"/>
        </w:rPr>
        <w:t>（以投标文件正本和澄清表〈函〉为准）</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8"/>
        <w:gridCol w:w="1168"/>
        <w:gridCol w:w="1285"/>
        <w:gridCol w:w="1543"/>
        <w:gridCol w:w="1027"/>
        <w:gridCol w:w="769"/>
        <w:gridCol w:w="1027"/>
        <w:gridCol w:w="1027"/>
        <w:gridCol w:w="936"/>
      </w:tblGrid>
      <w:tr w14:paraId="522A5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498" w:type="dxa"/>
            <w:tcBorders>
              <w:top w:val="single" w:color="auto" w:sz="4" w:space="0"/>
              <w:left w:val="single" w:color="auto" w:sz="4" w:space="0"/>
              <w:bottom w:val="single" w:color="auto" w:sz="4" w:space="0"/>
              <w:right w:val="single" w:color="auto" w:sz="4" w:space="0"/>
            </w:tcBorders>
            <w:noWrap w:val="0"/>
            <w:vAlign w:val="center"/>
          </w:tcPr>
          <w:p w14:paraId="2CEFA0F0">
            <w:pPr>
              <w:tabs>
                <w:tab w:val="left" w:pos="480"/>
              </w:tabs>
              <w:spacing w:line="360" w:lineRule="auto"/>
              <w:jc w:val="center"/>
              <w:rPr>
                <w:rFonts w:ascii="宋体" w:hAnsi="宋体" w:cs="宋体"/>
                <w:color w:val="auto"/>
                <w:sz w:val="24"/>
              </w:rPr>
            </w:pPr>
            <w:r>
              <w:rPr>
                <w:rFonts w:hint="eastAsia" w:ascii="宋体" w:hAnsi="宋体" w:cs="宋体"/>
                <w:color w:val="auto"/>
                <w:sz w:val="24"/>
              </w:rPr>
              <w:t>序号</w:t>
            </w:r>
          </w:p>
        </w:tc>
        <w:tc>
          <w:tcPr>
            <w:tcW w:w="1168" w:type="dxa"/>
            <w:tcBorders>
              <w:top w:val="single" w:color="auto" w:sz="4" w:space="0"/>
              <w:left w:val="single" w:color="auto" w:sz="4" w:space="0"/>
              <w:bottom w:val="single" w:color="auto" w:sz="4" w:space="0"/>
              <w:right w:val="single" w:color="auto" w:sz="4" w:space="0"/>
            </w:tcBorders>
            <w:noWrap w:val="0"/>
            <w:vAlign w:val="center"/>
          </w:tcPr>
          <w:p w14:paraId="07108D83">
            <w:pPr>
              <w:tabs>
                <w:tab w:val="left" w:pos="480"/>
              </w:tabs>
              <w:spacing w:line="360" w:lineRule="auto"/>
              <w:jc w:val="center"/>
              <w:rPr>
                <w:rFonts w:ascii="宋体" w:hAnsi="宋体" w:cs="宋体"/>
                <w:color w:val="auto"/>
                <w:sz w:val="24"/>
              </w:rPr>
            </w:pPr>
            <w:r>
              <w:rPr>
                <w:rFonts w:hint="eastAsia" w:ascii="宋体" w:hAnsi="宋体" w:cs="宋体"/>
                <w:color w:val="auto"/>
                <w:sz w:val="24"/>
              </w:rPr>
              <w:t>货物名称</w:t>
            </w:r>
          </w:p>
        </w:tc>
        <w:tc>
          <w:tcPr>
            <w:tcW w:w="1285" w:type="dxa"/>
            <w:tcBorders>
              <w:top w:val="single" w:color="auto" w:sz="4" w:space="0"/>
              <w:left w:val="single" w:color="auto" w:sz="4" w:space="0"/>
              <w:bottom w:val="single" w:color="auto" w:sz="4" w:space="0"/>
              <w:right w:val="single" w:color="auto" w:sz="4" w:space="0"/>
            </w:tcBorders>
            <w:noWrap w:val="0"/>
            <w:vAlign w:val="center"/>
          </w:tcPr>
          <w:p w14:paraId="179CE3E7">
            <w:pPr>
              <w:tabs>
                <w:tab w:val="left" w:pos="480"/>
              </w:tabs>
              <w:spacing w:line="360" w:lineRule="auto"/>
              <w:jc w:val="center"/>
              <w:rPr>
                <w:rFonts w:ascii="宋体" w:hAnsi="宋体" w:cs="宋体"/>
                <w:color w:val="auto"/>
                <w:sz w:val="24"/>
              </w:rPr>
            </w:pPr>
            <w:r>
              <w:rPr>
                <w:rFonts w:hint="eastAsia" w:ascii="宋体" w:hAnsi="宋体" w:cs="宋体"/>
                <w:color w:val="auto"/>
                <w:sz w:val="24"/>
              </w:rPr>
              <w:t>型号规格</w:t>
            </w:r>
          </w:p>
        </w:tc>
        <w:tc>
          <w:tcPr>
            <w:tcW w:w="1543" w:type="dxa"/>
            <w:tcBorders>
              <w:top w:val="single" w:color="auto" w:sz="4" w:space="0"/>
              <w:left w:val="single" w:color="auto" w:sz="4" w:space="0"/>
              <w:bottom w:val="single" w:color="auto" w:sz="4" w:space="0"/>
              <w:right w:val="single" w:color="auto" w:sz="4" w:space="0"/>
            </w:tcBorders>
            <w:noWrap w:val="0"/>
            <w:vAlign w:val="center"/>
          </w:tcPr>
          <w:p w14:paraId="680EED0A">
            <w:pPr>
              <w:tabs>
                <w:tab w:val="left" w:pos="480"/>
              </w:tabs>
              <w:spacing w:line="360" w:lineRule="auto"/>
              <w:jc w:val="center"/>
              <w:rPr>
                <w:rFonts w:ascii="宋体" w:hAnsi="宋体" w:cs="宋体"/>
                <w:color w:val="auto"/>
                <w:sz w:val="24"/>
              </w:rPr>
            </w:pPr>
            <w:r>
              <w:rPr>
                <w:rFonts w:hint="eastAsia" w:ascii="宋体" w:hAnsi="宋体" w:cs="宋体"/>
                <w:color w:val="auto"/>
                <w:sz w:val="24"/>
              </w:rPr>
              <w:t>生产厂家</w:t>
            </w:r>
          </w:p>
        </w:tc>
        <w:tc>
          <w:tcPr>
            <w:tcW w:w="1027" w:type="dxa"/>
            <w:tcBorders>
              <w:top w:val="single" w:color="auto" w:sz="4" w:space="0"/>
              <w:left w:val="single" w:color="auto" w:sz="4" w:space="0"/>
              <w:bottom w:val="single" w:color="auto" w:sz="4" w:space="0"/>
              <w:right w:val="single" w:color="auto" w:sz="4" w:space="0"/>
            </w:tcBorders>
            <w:noWrap w:val="0"/>
            <w:vAlign w:val="center"/>
          </w:tcPr>
          <w:p w14:paraId="2E812DDC">
            <w:pPr>
              <w:tabs>
                <w:tab w:val="left" w:pos="480"/>
              </w:tabs>
              <w:spacing w:line="360" w:lineRule="auto"/>
              <w:jc w:val="center"/>
              <w:rPr>
                <w:rFonts w:ascii="宋体" w:hAnsi="宋体" w:cs="宋体"/>
                <w:color w:val="auto"/>
                <w:sz w:val="24"/>
              </w:rPr>
            </w:pPr>
            <w:r>
              <w:rPr>
                <w:rFonts w:hint="eastAsia" w:ascii="宋体" w:hAnsi="宋体" w:cs="宋体"/>
                <w:color w:val="auto"/>
                <w:sz w:val="24"/>
              </w:rPr>
              <w:t>产地</w:t>
            </w:r>
          </w:p>
        </w:tc>
        <w:tc>
          <w:tcPr>
            <w:tcW w:w="769" w:type="dxa"/>
            <w:tcBorders>
              <w:top w:val="single" w:color="auto" w:sz="4" w:space="0"/>
              <w:left w:val="single" w:color="auto" w:sz="4" w:space="0"/>
              <w:bottom w:val="single" w:color="auto" w:sz="4" w:space="0"/>
              <w:right w:val="single" w:color="auto" w:sz="4" w:space="0"/>
            </w:tcBorders>
            <w:noWrap w:val="0"/>
            <w:vAlign w:val="center"/>
          </w:tcPr>
          <w:p w14:paraId="099A7E45">
            <w:pPr>
              <w:tabs>
                <w:tab w:val="left" w:pos="480"/>
              </w:tabs>
              <w:spacing w:line="360" w:lineRule="auto"/>
              <w:jc w:val="center"/>
              <w:rPr>
                <w:rFonts w:ascii="宋体" w:hAnsi="宋体" w:cs="宋体"/>
                <w:color w:val="auto"/>
                <w:sz w:val="24"/>
              </w:rPr>
            </w:pPr>
            <w:r>
              <w:rPr>
                <w:rFonts w:hint="eastAsia" w:ascii="宋体" w:hAnsi="宋体" w:cs="宋体"/>
                <w:color w:val="auto"/>
                <w:sz w:val="24"/>
              </w:rPr>
              <w:t>数量</w:t>
            </w:r>
          </w:p>
        </w:tc>
        <w:tc>
          <w:tcPr>
            <w:tcW w:w="1027" w:type="dxa"/>
            <w:tcBorders>
              <w:top w:val="single" w:color="auto" w:sz="4" w:space="0"/>
              <w:left w:val="single" w:color="auto" w:sz="4" w:space="0"/>
              <w:bottom w:val="single" w:color="auto" w:sz="4" w:space="0"/>
              <w:right w:val="single" w:color="auto" w:sz="4" w:space="0"/>
            </w:tcBorders>
            <w:noWrap w:val="0"/>
            <w:vAlign w:val="center"/>
          </w:tcPr>
          <w:p w14:paraId="747CB757">
            <w:pPr>
              <w:tabs>
                <w:tab w:val="left" w:pos="480"/>
              </w:tabs>
              <w:spacing w:line="360" w:lineRule="auto"/>
              <w:jc w:val="center"/>
              <w:rPr>
                <w:rFonts w:ascii="宋体" w:hAnsi="宋体" w:cs="宋体"/>
                <w:color w:val="auto"/>
                <w:sz w:val="24"/>
              </w:rPr>
            </w:pPr>
            <w:r>
              <w:rPr>
                <w:rFonts w:hint="eastAsia" w:ascii="宋体" w:hAnsi="宋体" w:cs="宋体"/>
                <w:color w:val="auto"/>
                <w:sz w:val="24"/>
              </w:rPr>
              <w:t>单价</w:t>
            </w:r>
          </w:p>
          <w:p w14:paraId="241649E3">
            <w:pPr>
              <w:tabs>
                <w:tab w:val="left" w:pos="480"/>
              </w:tabs>
              <w:spacing w:line="360" w:lineRule="auto"/>
              <w:jc w:val="center"/>
              <w:rPr>
                <w:rFonts w:ascii="宋体" w:hAnsi="宋体" w:cs="宋体"/>
                <w:color w:val="auto"/>
                <w:sz w:val="24"/>
              </w:rPr>
            </w:pPr>
            <w:r>
              <w:rPr>
                <w:rFonts w:hint="eastAsia" w:ascii="宋体" w:hAnsi="宋体" w:cs="宋体"/>
                <w:color w:val="auto"/>
                <w:sz w:val="24"/>
              </w:rPr>
              <w:t>（元）</w:t>
            </w:r>
          </w:p>
        </w:tc>
        <w:tc>
          <w:tcPr>
            <w:tcW w:w="1027" w:type="dxa"/>
            <w:tcBorders>
              <w:top w:val="single" w:color="auto" w:sz="4" w:space="0"/>
              <w:left w:val="single" w:color="auto" w:sz="4" w:space="0"/>
              <w:bottom w:val="single" w:color="auto" w:sz="4" w:space="0"/>
              <w:right w:val="single" w:color="auto" w:sz="4" w:space="0"/>
            </w:tcBorders>
            <w:noWrap w:val="0"/>
            <w:vAlign w:val="center"/>
          </w:tcPr>
          <w:p w14:paraId="098DA5B4">
            <w:pPr>
              <w:tabs>
                <w:tab w:val="left" w:pos="480"/>
              </w:tabs>
              <w:spacing w:line="360" w:lineRule="auto"/>
              <w:jc w:val="center"/>
              <w:rPr>
                <w:rFonts w:ascii="宋体" w:hAnsi="宋体" w:cs="宋体"/>
                <w:color w:val="auto"/>
                <w:sz w:val="24"/>
              </w:rPr>
            </w:pPr>
            <w:r>
              <w:rPr>
                <w:rFonts w:hint="eastAsia" w:ascii="宋体" w:hAnsi="宋体" w:cs="宋体"/>
                <w:color w:val="auto"/>
                <w:sz w:val="24"/>
              </w:rPr>
              <w:t>总价</w:t>
            </w:r>
          </w:p>
          <w:p w14:paraId="674E592C">
            <w:pPr>
              <w:tabs>
                <w:tab w:val="left" w:pos="480"/>
              </w:tabs>
              <w:spacing w:line="360" w:lineRule="auto"/>
              <w:jc w:val="center"/>
              <w:rPr>
                <w:rFonts w:ascii="宋体" w:hAnsi="宋体" w:cs="宋体"/>
                <w:color w:val="auto"/>
                <w:sz w:val="24"/>
              </w:rPr>
            </w:pPr>
            <w:r>
              <w:rPr>
                <w:rFonts w:hint="eastAsia" w:ascii="宋体" w:hAnsi="宋体" w:cs="宋体"/>
                <w:color w:val="auto"/>
                <w:sz w:val="24"/>
              </w:rPr>
              <w:t>（元）</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5F4FA8CE">
            <w:pPr>
              <w:tabs>
                <w:tab w:val="left" w:pos="480"/>
              </w:tabs>
              <w:spacing w:line="360" w:lineRule="auto"/>
              <w:rPr>
                <w:rFonts w:ascii="宋体" w:hAnsi="宋体" w:cs="宋体"/>
                <w:color w:val="auto"/>
                <w:sz w:val="24"/>
              </w:rPr>
            </w:pPr>
            <w:r>
              <w:rPr>
                <w:rFonts w:hint="eastAsia" w:ascii="宋体" w:hAnsi="宋体" w:cs="宋体"/>
                <w:color w:val="auto"/>
                <w:sz w:val="24"/>
              </w:rPr>
              <w:t>质保期（年）</w:t>
            </w:r>
          </w:p>
        </w:tc>
      </w:tr>
      <w:tr w14:paraId="41843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498" w:type="dxa"/>
            <w:tcBorders>
              <w:top w:val="single" w:color="auto" w:sz="4" w:space="0"/>
              <w:left w:val="single" w:color="auto" w:sz="4" w:space="0"/>
              <w:bottom w:val="single" w:color="auto" w:sz="4" w:space="0"/>
              <w:right w:val="single" w:color="auto" w:sz="4" w:space="0"/>
            </w:tcBorders>
            <w:noWrap w:val="0"/>
            <w:vAlign w:val="center"/>
          </w:tcPr>
          <w:p w14:paraId="64A429F1">
            <w:pPr>
              <w:tabs>
                <w:tab w:val="left" w:pos="480"/>
              </w:tabs>
              <w:spacing w:line="360" w:lineRule="auto"/>
              <w:jc w:val="center"/>
              <w:rPr>
                <w:rFonts w:ascii="宋体" w:hAnsi="宋体" w:cs="宋体"/>
                <w:color w:val="auto"/>
                <w:sz w:val="24"/>
              </w:rPr>
            </w:pPr>
            <w:r>
              <w:rPr>
                <w:rFonts w:hint="eastAsia" w:ascii="宋体" w:hAnsi="宋体" w:cs="宋体"/>
                <w:color w:val="auto"/>
                <w:sz w:val="24"/>
              </w:rPr>
              <w:t>1</w:t>
            </w:r>
          </w:p>
        </w:tc>
        <w:tc>
          <w:tcPr>
            <w:tcW w:w="1168" w:type="dxa"/>
            <w:tcBorders>
              <w:top w:val="single" w:color="auto" w:sz="4" w:space="0"/>
              <w:left w:val="single" w:color="auto" w:sz="4" w:space="0"/>
              <w:bottom w:val="single" w:color="auto" w:sz="4" w:space="0"/>
              <w:right w:val="single" w:color="auto" w:sz="4" w:space="0"/>
            </w:tcBorders>
            <w:noWrap w:val="0"/>
            <w:vAlign w:val="center"/>
          </w:tcPr>
          <w:p w14:paraId="46DABF29">
            <w:pPr>
              <w:tabs>
                <w:tab w:val="left" w:pos="480"/>
              </w:tabs>
              <w:spacing w:line="360" w:lineRule="auto"/>
              <w:rPr>
                <w:rFonts w:ascii="宋体" w:hAnsi="宋体" w:cs="宋体"/>
                <w:color w:val="auto"/>
                <w:sz w:val="24"/>
              </w:rPr>
            </w:pPr>
          </w:p>
        </w:tc>
        <w:tc>
          <w:tcPr>
            <w:tcW w:w="1285" w:type="dxa"/>
            <w:tcBorders>
              <w:top w:val="single" w:color="auto" w:sz="4" w:space="0"/>
              <w:left w:val="single" w:color="auto" w:sz="4" w:space="0"/>
              <w:bottom w:val="single" w:color="auto" w:sz="4" w:space="0"/>
              <w:right w:val="single" w:color="auto" w:sz="4" w:space="0"/>
            </w:tcBorders>
            <w:noWrap w:val="0"/>
            <w:vAlign w:val="center"/>
          </w:tcPr>
          <w:p w14:paraId="754019AB">
            <w:pPr>
              <w:tabs>
                <w:tab w:val="left" w:pos="480"/>
              </w:tabs>
              <w:spacing w:line="360" w:lineRule="auto"/>
              <w:rPr>
                <w:rFonts w:ascii="宋体" w:hAnsi="宋体" w:cs="宋体"/>
                <w:color w:val="auto"/>
                <w:sz w:val="24"/>
              </w:rPr>
            </w:pPr>
          </w:p>
        </w:tc>
        <w:tc>
          <w:tcPr>
            <w:tcW w:w="1543" w:type="dxa"/>
            <w:tcBorders>
              <w:top w:val="single" w:color="auto" w:sz="4" w:space="0"/>
              <w:left w:val="single" w:color="auto" w:sz="4" w:space="0"/>
              <w:bottom w:val="single" w:color="auto" w:sz="4" w:space="0"/>
              <w:right w:val="single" w:color="auto" w:sz="4" w:space="0"/>
            </w:tcBorders>
            <w:noWrap w:val="0"/>
            <w:vAlign w:val="center"/>
          </w:tcPr>
          <w:p w14:paraId="26BDD684">
            <w:pPr>
              <w:tabs>
                <w:tab w:val="left" w:pos="480"/>
              </w:tabs>
              <w:spacing w:line="360" w:lineRule="auto"/>
              <w:jc w:val="center"/>
              <w:rPr>
                <w:rFonts w:ascii="宋体" w:hAnsi="宋体" w:cs="宋体"/>
                <w:color w:val="auto"/>
                <w:sz w:val="24"/>
              </w:rPr>
            </w:pPr>
          </w:p>
        </w:tc>
        <w:tc>
          <w:tcPr>
            <w:tcW w:w="1027" w:type="dxa"/>
            <w:tcBorders>
              <w:top w:val="single" w:color="auto" w:sz="4" w:space="0"/>
              <w:left w:val="single" w:color="auto" w:sz="4" w:space="0"/>
              <w:bottom w:val="single" w:color="auto" w:sz="4" w:space="0"/>
              <w:right w:val="single" w:color="auto" w:sz="4" w:space="0"/>
            </w:tcBorders>
            <w:noWrap w:val="0"/>
            <w:vAlign w:val="center"/>
          </w:tcPr>
          <w:p w14:paraId="3ACAB5DC">
            <w:pPr>
              <w:tabs>
                <w:tab w:val="left" w:pos="480"/>
              </w:tabs>
              <w:spacing w:line="360" w:lineRule="auto"/>
              <w:jc w:val="center"/>
              <w:rPr>
                <w:rFonts w:ascii="宋体" w:hAnsi="宋体" w:cs="宋体"/>
                <w:color w:val="auto"/>
                <w:sz w:val="24"/>
              </w:rPr>
            </w:pPr>
          </w:p>
        </w:tc>
        <w:tc>
          <w:tcPr>
            <w:tcW w:w="769" w:type="dxa"/>
            <w:tcBorders>
              <w:top w:val="single" w:color="auto" w:sz="4" w:space="0"/>
              <w:left w:val="single" w:color="auto" w:sz="4" w:space="0"/>
              <w:bottom w:val="single" w:color="auto" w:sz="4" w:space="0"/>
              <w:right w:val="single" w:color="auto" w:sz="4" w:space="0"/>
            </w:tcBorders>
            <w:noWrap w:val="0"/>
            <w:vAlign w:val="center"/>
          </w:tcPr>
          <w:p w14:paraId="2E42529E">
            <w:pPr>
              <w:tabs>
                <w:tab w:val="left" w:pos="480"/>
              </w:tabs>
              <w:spacing w:line="360" w:lineRule="auto"/>
              <w:jc w:val="center"/>
              <w:rPr>
                <w:rFonts w:ascii="宋体" w:hAnsi="宋体" w:cs="宋体"/>
                <w:color w:val="auto"/>
                <w:sz w:val="24"/>
              </w:rPr>
            </w:pPr>
          </w:p>
        </w:tc>
        <w:tc>
          <w:tcPr>
            <w:tcW w:w="1027" w:type="dxa"/>
            <w:tcBorders>
              <w:top w:val="single" w:color="auto" w:sz="4" w:space="0"/>
              <w:left w:val="single" w:color="auto" w:sz="4" w:space="0"/>
              <w:bottom w:val="single" w:color="auto" w:sz="4" w:space="0"/>
              <w:right w:val="single" w:color="auto" w:sz="4" w:space="0"/>
            </w:tcBorders>
            <w:noWrap w:val="0"/>
            <w:vAlign w:val="center"/>
          </w:tcPr>
          <w:p w14:paraId="55F2C7AF">
            <w:pPr>
              <w:tabs>
                <w:tab w:val="left" w:pos="480"/>
              </w:tabs>
              <w:spacing w:line="360" w:lineRule="auto"/>
              <w:jc w:val="center"/>
              <w:rPr>
                <w:rFonts w:ascii="宋体" w:hAnsi="宋体" w:cs="宋体"/>
                <w:color w:val="auto"/>
                <w:sz w:val="24"/>
              </w:rPr>
            </w:pPr>
          </w:p>
        </w:tc>
        <w:tc>
          <w:tcPr>
            <w:tcW w:w="1027" w:type="dxa"/>
            <w:tcBorders>
              <w:top w:val="single" w:color="auto" w:sz="4" w:space="0"/>
              <w:left w:val="single" w:color="auto" w:sz="4" w:space="0"/>
              <w:bottom w:val="single" w:color="auto" w:sz="4" w:space="0"/>
              <w:right w:val="single" w:color="auto" w:sz="4" w:space="0"/>
            </w:tcBorders>
            <w:noWrap w:val="0"/>
            <w:vAlign w:val="center"/>
          </w:tcPr>
          <w:p w14:paraId="7E274E04">
            <w:pPr>
              <w:tabs>
                <w:tab w:val="left" w:pos="480"/>
              </w:tabs>
              <w:spacing w:line="360" w:lineRule="auto"/>
              <w:jc w:val="center"/>
              <w:rPr>
                <w:rFonts w:ascii="宋体" w:hAnsi="宋体" w:cs="宋体"/>
                <w:color w:val="auto"/>
                <w:sz w:val="24"/>
              </w:rPr>
            </w:pPr>
          </w:p>
        </w:tc>
        <w:tc>
          <w:tcPr>
            <w:tcW w:w="936" w:type="dxa"/>
            <w:tcBorders>
              <w:top w:val="single" w:color="auto" w:sz="4" w:space="0"/>
              <w:left w:val="single" w:color="auto" w:sz="4" w:space="0"/>
              <w:bottom w:val="single" w:color="auto" w:sz="4" w:space="0"/>
              <w:right w:val="single" w:color="auto" w:sz="4" w:space="0"/>
            </w:tcBorders>
            <w:noWrap w:val="0"/>
            <w:vAlign w:val="center"/>
          </w:tcPr>
          <w:p w14:paraId="16AABD57">
            <w:pPr>
              <w:tabs>
                <w:tab w:val="left" w:pos="480"/>
              </w:tabs>
              <w:spacing w:line="360" w:lineRule="auto"/>
              <w:jc w:val="center"/>
              <w:rPr>
                <w:rFonts w:ascii="宋体" w:hAnsi="宋体" w:cs="宋体"/>
                <w:color w:val="auto"/>
                <w:sz w:val="24"/>
              </w:rPr>
            </w:pPr>
          </w:p>
        </w:tc>
      </w:tr>
      <w:tr w14:paraId="1FE3F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498" w:type="dxa"/>
            <w:tcBorders>
              <w:top w:val="single" w:color="auto" w:sz="4" w:space="0"/>
              <w:left w:val="single" w:color="auto" w:sz="4" w:space="0"/>
              <w:bottom w:val="single" w:color="auto" w:sz="4" w:space="0"/>
              <w:right w:val="single" w:color="auto" w:sz="4" w:space="0"/>
            </w:tcBorders>
            <w:noWrap w:val="0"/>
            <w:vAlign w:val="center"/>
          </w:tcPr>
          <w:p w14:paraId="22EB51B7">
            <w:pPr>
              <w:tabs>
                <w:tab w:val="left" w:pos="480"/>
              </w:tabs>
              <w:spacing w:line="360" w:lineRule="auto"/>
              <w:jc w:val="center"/>
              <w:rPr>
                <w:rFonts w:ascii="宋体" w:hAnsi="宋体" w:cs="宋体"/>
                <w:color w:val="auto"/>
                <w:sz w:val="24"/>
              </w:rPr>
            </w:pPr>
            <w:r>
              <w:rPr>
                <w:rFonts w:hint="eastAsia" w:ascii="宋体" w:hAnsi="宋体" w:cs="宋体"/>
                <w:color w:val="auto"/>
                <w:sz w:val="24"/>
              </w:rPr>
              <w:t>2</w:t>
            </w:r>
          </w:p>
        </w:tc>
        <w:tc>
          <w:tcPr>
            <w:tcW w:w="1168" w:type="dxa"/>
            <w:tcBorders>
              <w:top w:val="single" w:color="auto" w:sz="4" w:space="0"/>
              <w:left w:val="single" w:color="auto" w:sz="4" w:space="0"/>
              <w:bottom w:val="single" w:color="auto" w:sz="4" w:space="0"/>
              <w:right w:val="single" w:color="auto" w:sz="4" w:space="0"/>
            </w:tcBorders>
            <w:noWrap w:val="0"/>
            <w:vAlign w:val="center"/>
          </w:tcPr>
          <w:p w14:paraId="201B640A">
            <w:pPr>
              <w:tabs>
                <w:tab w:val="left" w:pos="480"/>
              </w:tabs>
              <w:spacing w:line="360" w:lineRule="auto"/>
              <w:rPr>
                <w:rFonts w:ascii="宋体" w:hAnsi="宋体" w:cs="宋体"/>
                <w:color w:val="auto"/>
                <w:sz w:val="24"/>
              </w:rPr>
            </w:pPr>
          </w:p>
        </w:tc>
        <w:tc>
          <w:tcPr>
            <w:tcW w:w="1285" w:type="dxa"/>
            <w:tcBorders>
              <w:top w:val="single" w:color="auto" w:sz="4" w:space="0"/>
              <w:left w:val="single" w:color="auto" w:sz="4" w:space="0"/>
              <w:bottom w:val="single" w:color="auto" w:sz="4" w:space="0"/>
              <w:right w:val="single" w:color="auto" w:sz="4" w:space="0"/>
            </w:tcBorders>
            <w:noWrap w:val="0"/>
            <w:vAlign w:val="center"/>
          </w:tcPr>
          <w:p w14:paraId="1B06B4C7">
            <w:pPr>
              <w:tabs>
                <w:tab w:val="left" w:pos="480"/>
              </w:tabs>
              <w:spacing w:line="360" w:lineRule="auto"/>
              <w:rPr>
                <w:rFonts w:ascii="宋体" w:hAnsi="宋体" w:cs="宋体"/>
                <w:color w:val="auto"/>
                <w:sz w:val="24"/>
              </w:rPr>
            </w:pPr>
          </w:p>
        </w:tc>
        <w:tc>
          <w:tcPr>
            <w:tcW w:w="1543" w:type="dxa"/>
            <w:tcBorders>
              <w:top w:val="single" w:color="auto" w:sz="4" w:space="0"/>
              <w:left w:val="single" w:color="auto" w:sz="4" w:space="0"/>
              <w:bottom w:val="single" w:color="auto" w:sz="4" w:space="0"/>
              <w:right w:val="single" w:color="auto" w:sz="4" w:space="0"/>
            </w:tcBorders>
            <w:noWrap w:val="0"/>
            <w:vAlign w:val="center"/>
          </w:tcPr>
          <w:p w14:paraId="1A87CF23">
            <w:pPr>
              <w:tabs>
                <w:tab w:val="left" w:pos="480"/>
              </w:tabs>
              <w:spacing w:line="360" w:lineRule="auto"/>
              <w:jc w:val="center"/>
              <w:rPr>
                <w:rFonts w:ascii="宋体" w:hAnsi="宋体" w:cs="宋体"/>
                <w:color w:val="auto"/>
                <w:sz w:val="24"/>
              </w:rPr>
            </w:pPr>
          </w:p>
        </w:tc>
        <w:tc>
          <w:tcPr>
            <w:tcW w:w="1027" w:type="dxa"/>
            <w:tcBorders>
              <w:top w:val="single" w:color="auto" w:sz="4" w:space="0"/>
              <w:left w:val="single" w:color="auto" w:sz="4" w:space="0"/>
              <w:bottom w:val="single" w:color="auto" w:sz="4" w:space="0"/>
              <w:right w:val="single" w:color="auto" w:sz="4" w:space="0"/>
            </w:tcBorders>
            <w:noWrap w:val="0"/>
            <w:vAlign w:val="center"/>
          </w:tcPr>
          <w:p w14:paraId="1634DBD6">
            <w:pPr>
              <w:tabs>
                <w:tab w:val="left" w:pos="480"/>
              </w:tabs>
              <w:spacing w:line="360" w:lineRule="auto"/>
              <w:jc w:val="center"/>
              <w:rPr>
                <w:rFonts w:ascii="宋体" w:hAnsi="宋体" w:cs="宋体"/>
                <w:color w:val="auto"/>
                <w:sz w:val="24"/>
              </w:rPr>
            </w:pPr>
          </w:p>
        </w:tc>
        <w:tc>
          <w:tcPr>
            <w:tcW w:w="769" w:type="dxa"/>
            <w:tcBorders>
              <w:top w:val="single" w:color="auto" w:sz="4" w:space="0"/>
              <w:left w:val="single" w:color="auto" w:sz="4" w:space="0"/>
              <w:bottom w:val="single" w:color="auto" w:sz="4" w:space="0"/>
              <w:right w:val="single" w:color="auto" w:sz="4" w:space="0"/>
            </w:tcBorders>
            <w:noWrap w:val="0"/>
            <w:vAlign w:val="center"/>
          </w:tcPr>
          <w:p w14:paraId="0FC5AC7F">
            <w:pPr>
              <w:tabs>
                <w:tab w:val="left" w:pos="480"/>
              </w:tabs>
              <w:spacing w:line="360" w:lineRule="auto"/>
              <w:jc w:val="center"/>
              <w:rPr>
                <w:rFonts w:ascii="宋体" w:hAnsi="宋体" w:cs="宋体"/>
                <w:color w:val="auto"/>
                <w:sz w:val="24"/>
              </w:rPr>
            </w:pPr>
          </w:p>
        </w:tc>
        <w:tc>
          <w:tcPr>
            <w:tcW w:w="1027" w:type="dxa"/>
            <w:tcBorders>
              <w:top w:val="single" w:color="auto" w:sz="4" w:space="0"/>
              <w:left w:val="single" w:color="auto" w:sz="4" w:space="0"/>
              <w:bottom w:val="single" w:color="auto" w:sz="4" w:space="0"/>
              <w:right w:val="single" w:color="auto" w:sz="4" w:space="0"/>
            </w:tcBorders>
            <w:noWrap w:val="0"/>
            <w:vAlign w:val="center"/>
          </w:tcPr>
          <w:p w14:paraId="5E6C12AF">
            <w:pPr>
              <w:tabs>
                <w:tab w:val="left" w:pos="480"/>
              </w:tabs>
              <w:spacing w:line="360" w:lineRule="auto"/>
              <w:jc w:val="center"/>
              <w:rPr>
                <w:rFonts w:ascii="宋体" w:hAnsi="宋体" w:cs="宋体"/>
                <w:color w:val="auto"/>
                <w:sz w:val="24"/>
              </w:rPr>
            </w:pPr>
          </w:p>
        </w:tc>
        <w:tc>
          <w:tcPr>
            <w:tcW w:w="1027" w:type="dxa"/>
            <w:tcBorders>
              <w:top w:val="single" w:color="auto" w:sz="4" w:space="0"/>
              <w:left w:val="single" w:color="auto" w:sz="4" w:space="0"/>
              <w:bottom w:val="single" w:color="auto" w:sz="4" w:space="0"/>
              <w:right w:val="single" w:color="auto" w:sz="4" w:space="0"/>
            </w:tcBorders>
            <w:noWrap w:val="0"/>
            <w:vAlign w:val="center"/>
          </w:tcPr>
          <w:p w14:paraId="2331D7CD">
            <w:pPr>
              <w:tabs>
                <w:tab w:val="left" w:pos="480"/>
              </w:tabs>
              <w:spacing w:line="360" w:lineRule="auto"/>
              <w:jc w:val="center"/>
              <w:rPr>
                <w:rFonts w:ascii="宋体" w:hAnsi="宋体" w:cs="宋体"/>
                <w:color w:val="auto"/>
                <w:sz w:val="24"/>
              </w:rPr>
            </w:pPr>
          </w:p>
        </w:tc>
        <w:tc>
          <w:tcPr>
            <w:tcW w:w="936" w:type="dxa"/>
            <w:tcBorders>
              <w:top w:val="single" w:color="auto" w:sz="4" w:space="0"/>
              <w:left w:val="single" w:color="auto" w:sz="4" w:space="0"/>
              <w:bottom w:val="single" w:color="auto" w:sz="4" w:space="0"/>
              <w:right w:val="single" w:color="auto" w:sz="4" w:space="0"/>
            </w:tcBorders>
            <w:noWrap w:val="0"/>
            <w:vAlign w:val="center"/>
          </w:tcPr>
          <w:p w14:paraId="3A1213CD">
            <w:pPr>
              <w:tabs>
                <w:tab w:val="left" w:pos="480"/>
              </w:tabs>
              <w:spacing w:line="360" w:lineRule="auto"/>
              <w:jc w:val="center"/>
              <w:rPr>
                <w:rFonts w:ascii="宋体" w:hAnsi="宋体" w:cs="宋体"/>
                <w:color w:val="auto"/>
                <w:sz w:val="24"/>
              </w:rPr>
            </w:pPr>
          </w:p>
        </w:tc>
      </w:tr>
      <w:tr w14:paraId="186A4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498" w:type="dxa"/>
            <w:tcBorders>
              <w:top w:val="single" w:color="auto" w:sz="4" w:space="0"/>
              <w:left w:val="single" w:color="auto" w:sz="4" w:space="0"/>
              <w:bottom w:val="single" w:color="auto" w:sz="4" w:space="0"/>
              <w:right w:val="single" w:color="auto" w:sz="4" w:space="0"/>
            </w:tcBorders>
            <w:noWrap w:val="0"/>
            <w:vAlign w:val="center"/>
          </w:tcPr>
          <w:p w14:paraId="3B88E642">
            <w:pPr>
              <w:tabs>
                <w:tab w:val="left" w:pos="480"/>
              </w:tabs>
              <w:spacing w:line="360" w:lineRule="auto"/>
              <w:jc w:val="center"/>
              <w:rPr>
                <w:rFonts w:ascii="宋体" w:hAnsi="宋体" w:cs="宋体"/>
                <w:color w:val="auto"/>
                <w:sz w:val="24"/>
              </w:rPr>
            </w:pPr>
            <w:r>
              <w:rPr>
                <w:rFonts w:hint="eastAsia" w:ascii="宋体" w:hAnsi="宋体" w:cs="宋体"/>
                <w:color w:val="auto"/>
                <w:sz w:val="24"/>
              </w:rPr>
              <w:t>3</w:t>
            </w:r>
          </w:p>
        </w:tc>
        <w:tc>
          <w:tcPr>
            <w:tcW w:w="1168" w:type="dxa"/>
            <w:tcBorders>
              <w:top w:val="single" w:color="auto" w:sz="4" w:space="0"/>
              <w:left w:val="single" w:color="auto" w:sz="4" w:space="0"/>
              <w:bottom w:val="single" w:color="auto" w:sz="4" w:space="0"/>
              <w:right w:val="single" w:color="auto" w:sz="4" w:space="0"/>
            </w:tcBorders>
            <w:noWrap w:val="0"/>
            <w:vAlign w:val="center"/>
          </w:tcPr>
          <w:p w14:paraId="306FF0A9">
            <w:pPr>
              <w:tabs>
                <w:tab w:val="left" w:pos="480"/>
              </w:tabs>
              <w:spacing w:line="360" w:lineRule="auto"/>
              <w:rPr>
                <w:rFonts w:ascii="宋体" w:hAnsi="宋体" w:cs="宋体"/>
                <w:color w:val="auto"/>
                <w:sz w:val="24"/>
              </w:rPr>
            </w:pPr>
          </w:p>
        </w:tc>
        <w:tc>
          <w:tcPr>
            <w:tcW w:w="1285" w:type="dxa"/>
            <w:tcBorders>
              <w:top w:val="single" w:color="auto" w:sz="4" w:space="0"/>
              <w:left w:val="single" w:color="auto" w:sz="4" w:space="0"/>
              <w:bottom w:val="single" w:color="auto" w:sz="4" w:space="0"/>
              <w:right w:val="single" w:color="auto" w:sz="4" w:space="0"/>
            </w:tcBorders>
            <w:noWrap w:val="0"/>
            <w:vAlign w:val="center"/>
          </w:tcPr>
          <w:p w14:paraId="63CC7469">
            <w:pPr>
              <w:tabs>
                <w:tab w:val="left" w:pos="480"/>
              </w:tabs>
              <w:spacing w:line="360" w:lineRule="auto"/>
              <w:rPr>
                <w:rFonts w:ascii="宋体" w:hAnsi="宋体" w:cs="宋体"/>
                <w:color w:val="auto"/>
                <w:sz w:val="24"/>
              </w:rPr>
            </w:pPr>
          </w:p>
        </w:tc>
        <w:tc>
          <w:tcPr>
            <w:tcW w:w="1543" w:type="dxa"/>
            <w:tcBorders>
              <w:top w:val="single" w:color="auto" w:sz="4" w:space="0"/>
              <w:left w:val="single" w:color="auto" w:sz="4" w:space="0"/>
              <w:bottom w:val="single" w:color="auto" w:sz="4" w:space="0"/>
              <w:right w:val="single" w:color="auto" w:sz="4" w:space="0"/>
            </w:tcBorders>
            <w:noWrap w:val="0"/>
            <w:vAlign w:val="center"/>
          </w:tcPr>
          <w:p w14:paraId="5858B979">
            <w:pPr>
              <w:tabs>
                <w:tab w:val="left" w:pos="480"/>
              </w:tabs>
              <w:spacing w:line="360" w:lineRule="auto"/>
              <w:jc w:val="center"/>
              <w:rPr>
                <w:rFonts w:ascii="宋体" w:hAnsi="宋体" w:cs="宋体"/>
                <w:color w:val="auto"/>
                <w:sz w:val="24"/>
              </w:rPr>
            </w:pPr>
          </w:p>
        </w:tc>
        <w:tc>
          <w:tcPr>
            <w:tcW w:w="1027" w:type="dxa"/>
            <w:tcBorders>
              <w:top w:val="single" w:color="auto" w:sz="4" w:space="0"/>
              <w:left w:val="single" w:color="auto" w:sz="4" w:space="0"/>
              <w:bottom w:val="single" w:color="auto" w:sz="4" w:space="0"/>
              <w:right w:val="single" w:color="auto" w:sz="4" w:space="0"/>
            </w:tcBorders>
            <w:noWrap w:val="0"/>
            <w:vAlign w:val="center"/>
          </w:tcPr>
          <w:p w14:paraId="370D92CB">
            <w:pPr>
              <w:tabs>
                <w:tab w:val="left" w:pos="480"/>
              </w:tabs>
              <w:spacing w:line="360" w:lineRule="auto"/>
              <w:jc w:val="center"/>
              <w:rPr>
                <w:rFonts w:ascii="宋体" w:hAnsi="宋体" w:cs="宋体"/>
                <w:color w:val="auto"/>
                <w:sz w:val="24"/>
              </w:rPr>
            </w:pPr>
          </w:p>
        </w:tc>
        <w:tc>
          <w:tcPr>
            <w:tcW w:w="769" w:type="dxa"/>
            <w:tcBorders>
              <w:top w:val="single" w:color="auto" w:sz="4" w:space="0"/>
              <w:left w:val="single" w:color="auto" w:sz="4" w:space="0"/>
              <w:bottom w:val="single" w:color="auto" w:sz="4" w:space="0"/>
              <w:right w:val="single" w:color="auto" w:sz="4" w:space="0"/>
            </w:tcBorders>
            <w:noWrap w:val="0"/>
            <w:vAlign w:val="center"/>
          </w:tcPr>
          <w:p w14:paraId="2B6893D0">
            <w:pPr>
              <w:tabs>
                <w:tab w:val="left" w:pos="480"/>
              </w:tabs>
              <w:spacing w:line="360" w:lineRule="auto"/>
              <w:jc w:val="center"/>
              <w:rPr>
                <w:rFonts w:ascii="宋体" w:hAnsi="宋体" w:cs="宋体"/>
                <w:color w:val="auto"/>
                <w:sz w:val="24"/>
              </w:rPr>
            </w:pPr>
          </w:p>
        </w:tc>
        <w:tc>
          <w:tcPr>
            <w:tcW w:w="1027" w:type="dxa"/>
            <w:tcBorders>
              <w:top w:val="single" w:color="auto" w:sz="4" w:space="0"/>
              <w:left w:val="single" w:color="auto" w:sz="4" w:space="0"/>
              <w:bottom w:val="single" w:color="auto" w:sz="4" w:space="0"/>
              <w:right w:val="single" w:color="auto" w:sz="4" w:space="0"/>
            </w:tcBorders>
            <w:noWrap w:val="0"/>
            <w:vAlign w:val="center"/>
          </w:tcPr>
          <w:p w14:paraId="35603585">
            <w:pPr>
              <w:tabs>
                <w:tab w:val="left" w:pos="480"/>
              </w:tabs>
              <w:spacing w:line="360" w:lineRule="auto"/>
              <w:jc w:val="center"/>
              <w:rPr>
                <w:rFonts w:ascii="宋体" w:hAnsi="宋体" w:cs="宋体"/>
                <w:color w:val="auto"/>
                <w:sz w:val="24"/>
              </w:rPr>
            </w:pPr>
          </w:p>
        </w:tc>
        <w:tc>
          <w:tcPr>
            <w:tcW w:w="1027" w:type="dxa"/>
            <w:tcBorders>
              <w:top w:val="single" w:color="auto" w:sz="4" w:space="0"/>
              <w:left w:val="single" w:color="auto" w:sz="4" w:space="0"/>
              <w:bottom w:val="single" w:color="auto" w:sz="4" w:space="0"/>
              <w:right w:val="single" w:color="auto" w:sz="4" w:space="0"/>
            </w:tcBorders>
            <w:noWrap w:val="0"/>
            <w:vAlign w:val="center"/>
          </w:tcPr>
          <w:p w14:paraId="7212C383">
            <w:pPr>
              <w:tabs>
                <w:tab w:val="left" w:pos="480"/>
              </w:tabs>
              <w:spacing w:line="360" w:lineRule="auto"/>
              <w:jc w:val="center"/>
              <w:rPr>
                <w:rFonts w:ascii="宋体" w:hAnsi="宋体" w:cs="宋体"/>
                <w:color w:val="auto"/>
                <w:sz w:val="24"/>
              </w:rPr>
            </w:pPr>
          </w:p>
        </w:tc>
        <w:tc>
          <w:tcPr>
            <w:tcW w:w="936" w:type="dxa"/>
            <w:tcBorders>
              <w:top w:val="single" w:color="auto" w:sz="4" w:space="0"/>
              <w:left w:val="single" w:color="auto" w:sz="4" w:space="0"/>
              <w:bottom w:val="single" w:color="auto" w:sz="4" w:space="0"/>
              <w:right w:val="single" w:color="auto" w:sz="4" w:space="0"/>
            </w:tcBorders>
            <w:noWrap w:val="0"/>
            <w:vAlign w:val="center"/>
          </w:tcPr>
          <w:p w14:paraId="7811C245">
            <w:pPr>
              <w:tabs>
                <w:tab w:val="left" w:pos="480"/>
              </w:tabs>
              <w:spacing w:line="360" w:lineRule="auto"/>
              <w:jc w:val="center"/>
              <w:rPr>
                <w:rFonts w:ascii="宋体" w:hAnsi="宋体" w:cs="宋体"/>
                <w:color w:val="auto"/>
                <w:sz w:val="24"/>
              </w:rPr>
            </w:pPr>
          </w:p>
        </w:tc>
      </w:tr>
      <w:tr w14:paraId="0657A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9280" w:type="dxa"/>
            <w:gridSpan w:val="9"/>
            <w:tcBorders>
              <w:top w:val="single" w:color="auto" w:sz="4" w:space="0"/>
              <w:left w:val="single" w:color="auto" w:sz="4" w:space="0"/>
              <w:bottom w:val="single" w:color="auto" w:sz="4" w:space="0"/>
              <w:right w:val="single" w:color="auto" w:sz="4" w:space="0"/>
            </w:tcBorders>
            <w:noWrap w:val="0"/>
            <w:vAlign w:val="top"/>
          </w:tcPr>
          <w:p w14:paraId="2974F954">
            <w:pPr>
              <w:tabs>
                <w:tab w:val="left" w:pos="480"/>
              </w:tabs>
              <w:spacing w:line="360" w:lineRule="auto"/>
              <w:jc w:val="left"/>
              <w:rPr>
                <w:rFonts w:ascii="宋体" w:hAnsi="宋体" w:cs="宋体"/>
                <w:color w:val="auto"/>
                <w:sz w:val="24"/>
              </w:rPr>
            </w:pPr>
            <w:r>
              <w:rPr>
                <w:rFonts w:hint="eastAsia" w:ascii="宋体" w:hAnsi="宋体" w:cs="宋体"/>
                <w:color w:val="auto"/>
                <w:sz w:val="28"/>
                <w:szCs w:val="28"/>
              </w:rPr>
              <w:t>货物价款合计（大写）：</w:t>
            </w:r>
            <w:r>
              <w:rPr>
                <w:rFonts w:hint="eastAsia" w:ascii="宋体" w:hAnsi="宋体" w:cs="宋体"/>
                <w:color w:val="auto"/>
                <w:sz w:val="24"/>
                <w:u w:val="single"/>
                <w:lang w:val="en-US" w:eastAsia="zh-CN"/>
              </w:rPr>
              <w:t xml:space="preserve">                </w:t>
            </w:r>
            <w:r>
              <w:rPr>
                <w:rFonts w:hint="eastAsia" w:ascii="宋体" w:hAnsi="宋体" w:cs="宋体"/>
                <w:color w:val="auto"/>
                <w:sz w:val="28"/>
                <w:szCs w:val="28"/>
              </w:rPr>
              <w:t xml:space="preserve">  ¥：（</w:t>
            </w:r>
            <w:r>
              <w:rPr>
                <w:rFonts w:hint="eastAsia" w:ascii="宋体" w:hAnsi="宋体" w:cs="宋体"/>
                <w:color w:val="auto"/>
                <w:sz w:val="24"/>
                <w:u w:val="single"/>
                <w:lang w:val="en-US" w:eastAsia="zh-CN"/>
              </w:rPr>
              <w:t xml:space="preserve">                </w:t>
            </w:r>
            <w:r>
              <w:rPr>
                <w:rFonts w:hint="eastAsia" w:ascii="宋体" w:hAnsi="宋体" w:cs="宋体"/>
                <w:color w:val="auto"/>
                <w:sz w:val="28"/>
                <w:szCs w:val="28"/>
              </w:rPr>
              <w:t>元）</w:t>
            </w:r>
          </w:p>
        </w:tc>
      </w:tr>
    </w:tbl>
    <w:p w14:paraId="4B70DAB8">
      <w:pPr>
        <w:tabs>
          <w:tab w:val="left" w:pos="480"/>
        </w:tabs>
        <w:spacing w:line="360" w:lineRule="auto"/>
        <w:rPr>
          <w:rFonts w:ascii="宋体" w:hAnsi="宋体" w:cs="宋体"/>
          <w:color w:val="auto"/>
          <w:sz w:val="24"/>
        </w:rPr>
      </w:pPr>
    </w:p>
    <w:p w14:paraId="32CB278D">
      <w:pPr>
        <w:tabs>
          <w:tab w:val="left" w:pos="480"/>
        </w:tabs>
        <w:spacing w:line="360" w:lineRule="auto"/>
        <w:rPr>
          <w:rFonts w:ascii="宋体" w:hAnsi="宋体" w:cs="宋体"/>
          <w:b/>
          <w:color w:val="auto"/>
          <w:sz w:val="24"/>
        </w:rPr>
      </w:pPr>
      <w:r>
        <w:rPr>
          <w:rFonts w:hint="eastAsia" w:ascii="宋体" w:hAnsi="宋体" w:cs="宋体"/>
          <w:b/>
          <w:color w:val="auto"/>
          <w:sz w:val="24"/>
        </w:rPr>
        <w:t>二、合同价款</w:t>
      </w:r>
    </w:p>
    <w:p w14:paraId="3C0D84E2">
      <w:pPr>
        <w:tabs>
          <w:tab w:val="left" w:pos="480"/>
        </w:tabs>
        <w:spacing w:line="360" w:lineRule="auto"/>
        <w:ind w:firstLine="480" w:firstLineChars="200"/>
        <w:jc w:val="left"/>
        <w:rPr>
          <w:rFonts w:ascii="宋体" w:hAnsi="宋体" w:cs="宋体"/>
          <w:color w:val="auto"/>
          <w:sz w:val="24"/>
        </w:rPr>
      </w:pPr>
      <w:r>
        <w:rPr>
          <w:rFonts w:hint="eastAsia" w:ascii="宋体" w:hAnsi="宋体" w:cs="宋体"/>
          <w:color w:val="auto"/>
          <w:sz w:val="24"/>
        </w:rPr>
        <w:t>（一）合同总价款为人民币（大写）</w:t>
      </w:r>
      <w:r>
        <w:rPr>
          <w:rFonts w:hint="eastAsia" w:ascii="宋体" w:hAnsi="宋体" w:cs="宋体"/>
          <w:color w:val="auto"/>
          <w:sz w:val="24"/>
          <w:u w:val="single"/>
          <w:lang w:val="en-US" w:eastAsia="zh-CN"/>
        </w:rPr>
        <w:t xml:space="preserve">             </w:t>
      </w:r>
      <w:r>
        <w:rPr>
          <w:rFonts w:hint="eastAsia" w:ascii="宋体" w:hAnsi="宋体" w:cs="宋体"/>
          <w:color w:val="auto"/>
          <w:sz w:val="24"/>
        </w:rPr>
        <w:t>（¥</w:t>
      </w:r>
      <w:r>
        <w:rPr>
          <w:rFonts w:hint="eastAsia" w:ascii="宋体" w:hAnsi="宋体" w:cs="宋体"/>
          <w:color w:val="auto"/>
          <w:sz w:val="24"/>
          <w:u w:val="single"/>
          <w:lang w:val="en-US" w:eastAsia="zh-CN"/>
        </w:rPr>
        <w:t xml:space="preserve">       </w:t>
      </w:r>
      <w:r>
        <w:rPr>
          <w:rFonts w:hint="eastAsia" w:ascii="宋体" w:hAnsi="宋体" w:cs="宋体"/>
          <w:color w:val="auto"/>
          <w:sz w:val="24"/>
        </w:rPr>
        <w:t>元）。</w:t>
      </w:r>
    </w:p>
    <w:p w14:paraId="2076D522">
      <w:pPr>
        <w:tabs>
          <w:tab w:val="left" w:pos="480"/>
        </w:tabs>
        <w:spacing w:line="360" w:lineRule="auto"/>
        <w:ind w:firstLine="480" w:firstLineChars="200"/>
        <w:rPr>
          <w:rFonts w:ascii="宋体" w:hAnsi="宋体" w:cs="宋体"/>
          <w:color w:val="auto"/>
          <w:sz w:val="24"/>
        </w:rPr>
      </w:pPr>
      <w:r>
        <w:rPr>
          <w:rFonts w:hint="eastAsia" w:ascii="宋体" w:hAnsi="宋体" w:cs="宋体"/>
          <w:color w:val="auto"/>
          <w:sz w:val="24"/>
        </w:rPr>
        <w:t>（二）合同总价包括：货物费、原厂维修保养服务费、运输费（含保险费）、装卸、安装调试费、检测验收、培训、技术服务及其它全部费用。</w:t>
      </w:r>
    </w:p>
    <w:p w14:paraId="3734D521">
      <w:pPr>
        <w:tabs>
          <w:tab w:val="left" w:pos="480"/>
        </w:tabs>
        <w:spacing w:line="360" w:lineRule="auto"/>
        <w:ind w:firstLine="480" w:firstLineChars="200"/>
        <w:rPr>
          <w:rFonts w:ascii="宋体" w:hAnsi="宋体" w:cs="宋体"/>
          <w:color w:val="auto"/>
          <w:sz w:val="24"/>
        </w:rPr>
      </w:pPr>
      <w:r>
        <w:rPr>
          <w:rFonts w:hint="eastAsia" w:ascii="宋体" w:hAnsi="宋体" w:cs="宋体"/>
          <w:color w:val="auto"/>
          <w:sz w:val="24"/>
        </w:rPr>
        <w:t>（三）合同总价一次性包死，不受市场价格变化因素的影响。</w:t>
      </w:r>
    </w:p>
    <w:p w14:paraId="33948049">
      <w:pPr>
        <w:tabs>
          <w:tab w:val="left" w:pos="480"/>
        </w:tabs>
        <w:spacing w:line="360" w:lineRule="auto"/>
        <w:rPr>
          <w:rFonts w:ascii="宋体" w:hAnsi="宋体" w:cs="宋体"/>
          <w:b/>
          <w:color w:val="auto"/>
          <w:sz w:val="24"/>
        </w:rPr>
      </w:pPr>
      <w:r>
        <w:rPr>
          <w:rFonts w:hint="eastAsia" w:ascii="宋体" w:hAnsi="宋体" w:cs="宋体"/>
          <w:b/>
          <w:color w:val="auto"/>
          <w:sz w:val="24"/>
        </w:rPr>
        <w:t>三、款项结算</w:t>
      </w:r>
    </w:p>
    <w:p w14:paraId="04456B10">
      <w:pPr>
        <w:widowControl/>
        <w:tabs>
          <w:tab w:val="left" w:pos="480"/>
        </w:tabs>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（一）货物全部运到采购人指定地方，安装、调试、培训完毕并经验收合格后，达到付款条件起</w:t>
      </w:r>
      <w:r>
        <w:rPr>
          <w:rFonts w:hint="eastAsia" w:ascii="宋体" w:hAnsi="宋体" w:cs="宋体"/>
          <w:color w:val="auto"/>
          <w:sz w:val="24"/>
          <w:highlight w:val="none"/>
          <w:lang w:val="en-US" w:eastAsia="zh-CN"/>
        </w:rPr>
        <w:t>1</w:t>
      </w:r>
      <w:r>
        <w:rPr>
          <w:rFonts w:hint="eastAsia" w:ascii="宋体" w:hAnsi="宋体" w:cs="宋体"/>
          <w:color w:val="auto"/>
          <w:sz w:val="24"/>
          <w:highlight w:val="none"/>
        </w:rPr>
        <w:t>0个工作日内，支付合同总金额的100.0%。</w:t>
      </w:r>
    </w:p>
    <w:p w14:paraId="1D741C36">
      <w:pPr>
        <w:tabs>
          <w:tab w:val="left" w:pos="480"/>
        </w:tabs>
        <w:spacing w:line="360" w:lineRule="auto"/>
        <w:ind w:firstLine="480" w:firstLineChars="200"/>
        <w:jc w:val="left"/>
        <w:rPr>
          <w:rFonts w:ascii="宋体" w:hAnsi="宋体" w:cs="宋体"/>
          <w:color w:val="auto"/>
          <w:sz w:val="24"/>
        </w:rPr>
      </w:pPr>
      <w:r>
        <w:rPr>
          <w:rFonts w:hint="eastAsia" w:ascii="宋体" w:hAnsi="宋体" w:cs="宋体"/>
          <w:color w:val="auto"/>
          <w:sz w:val="24"/>
        </w:rPr>
        <w:t>（</w:t>
      </w:r>
      <w:r>
        <w:rPr>
          <w:rFonts w:hint="eastAsia" w:ascii="宋体" w:hAnsi="宋体" w:cs="宋体"/>
          <w:color w:val="auto"/>
          <w:sz w:val="24"/>
          <w:lang w:val="en-US" w:eastAsia="zh-CN"/>
        </w:rPr>
        <w:t>二</w:t>
      </w:r>
      <w:r>
        <w:rPr>
          <w:rFonts w:hint="eastAsia" w:ascii="宋体" w:hAnsi="宋体" w:cs="宋体"/>
          <w:color w:val="auto"/>
          <w:sz w:val="24"/>
        </w:rPr>
        <w:t>）支付方式：银行转账。</w:t>
      </w:r>
    </w:p>
    <w:p w14:paraId="3CC3228C">
      <w:pPr>
        <w:tabs>
          <w:tab w:val="left" w:pos="480"/>
        </w:tabs>
        <w:spacing w:line="360" w:lineRule="auto"/>
        <w:ind w:firstLine="480" w:firstLineChars="200"/>
        <w:jc w:val="left"/>
        <w:rPr>
          <w:rFonts w:ascii="宋体" w:hAnsi="宋体" w:cs="宋体"/>
          <w:color w:val="auto"/>
          <w:sz w:val="24"/>
        </w:rPr>
      </w:pPr>
      <w:r>
        <w:rPr>
          <w:rFonts w:hint="eastAsia" w:ascii="宋体" w:hAnsi="宋体" w:cs="宋体"/>
          <w:color w:val="auto"/>
          <w:sz w:val="24"/>
        </w:rPr>
        <w:t>（</w:t>
      </w:r>
      <w:r>
        <w:rPr>
          <w:rFonts w:hint="eastAsia" w:ascii="宋体" w:hAnsi="宋体" w:cs="宋体"/>
          <w:color w:val="auto"/>
          <w:sz w:val="24"/>
          <w:lang w:val="en-US" w:eastAsia="zh-CN"/>
        </w:rPr>
        <w:t>三</w:t>
      </w:r>
      <w:r>
        <w:rPr>
          <w:rFonts w:hint="eastAsia" w:ascii="宋体" w:hAnsi="宋体" w:cs="宋体"/>
          <w:color w:val="auto"/>
          <w:sz w:val="24"/>
        </w:rPr>
        <w:t>）结算方式：</w:t>
      </w:r>
    </w:p>
    <w:p w14:paraId="2C13EB8B">
      <w:pPr>
        <w:tabs>
          <w:tab w:val="left" w:pos="480"/>
        </w:tabs>
        <w:spacing w:line="360" w:lineRule="auto"/>
        <w:ind w:firstLine="480" w:firstLineChars="200"/>
        <w:jc w:val="left"/>
        <w:rPr>
          <w:rFonts w:ascii="宋体" w:hAnsi="宋体" w:cs="宋体"/>
          <w:color w:val="auto"/>
          <w:sz w:val="24"/>
        </w:rPr>
      </w:pPr>
      <w:r>
        <w:rPr>
          <w:rFonts w:hint="eastAsia" w:ascii="宋体" w:hAnsi="宋体" w:cs="宋体"/>
          <w:color w:val="auto"/>
          <w:sz w:val="24"/>
        </w:rPr>
        <w:t>货物结算：乙方持货物验收合格单，</w:t>
      </w:r>
      <w:r>
        <w:rPr>
          <w:rFonts w:hint="eastAsia" w:ascii="宋体" w:hAnsi="宋体" w:cs="宋体"/>
          <w:color w:val="auto"/>
          <w:sz w:val="24"/>
          <w:highlight w:val="none"/>
        </w:rPr>
        <w:t>合法有效的完税发票</w:t>
      </w:r>
      <w:r>
        <w:rPr>
          <w:rFonts w:hint="eastAsia" w:ascii="宋体" w:hAnsi="宋体" w:cs="宋体"/>
          <w:color w:val="auto"/>
          <w:sz w:val="24"/>
        </w:rPr>
        <w:t>，中标通知书、供货合同，与甲方结算。</w:t>
      </w:r>
    </w:p>
    <w:p w14:paraId="38673860">
      <w:pPr>
        <w:tabs>
          <w:tab w:val="left" w:pos="480"/>
        </w:tabs>
        <w:spacing w:line="360" w:lineRule="auto"/>
        <w:jc w:val="left"/>
        <w:rPr>
          <w:rFonts w:ascii="宋体" w:hAnsi="宋体" w:cs="宋体"/>
          <w:b/>
          <w:bCs/>
          <w:color w:val="auto"/>
          <w:sz w:val="24"/>
        </w:rPr>
      </w:pPr>
      <w:r>
        <w:rPr>
          <w:rFonts w:hint="eastAsia" w:ascii="宋体" w:hAnsi="宋体" w:cs="宋体"/>
          <w:b/>
          <w:bCs/>
          <w:color w:val="auto"/>
          <w:sz w:val="24"/>
        </w:rPr>
        <w:t>四、交货条件：</w:t>
      </w:r>
    </w:p>
    <w:p w14:paraId="1A7FB57D">
      <w:pPr>
        <w:tabs>
          <w:tab w:val="left" w:pos="480"/>
        </w:tabs>
        <w:spacing w:line="360" w:lineRule="auto"/>
        <w:ind w:firstLine="480" w:firstLineChars="200"/>
        <w:jc w:val="left"/>
        <w:rPr>
          <w:rFonts w:ascii="宋体" w:hAnsi="宋体" w:cs="宋体"/>
          <w:color w:val="auto"/>
          <w:sz w:val="24"/>
        </w:rPr>
      </w:pPr>
      <w:r>
        <w:rPr>
          <w:rFonts w:hint="eastAsia" w:ascii="宋体" w:hAnsi="宋体" w:cs="宋体"/>
          <w:color w:val="auto"/>
          <w:sz w:val="24"/>
        </w:rPr>
        <w:t>（一）交货地点：</w:t>
      </w:r>
      <w:r>
        <w:rPr>
          <w:rFonts w:hint="eastAsia" w:ascii="宋体" w:hAnsi="宋体" w:cs="宋体"/>
          <w:color w:val="auto"/>
          <w:sz w:val="24"/>
          <w:lang w:val="en-US" w:eastAsia="zh-CN"/>
        </w:rPr>
        <w:t>采购人</w:t>
      </w:r>
      <w:r>
        <w:rPr>
          <w:rFonts w:hint="eastAsia" w:ascii="宋体" w:hAnsi="宋体" w:cs="宋体"/>
          <w:color w:val="auto"/>
          <w:sz w:val="24"/>
        </w:rPr>
        <w:t>指定地点。</w:t>
      </w:r>
    </w:p>
    <w:p w14:paraId="1941F66F">
      <w:pPr>
        <w:tabs>
          <w:tab w:val="left" w:pos="480"/>
        </w:tabs>
        <w:spacing w:line="360" w:lineRule="auto"/>
        <w:ind w:firstLine="480" w:firstLineChars="200"/>
        <w:jc w:val="left"/>
        <w:rPr>
          <w:rFonts w:ascii="宋体" w:hAnsi="宋体" w:cs="宋体"/>
          <w:color w:val="auto"/>
          <w:sz w:val="24"/>
        </w:rPr>
      </w:pPr>
      <w:r>
        <w:rPr>
          <w:rFonts w:hint="eastAsia" w:ascii="宋体" w:hAnsi="宋体" w:cs="宋体"/>
          <w:color w:val="auto"/>
          <w:sz w:val="24"/>
        </w:rPr>
        <w:t>（二）交货期：</w:t>
      </w:r>
    </w:p>
    <w:p w14:paraId="06939340">
      <w:pPr>
        <w:tabs>
          <w:tab w:val="left" w:pos="480"/>
        </w:tabs>
        <w:spacing w:line="360" w:lineRule="auto"/>
        <w:jc w:val="left"/>
        <w:rPr>
          <w:rFonts w:ascii="宋体" w:hAnsi="宋体" w:cs="宋体"/>
          <w:color w:val="auto"/>
          <w:sz w:val="24"/>
        </w:rPr>
      </w:pPr>
      <w:r>
        <w:rPr>
          <w:rFonts w:hint="eastAsia" w:ascii="宋体" w:hAnsi="宋体" w:cs="宋体"/>
          <w:color w:val="auto"/>
          <w:sz w:val="24"/>
        </w:rPr>
        <w:t xml:space="preserve">    1、交货期：自合同签订生效之日起</w:t>
      </w:r>
      <w:r>
        <w:rPr>
          <w:rFonts w:hint="eastAsia" w:ascii="宋体" w:hAnsi="宋体" w:cs="宋体"/>
          <w:color w:val="auto"/>
          <w:sz w:val="24"/>
          <w:lang w:val="en-US" w:eastAsia="zh-CN"/>
        </w:rPr>
        <w:t>2</w:t>
      </w:r>
      <w:r>
        <w:rPr>
          <w:rFonts w:hint="eastAsia" w:ascii="宋体" w:hAnsi="宋体" w:cs="宋体"/>
          <w:color w:val="auto"/>
          <w:sz w:val="24"/>
        </w:rPr>
        <w:t>0个日历日完成</w:t>
      </w:r>
      <w:bookmarkStart w:id="1" w:name="_GoBack"/>
      <w:bookmarkEnd w:id="1"/>
      <w:r>
        <w:rPr>
          <w:rFonts w:hint="eastAsia" w:ascii="宋体" w:hAnsi="宋体" w:cs="宋体"/>
          <w:color w:val="auto"/>
          <w:sz w:val="24"/>
        </w:rPr>
        <w:t>供货、安装及调试。</w:t>
      </w:r>
    </w:p>
    <w:p w14:paraId="443C5523">
      <w:pPr>
        <w:tabs>
          <w:tab w:val="left" w:pos="480"/>
        </w:tabs>
        <w:spacing w:line="360" w:lineRule="auto"/>
        <w:ind w:firstLine="480"/>
        <w:jc w:val="left"/>
        <w:rPr>
          <w:rFonts w:ascii="宋体" w:hAnsi="宋体" w:cs="宋体"/>
          <w:color w:val="auto"/>
          <w:sz w:val="24"/>
        </w:rPr>
      </w:pPr>
      <w:r>
        <w:rPr>
          <w:rFonts w:hint="eastAsia" w:ascii="宋体" w:hAnsi="宋体" w:cs="宋体"/>
          <w:color w:val="auto"/>
          <w:sz w:val="24"/>
        </w:rPr>
        <w:t>2、</w:t>
      </w:r>
      <w:r>
        <w:rPr>
          <w:rFonts w:hint="eastAsia" w:ascii="宋体" w:hAnsi="宋体" w:cs="宋体"/>
          <w:color w:val="auto"/>
          <w:sz w:val="24"/>
          <w:lang w:val="en-US" w:eastAsia="zh-CN"/>
        </w:rPr>
        <w:t>质保期：3年</w:t>
      </w:r>
      <w:r>
        <w:rPr>
          <w:rFonts w:hint="eastAsia" w:ascii="宋体" w:hAnsi="宋体" w:cs="宋体"/>
          <w:color w:val="auto"/>
          <w:sz w:val="24"/>
        </w:rPr>
        <w:t>。</w:t>
      </w:r>
    </w:p>
    <w:p w14:paraId="030A86D9">
      <w:pPr>
        <w:tabs>
          <w:tab w:val="left" w:pos="480"/>
        </w:tabs>
        <w:spacing w:line="360" w:lineRule="auto"/>
        <w:jc w:val="left"/>
        <w:rPr>
          <w:rFonts w:ascii="宋体" w:hAnsi="宋体" w:cs="宋体"/>
          <w:b/>
          <w:bCs/>
          <w:color w:val="auto"/>
          <w:sz w:val="24"/>
        </w:rPr>
      </w:pPr>
      <w:r>
        <w:rPr>
          <w:rFonts w:hint="eastAsia" w:ascii="宋体" w:hAnsi="宋体" w:cs="宋体"/>
          <w:b/>
          <w:bCs/>
          <w:color w:val="auto"/>
          <w:sz w:val="24"/>
        </w:rPr>
        <w:t>五、运输</w:t>
      </w:r>
    </w:p>
    <w:p w14:paraId="0FA13D4C">
      <w:pPr>
        <w:tabs>
          <w:tab w:val="left" w:pos="480"/>
        </w:tabs>
        <w:spacing w:line="360" w:lineRule="auto"/>
        <w:ind w:firstLine="480" w:firstLineChars="200"/>
        <w:jc w:val="left"/>
        <w:rPr>
          <w:rFonts w:ascii="宋体" w:hAnsi="宋体" w:cs="宋体"/>
          <w:color w:val="auto"/>
          <w:sz w:val="24"/>
        </w:rPr>
      </w:pPr>
      <w:r>
        <w:rPr>
          <w:rFonts w:hint="eastAsia" w:ascii="宋体" w:hAnsi="宋体" w:cs="宋体"/>
          <w:color w:val="auto"/>
          <w:sz w:val="24"/>
        </w:rPr>
        <w:t>（一）运输由乙方负责，运杂费已包含在合同总价内，包括从货物供应地点至交货地点所含的运输费、装卸费、仓储费、保险费等全部费用。</w:t>
      </w:r>
    </w:p>
    <w:p w14:paraId="758F86F7">
      <w:pPr>
        <w:tabs>
          <w:tab w:val="left" w:pos="480"/>
        </w:tabs>
        <w:spacing w:line="360" w:lineRule="auto"/>
        <w:ind w:firstLine="480" w:firstLineChars="200"/>
        <w:jc w:val="left"/>
        <w:rPr>
          <w:rFonts w:ascii="宋体" w:hAnsi="宋体" w:cs="宋体"/>
          <w:color w:val="auto"/>
          <w:sz w:val="24"/>
        </w:rPr>
      </w:pPr>
      <w:r>
        <w:rPr>
          <w:rFonts w:hint="eastAsia" w:ascii="宋体" w:hAnsi="宋体" w:cs="宋体"/>
          <w:color w:val="auto"/>
          <w:sz w:val="24"/>
        </w:rPr>
        <w:t>（二）运输方式由乙方自行选择，但必须保证按期交货。</w:t>
      </w:r>
    </w:p>
    <w:p w14:paraId="68E98AB8">
      <w:pPr>
        <w:tabs>
          <w:tab w:val="left" w:pos="480"/>
        </w:tabs>
        <w:spacing w:line="360" w:lineRule="auto"/>
        <w:ind w:firstLine="480" w:firstLineChars="200"/>
        <w:jc w:val="left"/>
        <w:rPr>
          <w:rFonts w:ascii="宋体" w:hAnsi="宋体" w:cs="宋体"/>
          <w:color w:val="auto"/>
          <w:sz w:val="24"/>
        </w:rPr>
      </w:pPr>
      <w:r>
        <w:rPr>
          <w:rFonts w:hint="eastAsia" w:ascii="宋体" w:hAnsi="宋体" w:cs="宋体"/>
          <w:color w:val="auto"/>
          <w:sz w:val="24"/>
        </w:rPr>
        <w:t>（三）因运输产生的一切风险及质量问题均由乙方承担。</w:t>
      </w:r>
    </w:p>
    <w:p w14:paraId="45ACF932">
      <w:pPr>
        <w:tabs>
          <w:tab w:val="left" w:pos="480"/>
        </w:tabs>
        <w:spacing w:line="360" w:lineRule="auto"/>
        <w:jc w:val="left"/>
        <w:rPr>
          <w:rFonts w:ascii="宋体" w:hAnsi="宋体" w:cs="宋体"/>
          <w:b/>
          <w:bCs/>
          <w:color w:val="auto"/>
          <w:sz w:val="24"/>
        </w:rPr>
      </w:pPr>
      <w:r>
        <w:rPr>
          <w:rFonts w:hint="eastAsia" w:ascii="宋体" w:hAnsi="宋体" w:cs="宋体"/>
          <w:b/>
          <w:bCs/>
          <w:color w:val="auto"/>
          <w:sz w:val="24"/>
        </w:rPr>
        <w:t>六、质量保证</w:t>
      </w:r>
    </w:p>
    <w:p w14:paraId="56F5328D">
      <w:pPr>
        <w:tabs>
          <w:tab w:val="left" w:pos="480"/>
        </w:tabs>
        <w:spacing w:line="360" w:lineRule="auto"/>
        <w:ind w:firstLine="480" w:firstLineChars="200"/>
        <w:jc w:val="left"/>
        <w:rPr>
          <w:rFonts w:ascii="宋体" w:hAnsi="宋体" w:cs="宋体"/>
          <w:color w:val="auto"/>
          <w:sz w:val="24"/>
        </w:rPr>
      </w:pPr>
      <w:r>
        <w:rPr>
          <w:rFonts w:hint="eastAsia" w:ascii="宋体" w:hAnsi="宋体" w:cs="宋体"/>
          <w:color w:val="auto"/>
          <w:sz w:val="24"/>
        </w:rPr>
        <w:t>乙方所供货物必须执行下列条款：</w:t>
      </w:r>
    </w:p>
    <w:p w14:paraId="0482EF8A">
      <w:pPr>
        <w:tabs>
          <w:tab w:val="left" w:pos="480"/>
        </w:tabs>
        <w:spacing w:line="360" w:lineRule="auto"/>
        <w:ind w:firstLine="480" w:firstLineChars="200"/>
        <w:jc w:val="left"/>
        <w:rPr>
          <w:rFonts w:ascii="宋体" w:hAnsi="宋体" w:cs="宋体"/>
          <w:color w:val="auto"/>
          <w:sz w:val="24"/>
        </w:rPr>
      </w:pPr>
      <w:r>
        <w:rPr>
          <w:rFonts w:hint="eastAsia" w:ascii="宋体" w:hAnsi="宋体" w:cs="宋体"/>
          <w:color w:val="auto"/>
          <w:sz w:val="24"/>
        </w:rPr>
        <w:t>（一）保证技术指标先进、产品全新、质量性能可靠、进货渠道正常，配置合理，全面满足招标文件要求。</w:t>
      </w:r>
    </w:p>
    <w:p w14:paraId="1C571D14">
      <w:pPr>
        <w:tabs>
          <w:tab w:val="left" w:pos="480"/>
        </w:tabs>
        <w:spacing w:line="360" w:lineRule="auto"/>
        <w:ind w:firstLine="480" w:firstLineChars="200"/>
        <w:jc w:val="left"/>
        <w:rPr>
          <w:rFonts w:ascii="宋体" w:hAnsi="宋体" w:cs="宋体"/>
          <w:color w:val="auto"/>
          <w:sz w:val="24"/>
        </w:rPr>
      </w:pPr>
      <w:r>
        <w:rPr>
          <w:rFonts w:hint="eastAsia" w:ascii="宋体" w:hAnsi="宋体" w:cs="宋体"/>
          <w:color w:val="auto"/>
          <w:sz w:val="24"/>
        </w:rPr>
        <w:t>（二）符合国家有关规范要求和标准，确保达到最佳运行状态，对于由于产品设计、工艺或材料的缺陷而产生的质量问题负责。</w:t>
      </w:r>
    </w:p>
    <w:p w14:paraId="42C14646">
      <w:pPr>
        <w:tabs>
          <w:tab w:val="left" w:pos="480"/>
        </w:tabs>
        <w:spacing w:line="360" w:lineRule="auto"/>
        <w:ind w:firstLine="480" w:firstLineChars="200"/>
        <w:jc w:val="left"/>
        <w:rPr>
          <w:rFonts w:ascii="宋体" w:hAnsi="宋体" w:cs="宋体"/>
          <w:color w:val="auto"/>
          <w:sz w:val="24"/>
        </w:rPr>
      </w:pPr>
      <w:r>
        <w:rPr>
          <w:rFonts w:hint="eastAsia" w:ascii="宋体" w:hAnsi="宋体" w:cs="宋体"/>
          <w:color w:val="auto"/>
          <w:sz w:val="24"/>
        </w:rPr>
        <w:t>（三）具有良好的外观，适合安装场所的使用。</w:t>
      </w:r>
    </w:p>
    <w:p w14:paraId="2F7091F7">
      <w:pPr>
        <w:spacing w:line="360" w:lineRule="auto"/>
        <w:rPr>
          <w:rFonts w:ascii="宋体" w:hAnsi="宋体" w:cs="宋体"/>
          <w:b/>
          <w:color w:val="auto"/>
          <w:sz w:val="24"/>
        </w:rPr>
      </w:pPr>
      <w:r>
        <w:rPr>
          <w:rFonts w:hint="eastAsia" w:ascii="宋体" w:hAnsi="宋体" w:cs="宋体"/>
          <w:b/>
          <w:color w:val="auto"/>
          <w:sz w:val="24"/>
        </w:rPr>
        <w:t>七、售后服务</w:t>
      </w:r>
    </w:p>
    <w:p w14:paraId="333583CE">
      <w:pPr>
        <w:tabs>
          <w:tab w:val="left" w:pos="480"/>
        </w:tabs>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1、质保期:3年。</w:t>
      </w:r>
    </w:p>
    <w:p w14:paraId="240219FA">
      <w:pPr>
        <w:tabs>
          <w:tab w:val="left" w:pos="480"/>
        </w:tabs>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2、中标人对其所提供的设备配件的供应，长期提供维修服务，并提供技术咨询等服务。质保期内应无偿负责维修和替换等工作。超出质保期只收取维修所需原设备、材料成本费用。</w:t>
      </w:r>
    </w:p>
    <w:p w14:paraId="2D099B8D">
      <w:pPr>
        <w:tabs>
          <w:tab w:val="left" w:pos="480"/>
        </w:tabs>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3、服务响应时限:7*24小时服务，提供售后服务电话。</w:t>
      </w:r>
    </w:p>
    <w:p w14:paraId="72F3DC98">
      <w:pPr>
        <w:tabs>
          <w:tab w:val="left" w:pos="480"/>
        </w:tabs>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4、派专人对学校提供售后服务，并定期对所提供的设备设施使用情况等进行回访。</w:t>
      </w:r>
    </w:p>
    <w:p w14:paraId="42E33518">
      <w:pPr>
        <w:tabs>
          <w:tab w:val="left" w:pos="480"/>
        </w:tabs>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5、维修工作时间不大于24小时，更换工作时间不大于72小时。</w:t>
      </w:r>
    </w:p>
    <w:p w14:paraId="6384440A">
      <w:pPr>
        <w:tabs>
          <w:tab w:val="left" w:pos="480"/>
        </w:tabs>
        <w:spacing w:line="360" w:lineRule="auto"/>
        <w:ind w:firstLine="480" w:firstLineChars="200"/>
        <w:jc w:val="left"/>
        <w:rPr>
          <w:rFonts w:ascii="宋体" w:hAnsi="宋体" w:cs="宋体"/>
          <w:color w:val="auto"/>
          <w:sz w:val="24"/>
        </w:rPr>
      </w:pPr>
      <w:r>
        <w:rPr>
          <w:rFonts w:hint="eastAsia" w:ascii="宋体" w:hAnsi="宋体" w:cs="宋体"/>
          <w:color w:val="auto"/>
          <w:sz w:val="24"/>
        </w:rPr>
        <w:t>6、若中标人未按照合同规定的售后服务要求执行，使用单位有权自行选择第三方进行维护和修理，所产生的费由乙方承担。。</w:t>
      </w:r>
    </w:p>
    <w:p w14:paraId="2DE76482">
      <w:pPr>
        <w:tabs>
          <w:tab w:val="left" w:pos="480"/>
        </w:tabs>
        <w:spacing w:line="360" w:lineRule="auto"/>
        <w:rPr>
          <w:rFonts w:ascii="宋体" w:hAnsi="宋体" w:cs="宋体"/>
          <w:b/>
          <w:color w:val="auto"/>
          <w:sz w:val="24"/>
        </w:rPr>
      </w:pPr>
      <w:r>
        <w:rPr>
          <w:rFonts w:hint="eastAsia" w:ascii="宋体" w:hAnsi="宋体" w:cs="宋体"/>
          <w:b/>
          <w:color w:val="auto"/>
          <w:sz w:val="24"/>
        </w:rPr>
        <w:t>八、技术与服务</w:t>
      </w:r>
    </w:p>
    <w:p w14:paraId="5DB4F002">
      <w:pPr>
        <w:tabs>
          <w:tab w:val="left" w:pos="480"/>
        </w:tabs>
        <w:spacing w:line="360" w:lineRule="auto"/>
        <w:ind w:firstLine="480" w:firstLineChars="200"/>
        <w:rPr>
          <w:rFonts w:ascii="宋体" w:hAnsi="宋体" w:cs="宋体"/>
          <w:color w:val="auto"/>
          <w:sz w:val="24"/>
        </w:rPr>
      </w:pPr>
      <w:r>
        <w:rPr>
          <w:rFonts w:hint="eastAsia" w:ascii="宋体" w:hAnsi="宋体" w:cs="宋体"/>
          <w:color w:val="auto"/>
          <w:sz w:val="24"/>
        </w:rPr>
        <w:t>（一）技术资料：</w:t>
      </w:r>
    </w:p>
    <w:p w14:paraId="0DD70637">
      <w:pPr>
        <w:tabs>
          <w:tab w:val="left" w:pos="480"/>
        </w:tabs>
        <w:spacing w:line="360" w:lineRule="auto"/>
        <w:ind w:firstLine="480" w:firstLineChars="200"/>
        <w:rPr>
          <w:rFonts w:ascii="宋体" w:hAnsi="宋体" w:cs="宋体"/>
          <w:color w:val="auto"/>
          <w:sz w:val="24"/>
        </w:rPr>
      </w:pPr>
      <w:r>
        <w:rPr>
          <w:rFonts w:hint="eastAsia" w:ascii="宋体" w:hAnsi="宋体" w:cs="宋体"/>
          <w:color w:val="auto"/>
          <w:sz w:val="24"/>
        </w:rPr>
        <w:t>1、货物合格证；</w:t>
      </w:r>
    </w:p>
    <w:p w14:paraId="459AB926">
      <w:pPr>
        <w:tabs>
          <w:tab w:val="left" w:pos="480"/>
        </w:tabs>
        <w:spacing w:line="360" w:lineRule="auto"/>
        <w:ind w:firstLine="480" w:firstLineChars="200"/>
        <w:rPr>
          <w:rFonts w:ascii="宋体" w:hAnsi="宋体" w:cs="宋体"/>
          <w:color w:val="auto"/>
          <w:sz w:val="24"/>
        </w:rPr>
      </w:pPr>
      <w:r>
        <w:rPr>
          <w:rFonts w:hint="eastAsia" w:ascii="宋体" w:hAnsi="宋体" w:cs="宋体"/>
          <w:color w:val="auto"/>
          <w:sz w:val="24"/>
        </w:rPr>
        <w:t>2、货物使用说明书（中文）；</w:t>
      </w:r>
    </w:p>
    <w:p w14:paraId="79385D81">
      <w:pPr>
        <w:tabs>
          <w:tab w:val="left" w:pos="480"/>
        </w:tabs>
        <w:spacing w:line="360" w:lineRule="auto"/>
        <w:ind w:firstLine="480" w:firstLineChars="200"/>
        <w:rPr>
          <w:rFonts w:hint="eastAsia" w:ascii="宋体" w:hAnsi="宋体" w:cs="宋体"/>
          <w:color w:val="auto"/>
          <w:sz w:val="24"/>
        </w:rPr>
      </w:pPr>
      <w:r>
        <w:rPr>
          <w:rFonts w:ascii="宋体" w:hAnsi="宋体" w:cs="宋体"/>
          <w:color w:val="auto"/>
          <w:sz w:val="24"/>
        </w:rPr>
        <w:t>3</w:t>
      </w:r>
      <w:r>
        <w:rPr>
          <w:rFonts w:hint="eastAsia" w:ascii="宋体" w:hAnsi="宋体" w:cs="宋体"/>
          <w:color w:val="auto"/>
          <w:sz w:val="24"/>
        </w:rPr>
        <w:t>、其它资料。</w:t>
      </w:r>
    </w:p>
    <w:p w14:paraId="4CA4E626">
      <w:pPr>
        <w:tabs>
          <w:tab w:val="left" w:pos="480"/>
        </w:tabs>
        <w:spacing w:line="360" w:lineRule="auto"/>
        <w:ind w:firstLine="480" w:firstLineChars="200"/>
        <w:rPr>
          <w:rFonts w:hint="eastAsia" w:ascii="宋体" w:hAnsi="宋体" w:cs="宋体"/>
          <w:color w:val="auto"/>
          <w:sz w:val="24"/>
        </w:rPr>
      </w:pPr>
      <w:r>
        <w:rPr>
          <w:rFonts w:hint="eastAsia" w:ascii="宋体" w:hAnsi="宋体" w:cs="宋体"/>
          <w:color w:val="auto"/>
          <w:sz w:val="24"/>
        </w:rPr>
        <w:t>（二）培训：乙方须在设备安装调试完成后对甲方操作人员进行完整使用、保养等培训，是否完成培训视为货物验收必备条件之一；</w:t>
      </w:r>
    </w:p>
    <w:p w14:paraId="15CF2626">
      <w:pPr>
        <w:tabs>
          <w:tab w:val="left" w:pos="480"/>
        </w:tabs>
        <w:spacing w:line="360" w:lineRule="auto"/>
        <w:ind w:firstLine="480" w:firstLineChars="200"/>
        <w:rPr>
          <w:rFonts w:ascii="宋体" w:hAnsi="宋体" w:cs="宋体"/>
          <w:color w:val="auto"/>
          <w:sz w:val="24"/>
        </w:rPr>
      </w:pPr>
      <w:r>
        <w:rPr>
          <w:rFonts w:hint="eastAsia" w:ascii="宋体" w:hAnsi="宋体" w:cs="宋体"/>
          <w:color w:val="auto"/>
          <w:sz w:val="24"/>
        </w:rPr>
        <w:t>（三）服务承诺：以投标文件、澄清表（函）、合同和随货物的相关文件为准。</w:t>
      </w:r>
    </w:p>
    <w:p w14:paraId="43439A95">
      <w:pPr>
        <w:tabs>
          <w:tab w:val="left" w:pos="480"/>
        </w:tabs>
        <w:spacing w:line="360" w:lineRule="auto"/>
        <w:rPr>
          <w:rFonts w:ascii="宋体" w:hAnsi="宋体" w:cs="宋体"/>
          <w:b/>
          <w:color w:val="auto"/>
          <w:sz w:val="24"/>
        </w:rPr>
      </w:pPr>
      <w:r>
        <w:rPr>
          <w:rFonts w:hint="eastAsia" w:ascii="宋体" w:hAnsi="宋体" w:cs="宋体"/>
          <w:b/>
          <w:color w:val="auto"/>
          <w:sz w:val="24"/>
        </w:rPr>
        <w:t>九、验收</w:t>
      </w:r>
    </w:p>
    <w:p w14:paraId="0D595DFF">
      <w:pPr>
        <w:tabs>
          <w:tab w:val="left" w:pos="480"/>
        </w:tabs>
        <w:spacing w:line="360" w:lineRule="auto"/>
        <w:ind w:firstLine="480" w:firstLineChars="200"/>
        <w:rPr>
          <w:rFonts w:hint="eastAsia" w:ascii="宋体" w:hAnsi="宋体" w:cs="宋体"/>
          <w:color w:val="auto"/>
          <w:sz w:val="24"/>
          <w:lang w:val="en-US" w:eastAsia="zh-CN"/>
        </w:rPr>
      </w:pPr>
      <w:r>
        <w:rPr>
          <w:rFonts w:hint="eastAsia" w:ascii="宋体" w:hAnsi="宋体" w:cs="宋体"/>
          <w:color w:val="auto"/>
          <w:sz w:val="24"/>
          <w:lang w:val="en-US" w:eastAsia="zh-CN"/>
        </w:rPr>
        <w:t>1、设备到达使用单位指定地点后，在开箱时必须完好，无破损，配置与装箱单相符，数量、质量及性能不低于合同要求。使用单位和中标人共同签署到货验收单。未签收到货验收单的货物不得擅自开箱安装。拆箱后，中标人应对其全部产品、零件、配件、用户说明书、资料、造册登记，登记册作为验收文档之一:中标人应负责在项目验收时将采购的全部有关产品说明书、原厂家安装手册、技术文件、资料、及安装、验收报告等文档汇集成册交付使用单位。</w:t>
      </w:r>
    </w:p>
    <w:p w14:paraId="1A173A6B">
      <w:pPr>
        <w:tabs>
          <w:tab w:val="left" w:pos="480"/>
        </w:tabs>
        <w:spacing w:line="360" w:lineRule="auto"/>
        <w:ind w:firstLine="480" w:firstLineChars="200"/>
        <w:rPr>
          <w:rFonts w:hint="eastAsia" w:ascii="宋体" w:hAnsi="宋体" w:cs="宋体"/>
          <w:color w:val="auto"/>
          <w:sz w:val="24"/>
          <w:lang w:val="en-US" w:eastAsia="zh-CN"/>
        </w:rPr>
      </w:pPr>
      <w:r>
        <w:rPr>
          <w:rFonts w:hint="eastAsia" w:ascii="宋体" w:hAnsi="宋体" w:cs="宋体"/>
          <w:color w:val="auto"/>
          <w:sz w:val="24"/>
          <w:lang w:val="en-US" w:eastAsia="zh-CN"/>
        </w:rPr>
        <w:t>2、安装调试完成，中标人进行自检并形成自检报告，出现的问题限期整改。自检最终通过后，中标人提出验收申请，使用单位组织相关人员进行最终验收。</w:t>
      </w:r>
    </w:p>
    <w:p w14:paraId="25278B11">
      <w:pPr>
        <w:tabs>
          <w:tab w:val="left" w:pos="480"/>
        </w:tabs>
        <w:spacing w:line="360" w:lineRule="auto"/>
        <w:ind w:firstLine="480" w:firstLineChars="200"/>
        <w:rPr>
          <w:rFonts w:hint="eastAsia" w:ascii="宋体" w:hAnsi="宋体" w:cs="宋体"/>
          <w:color w:val="auto"/>
          <w:sz w:val="24"/>
          <w:lang w:val="en-US" w:eastAsia="zh-CN"/>
        </w:rPr>
      </w:pPr>
      <w:r>
        <w:rPr>
          <w:rFonts w:hint="eastAsia" w:ascii="宋体" w:hAnsi="宋体" w:cs="宋体"/>
          <w:color w:val="auto"/>
          <w:sz w:val="24"/>
          <w:lang w:val="en-US" w:eastAsia="zh-CN"/>
        </w:rPr>
        <w:t>3、招标方接到投标方的验收通知后，招标方验收组应对其设备的原包装、产品合格证、使用说明书、装箱单等随机文件及保修手续和配置、安装、测试、运行等逐项进行验收。</w:t>
      </w:r>
    </w:p>
    <w:p w14:paraId="5F6393E3">
      <w:pPr>
        <w:tabs>
          <w:tab w:val="left" w:pos="480"/>
        </w:tabs>
        <w:spacing w:line="360" w:lineRule="auto"/>
        <w:ind w:firstLine="480" w:firstLineChars="200"/>
        <w:rPr>
          <w:rFonts w:hint="eastAsia" w:ascii="宋体" w:hAnsi="宋体" w:cs="宋体"/>
          <w:color w:val="auto"/>
          <w:sz w:val="24"/>
          <w:lang w:val="en-US" w:eastAsia="zh-CN"/>
        </w:rPr>
      </w:pPr>
      <w:r>
        <w:rPr>
          <w:rFonts w:hint="eastAsia" w:ascii="宋体" w:hAnsi="宋体" w:cs="宋体"/>
          <w:color w:val="auto"/>
          <w:sz w:val="24"/>
          <w:lang w:val="en-US" w:eastAsia="zh-CN"/>
        </w:rPr>
        <w:t>4、设备自通过验收之日起进入质保期。</w:t>
      </w:r>
    </w:p>
    <w:p w14:paraId="13C5EFB3">
      <w:pPr>
        <w:tabs>
          <w:tab w:val="left" w:pos="480"/>
        </w:tabs>
        <w:spacing w:line="360" w:lineRule="auto"/>
        <w:ind w:firstLine="480" w:firstLineChars="200"/>
        <w:rPr>
          <w:rFonts w:ascii="宋体" w:hAnsi="宋体" w:cs="宋体"/>
          <w:color w:val="auto"/>
          <w:sz w:val="24"/>
        </w:rPr>
      </w:pPr>
      <w:r>
        <w:rPr>
          <w:rFonts w:hint="eastAsia" w:ascii="宋体" w:hAnsi="宋体" w:cs="宋体"/>
          <w:bCs/>
          <w:color w:val="auto"/>
          <w:sz w:val="24"/>
          <w:lang w:val="en-US" w:eastAsia="zh-CN"/>
        </w:rPr>
        <w:t>5、</w:t>
      </w:r>
      <w:r>
        <w:rPr>
          <w:rFonts w:hint="eastAsia" w:ascii="宋体" w:hAnsi="宋体" w:cs="宋体"/>
          <w:color w:val="auto"/>
          <w:sz w:val="24"/>
        </w:rPr>
        <w:t>验收依据：</w:t>
      </w:r>
    </w:p>
    <w:p w14:paraId="63BF5190">
      <w:pPr>
        <w:tabs>
          <w:tab w:val="left" w:pos="480"/>
        </w:tabs>
        <w:spacing w:line="360" w:lineRule="auto"/>
        <w:ind w:firstLine="480" w:firstLineChars="200"/>
        <w:rPr>
          <w:rFonts w:ascii="宋体" w:hAnsi="宋体" w:cs="宋体"/>
          <w:color w:val="auto"/>
          <w:sz w:val="24"/>
        </w:rPr>
      </w:pPr>
      <w:r>
        <w:rPr>
          <w:rFonts w:hint="eastAsia" w:ascii="宋体" w:hAnsi="宋体" w:cs="宋体"/>
          <w:color w:val="auto"/>
          <w:sz w:val="24"/>
          <w:lang w:val="en-US" w:eastAsia="zh-CN"/>
        </w:rPr>
        <w:t>5.1</w:t>
      </w:r>
      <w:r>
        <w:rPr>
          <w:rFonts w:hint="eastAsia" w:ascii="宋体" w:hAnsi="宋体" w:cs="宋体"/>
          <w:color w:val="auto"/>
          <w:sz w:val="24"/>
        </w:rPr>
        <w:t>本合同及合同附件。</w:t>
      </w:r>
    </w:p>
    <w:p w14:paraId="196B90D6">
      <w:pPr>
        <w:tabs>
          <w:tab w:val="left" w:pos="480"/>
        </w:tabs>
        <w:spacing w:line="360" w:lineRule="auto"/>
        <w:ind w:firstLine="480" w:firstLineChars="200"/>
        <w:rPr>
          <w:rFonts w:ascii="宋体" w:hAnsi="宋体" w:cs="宋体"/>
          <w:color w:val="auto"/>
          <w:sz w:val="24"/>
        </w:rPr>
      </w:pPr>
      <w:r>
        <w:rPr>
          <w:rFonts w:hint="eastAsia" w:ascii="宋体" w:hAnsi="宋体" w:cs="宋体"/>
          <w:color w:val="auto"/>
          <w:sz w:val="24"/>
          <w:lang w:val="en-US" w:eastAsia="zh-CN"/>
        </w:rPr>
        <w:t>5.2</w:t>
      </w:r>
      <w:r>
        <w:rPr>
          <w:rFonts w:hint="eastAsia" w:ascii="宋体" w:hAnsi="宋体" w:cs="宋体"/>
          <w:color w:val="auto"/>
          <w:sz w:val="24"/>
        </w:rPr>
        <w:t>国家相应的标准、规范。</w:t>
      </w:r>
    </w:p>
    <w:p w14:paraId="2E45A503">
      <w:pPr>
        <w:tabs>
          <w:tab w:val="left" w:pos="480"/>
        </w:tabs>
        <w:spacing w:line="360" w:lineRule="auto"/>
        <w:ind w:firstLine="480" w:firstLineChars="200"/>
        <w:rPr>
          <w:rFonts w:ascii="宋体" w:hAnsi="宋体" w:cs="宋体"/>
          <w:color w:val="auto"/>
          <w:sz w:val="24"/>
        </w:rPr>
      </w:pPr>
      <w:r>
        <w:rPr>
          <w:rFonts w:hint="eastAsia" w:ascii="宋体" w:hAnsi="宋体" w:cs="宋体"/>
          <w:color w:val="auto"/>
          <w:sz w:val="24"/>
          <w:lang w:val="en-US" w:eastAsia="zh-CN"/>
        </w:rPr>
        <w:t>5.3</w:t>
      </w:r>
      <w:r>
        <w:rPr>
          <w:rFonts w:hint="eastAsia" w:ascii="宋体" w:hAnsi="宋体" w:cs="宋体"/>
          <w:color w:val="auto"/>
          <w:sz w:val="24"/>
        </w:rPr>
        <w:t>招标文件、投标文件、澄清表（函）。</w:t>
      </w:r>
    </w:p>
    <w:p w14:paraId="4B286F90">
      <w:pPr>
        <w:tabs>
          <w:tab w:val="left" w:pos="480"/>
        </w:tabs>
        <w:spacing w:line="360" w:lineRule="auto"/>
        <w:rPr>
          <w:rFonts w:ascii="宋体" w:hAnsi="宋体" w:cs="宋体"/>
          <w:b/>
          <w:color w:val="auto"/>
          <w:sz w:val="24"/>
        </w:rPr>
      </w:pPr>
      <w:r>
        <w:rPr>
          <w:rFonts w:hint="eastAsia" w:ascii="宋体" w:hAnsi="宋体" w:cs="宋体"/>
          <w:b/>
          <w:color w:val="auto"/>
          <w:sz w:val="24"/>
        </w:rPr>
        <w:t>十、违约责任</w:t>
      </w:r>
    </w:p>
    <w:p w14:paraId="0F36742F">
      <w:pPr>
        <w:tabs>
          <w:tab w:val="left" w:pos="480"/>
        </w:tabs>
        <w:spacing w:line="360" w:lineRule="auto"/>
        <w:rPr>
          <w:rFonts w:ascii="宋体" w:hAnsi="宋体" w:cs="宋体"/>
          <w:color w:val="auto"/>
          <w:sz w:val="24"/>
        </w:rPr>
      </w:pPr>
      <w:r>
        <w:rPr>
          <w:rFonts w:hint="eastAsia" w:ascii="宋体" w:hAnsi="宋体" w:cs="宋体"/>
          <w:color w:val="auto"/>
          <w:sz w:val="24"/>
        </w:rPr>
        <w:t>（一）按《政府采购法》、《中华人民共和国民法典》中的相关条款执行。</w:t>
      </w:r>
    </w:p>
    <w:p w14:paraId="38358A78">
      <w:pPr>
        <w:tabs>
          <w:tab w:val="left" w:pos="480"/>
        </w:tabs>
        <w:spacing w:line="360" w:lineRule="auto"/>
        <w:rPr>
          <w:rFonts w:ascii="宋体" w:hAnsi="宋体" w:cs="宋体"/>
          <w:color w:val="auto"/>
          <w:sz w:val="24"/>
        </w:rPr>
      </w:pPr>
      <w:r>
        <w:rPr>
          <w:rFonts w:hint="eastAsia" w:ascii="宋体" w:hAnsi="宋体" w:cs="宋体"/>
          <w:color w:val="auto"/>
          <w:sz w:val="24"/>
        </w:rPr>
        <w:t>（二）未按合同要求提供货物、质保服务或质量不能满足招标文件技术要求，在约定的条件下，乙方必须无条件更换，提高技术，完善质量，提供质保服务，否则，甲方有权解除合同，解除合同书面通知书到达乙方之日视为合同已解除，并按以下两种方式追究乙方的违约责任：</w:t>
      </w:r>
    </w:p>
    <w:p w14:paraId="266031BE">
      <w:pPr>
        <w:tabs>
          <w:tab w:val="left" w:pos="480"/>
        </w:tabs>
        <w:spacing w:line="360" w:lineRule="auto"/>
        <w:ind w:firstLine="480" w:firstLineChars="200"/>
        <w:rPr>
          <w:rFonts w:ascii="宋体" w:hAnsi="宋体" w:cs="宋体"/>
          <w:color w:val="auto"/>
          <w:sz w:val="24"/>
        </w:rPr>
      </w:pPr>
      <w:r>
        <w:rPr>
          <w:rFonts w:hint="eastAsia" w:ascii="宋体" w:hAnsi="宋体" w:cs="宋体"/>
          <w:color w:val="auto"/>
          <w:sz w:val="24"/>
        </w:rPr>
        <w:t>1、乙方赔偿甲方解除合同的全部损失（包括但不限于重新采购产生的费用、合同未履行导致设备不能按规划交付使用可能产生的租赁费用及其它由此造成的甲方对第三方的违约损失）；</w:t>
      </w:r>
    </w:p>
    <w:p w14:paraId="7EDA4666">
      <w:pPr>
        <w:tabs>
          <w:tab w:val="left" w:pos="480"/>
        </w:tabs>
        <w:spacing w:line="360" w:lineRule="auto"/>
        <w:ind w:firstLine="480" w:firstLineChars="200"/>
        <w:rPr>
          <w:rFonts w:ascii="宋体" w:hAnsi="宋体" w:cs="宋体"/>
          <w:color w:val="auto"/>
          <w:sz w:val="24"/>
        </w:rPr>
      </w:pPr>
      <w:r>
        <w:rPr>
          <w:rFonts w:hint="eastAsia" w:ascii="宋体" w:hAnsi="宋体" w:cs="宋体"/>
          <w:color w:val="auto"/>
          <w:sz w:val="24"/>
        </w:rPr>
        <w:t>2、乙方支付甲方违约金，违约金计算方法：以合同总价为基数，支付甲方合同总价的30%为违约金，同时，对乙方的违约行为报监管机构进行相应的处罚。</w:t>
      </w:r>
    </w:p>
    <w:p w14:paraId="19A92719">
      <w:pPr>
        <w:tabs>
          <w:tab w:val="left" w:pos="480"/>
        </w:tabs>
        <w:spacing w:line="360" w:lineRule="auto"/>
        <w:rPr>
          <w:rFonts w:ascii="宋体" w:hAnsi="宋体" w:cs="宋体"/>
          <w:b/>
          <w:color w:val="auto"/>
          <w:sz w:val="24"/>
        </w:rPr>
      </w:pPr>
      <w:r>
        <w:rPr>
          <w:rFonts w:hint="eastAsia" w:ascii="宋体" w:hAnsi="宋体" w:cs="宋体"/>
          <w:b/>
          <w:color w:val="auto"/>
          <w:sz w:val="24"/>
        </w:rPr>
        <w:t>十一、合同争议解决的方式</w:t>
      </w:r>
    </w:p>
    <w:p w14:paraId="36D7D029">
      <w:pPr>
        <w:tabs>
          <w:tab w:val="left" w:pos="480"/>
        </w:tabs>
        <w:spacing w:line="360" w:lineRule="auto"/>
        <w:ind w:firstLine="480" w:firstLineChars="200"/>
        <w:rPr>
          <w:rFonts w:ascii="宋体" w:hAnsi="宋体" w:cs="宋体"/>
          <w:color w:val="auto"/>
          <w:sz w:val="24"/>
        </w:rPr>
      </w:pPr>
      <w:r>
        <w:rPr>
          <w:rFonts w:hint="eastAsia" w:ascii="宋体" w:hAnsi="宋体" w:cs="宋体"/>
          <w:color w:val="auto"/>
          <w:sz w:val="24"/>
        </w:rPr>
        <w:t>本合同在履行过程中发生的争议，由甲、乙双方当事人协商解决，协商不成的依法向甲方所在地人民法院起诉。</w:t>
      </w:r>
    </w:p>
    <w:p w14:paraId="6D09DE83">
      <w:pPr>
        <w:tabs>
          <w:tab w:val="left" w:pos="480"/>
        </w:tabs>
        <w:spacing w:line="360" w:lineRule="auto"/>
        <w:rPr>
          <w:rFonts w:ascii="宋体" w:hAnsi="宋体" w:cs="宋体"/>
          <w:b/>
          <w:color w:val="auto"/>
          <w:sz w:val="24"/>
        </w:rPr>
      </w:pPr>
      <w:r>
        <w:rPr>
          <w:rFonts w:hint="eastAsia" w:ascii="宋体" w:hAnsi="宋体" w:cs="宋体"/>
          <w:b/>
          <w:color w:val="auto"/>
          <w:sz w:val="24"/>
        </w:rPr>
        <w:t>十二、合同生效</w:t>
      </w:r>
    </w:p>
    <w:p w14:paraId="07B286EE">
      <w:pPr>
        <w:tabs>
          <w:tab w:val="left" w:pos="480"/>
        </w:tabs>
        <w:spacing w:line="360" w:lineRule="auto"/>
        <w:ind w:firstLine="480" w:firstLineChars="200"/>
        <w:rPr>
          <w:rFonts w:ascii="宋体" w:hAnsi="宋体" w:cs="宋体"/>
          <w:color w:val="auto"/>
          <w:sz w:val="24"/>
        </w:rPr>
      </w:pPr>
      <w:bookmarkStart w:id="0" w:name="_Hlk527448041"/>
      <w:r>
        <w:rPr>
          <w:rFonts w:hint="eastAsia" w:ascii="宋体" w:hAnsi="宋体" w:cs="宋体"/>
          <w:color w:val="auto"/>
          <w:sz w:val="24"/>
        </w:rPr>
        <w:t>本合同一式</w:t>
      </w:r>
      <w:r>
        <w:rPr>
          <w:rFonts w:hint="eastAsia" w:ascii="宋体" w:hAnsi="宋体" w:cs="宋体"/>
          <w:color w:val="auto"/>
          <w:sz w:val="24"/>
          <w:lang w:val="en-US" w:eastAsia="zh-CN"/>
        </w:rPr>
        <w:t>肆</w:t>
      </w:r>
      <w:r>
        <w:rPr>
          <w:rFonts w:hint="eastAsia" w:ascii="宋体" w:hAnsi="宋体" w:cs="宋体"/>
          <w:color w:val="auto"/>
          <w:sz w:val="24"/>
        </w:rPr>
        <w:t>份，甲方</w:t>
      </w:r>
      <w:r>
        <w:rPr>
          <w:rFonts w:hint="eastAsia" w:ascii="宋体" w:hAnsi="宋体" w:cs="宋体"/>
          <w:color w:val="auto"/>
          <w:sz w:val="24"/>
          <w:lang w:eastAsia="zh-CN"/>
        </w:rPr>
        <w:t>、</w:t>
      </w:r>
      <w:r>
        <w:rPr>
          <w:rFonts w:hint="eastAsia" w:ascii="宋体" w:hAnsi="宋体" w:cs="宋体"/>
          <w:color w:val="auto"/>
          <w:sz w:val="24"/>
        </w:rPr>
        <w:t>乙方各执</w:t>
      </w:r>
      <w:r>
        <w:rPr>
          <w:rFonts w:hint="eastAsia" w:ascii="宋体" w:hAnsi="宋体" w:cs="宋体"/>
          <w:color w:val="auto"/>
          <w:sz w:val="24"/>
          <w:lang w:val="en-US" w:eastAsia="zh-CN"/>
        </w:rPr>
        <w:t>贰</w:t>
      </w:r>
      <w:r>
        <w:rPr>
          <w:rFonts w:hint="eastAsia" w:ascii="宋体" w:hAnsi="宋体" w:cs="宋体"/>
          <w:color w:val="auto"/>
          <w:sz w:val="24"/>
        </w:rPr>
        <w:t>份，本合同自甲方、乙方</w:t>
      </w:r>
      <w:r>
        <w:rPr>
          <w:rFonts w:hint="eastAsia" w:ascii="宋体" w:hAnsi="宋体" w:cs="宋体"/>
          <w:color w:val="auto"/>
          <w:sz w:val="24"/>
          <w:lang w:val="en-US" w:eastAsia="zh-CN"/>
        </w:rPr>
        <w:t>双</w:t>
      </w:r>
      <w:r>
        <w:rPr>
          <w:rFonts w:hint="eastAsia" w:ascii="宋体" w:hAnsi="宋体" w:cs="宋体"/>
          <w:color w:val="auto"/>
          <w:sz w:val="24"/>
        </w:rPr>
        <w:t>方签字盖章之日起生效，原厂维修保养服务期结束后，自动终止（但合同的服务承诺除外）。</w:t>
      </w:r>
    </w:p>
    <w:bookmarkEnd w:id="0"/>
    <w:p w14:paraId="60EC3037">
      <w:pPr>
        <w:tabs>
          <w:tab w:val="left" w:pos="480"/>
        </w:tabs>
        <w:spacing w:line="360" w:lineRule="auto"/>
        <w:rPr>
          <w:rFonts w:ascii="宋体" w:hAnsi="宋体" w:cs="宋体"/>
          <w:b/>
          <w:color w:val="auto"/>
          <w:sz w:val="24"/>
        </w:rPr>
      </w:pPr>
      <w:r>
        <w:rPr>
          <w:rFonts w:hint="eastAsia" w:ascii="宋体" w:hAnsi="宋体" w:cs="宋体"/>
          <w:b/>
          <w:color w:val="auto"/>
          <w:sz w:val="24"/>
        </w:rPr>
        <w:t>十三、其他事项</w:t>
      </w:r>
    </w:p>
    <w:p w14:paraId="2F11073E">
      <w:pPr>
        <w:tabs>
          <w:tab w:val="left" w:pos="480"/>
        </w:tabs>
        <w:spacing w:line="360" w:lineRule="auto"/>
        <w:rPr>
          <w:rFonts w:ascii="宋体" w:hAnsi="宋体" w:cs="宋体"/>
          <w:color w:val="auto"/>
          <w:sz w:val="24"/>
        </w:rPr>
      </w:pPr>
      <w:r>
        <w:rPr>
          <w:rFonts w:hint="eastAsia" w:ascii="宋体" w:hAnsi="宋体" w:cs="宋体"/>
          <w:color w:val="auto"/>
          <w:sz w:val="24"/>
        </w:rPr>
        <w:t>（一）</w:t>
      </w:r>
      <w:r>
        <w:rPr>
          <w:rFonts w:hint="eastAsia" w:ascii="宋体" w:hAnsi="宋体" w:cs="宋体"/>
          <w:color w:val="auto"/>
          <w:sz w:val="24"/>
          <w:lang w:val="en-US" w:eastAsia="zh-CN"/>
        </w:rPr>
        <w:t>监督部门</w:t>
      </w:r>
      <w:r>
        <w:rPr>
          <w:rFonts w:hint="eastAsia" w:ascii="宋体" w:hAnsi="宋体" w:cs="宋体"/>
          <w:color w:val="auto"/>
          <w:sz w:val="24"/>
        </w:rPr>
        <w:t>在合同的履行期间以及履行期后，可以随时检查项目的执行情况，对采购内容、标准进行调查核实，并对发现的问题进行处理。</w:t>
      </w:r>
    </w:p>
    <w:p w14:paraId="788F4BF0">
      <w:pPr>
        <w:tabs>
          <w:tab w:val="left" w:pos="480"/>
        </w:tabs>
        <w:spacing w:line="360" w:lineRule="auto"/>
        <w:rPr>
          <w:rFonts w:ascii="宋体" w:hAnsi="宋体" w:cs="宋体"/>
          <w:color w:val="auto"/>
          <w:sz w:val="24"/>
        </w:rPr>
      </w:pPr>
      <w:r>
        <w:rPr>
          <w:rFonts w:hint="eastAsia" w:ascii="宋体" w:hAnsi="宋体" w:cs="宋体"/>
          <w:color w:val="auto"/>
          <w:sz w:val="24"/>
        </w:rPr>
        <w:t>（</w:t>
      </w:r>
      <w:r>
        <w:rPr>
          <w:rFonts w:hint="eastAsia" w:ascii="宋体" w:hAnsi="宋体" w:cs="宋体"/>
          <w:color w:val="auto"/>
          <w:sz w:val="24"/>
          <w:lang w:val="en-US" w:eastAsia="zh-CN"/>
        </w:rPr>
        <w:t>二</w:t>
      </w:r>
      <w:r>
        <w:rPr>
          <w:rFonts w:hint="eastAsia" w:ascii="宋体" w:hAnsi="宋体" w:cs="宋体"/>
          <w:color w:val="auto"/>
          <w:sz w:val="24"/>
        </w:rPr>
        <w:t>）招标文件、投标文件、澄清表（函）、中标通知书、合同附件均成为合同不可分割的部分。</w:t>
      </w:r>
    </w:p>
    <w:p w14:paraId="37192979">
      <w:pPr>
        <w:tabs>
          <w:tab w:val="left" w:pos="480"/>
        </w:tabs>
        <w:spacing w:line="360" w:lineRule="auto"/>
        <w:rPr>
          <w:rFonts w:ascii="宋体" w:hAnsi="宋体" w:cs="宋体"/>
          <w:color w:val="auto"/>
          <w:sz w:val="24"/>
        </w:rPr>
      </w:pPr>
      <w:r>
        <w:rPr>
          <w:rFonts w:hint="eastAsia" w:ascii="宋体" w:hAnsi="宋体" w:cs="宋体"/>
          <w:color w:val="auto"/>
          <w:sz w:val="24"/>
        </w:rPr>
        <w:t>（</w:t>
      </w:r>
      <w:r>
        <w:rPr>
          <w:rFonts w:hint="eastAsia" w:ascii="宋体" w:hAnsi="宋体" w:cs="宋体"/>
          <w:color w:val="auto"/>
          <w:sz w:val="24"/>
          <w:lang w:val="en-US" w:eastAsia="zh-CN"/>
        </w:rPr>
        <w:t>三</w:t>
      </w:r>
      <w:r>
        <w:rPr>
          <w:rFonts w:hint="eastAsia" w:ascii="宋体" w:hAnsi="宋体" w:cs="宋体"/>
          <w:color w:val="auto"/>
          <w:sz w:val="24"/>
        </w:rPr>
        <w:t>）合同未尽事宜，由甲、乙双方协商确认后，签订补充协议，与本合同具有同等法律效力。补充协议与本合同不一致的，以补充协议为准。</w:t>
      </w:r>
    </w:p>
    <w:p w14:paraId="306F6EF1">
      <w:pPr>
        <w:tabs>
          <w:tab w:val="left" w:pos="480"/>
        </w:tabs>
        <w:spacing w:line="360" w:lineRule="auto"/>
        <w:rPr>
          <w:rFonts w:ascii="宋体" w:hAnsi="宋体" w:cs="宋体"/>
          <w:color w:val="auto"/>
          <w:sz w:val="24"/>
        </w:rPr>
      </w:pPr>
      <w:r>
        <w:rPr>
          <w:rFonts w:hint="eastAsia" w:ascii="宋体" w:hAnsi="宋体" w:cs="宋体"/>
          <w:color w:val="auto"/>
          <w:sz w:val="24"/>
        </w:rPr>
        <w:t>（</w:t>
      </w:r>
      <w:r>
        <w:rPr>
          <w:rFonts w:hint="eastAsia" w:ascii="宋体" w:hAnsi="宋体" w:cs="宋体"/>
          <w:color w:val="auto"/>
          <w:sz w:val="24"/>
          <w:lang w:val="en-US" w:eastAsia="zh-CN"/>
        </w:rPr>
        <w:t>四</w:t>
      </w:r>
      <w:r>
        <w:rPr>
          <w:rFonts w:hint="eastAsia" w:ascii="宋体" w:hAnsi="宋体" w:cs="宋体"/>
          <w:color w:val="auto"/>
          <w:sz w:val="24"/>
        </w:rPr>
        <w:t>）合同一经签订，不得擅自变更、中止或终止合同。对确需变更、调整或中止、终止合同的，有法律规定的按照法律规定，除合同约定外，由甲乙双方再行协商，协商一致前，原合同或条款继续履行。</w:t>
      </w:r>
    </w:p>
    <w:p w14:paraId="018A8B23">
      <w:pPr>
        <w:tabs>
          <w:tab w:val="left" w:pos="480"/>
        </w:tabs>
        <w:spacing w:line="360" w:lineRule="auto"/>
        <w:rPr>
          <w:rFonts w:ascii="宋体" w:hAnsi="宋体" w:cs="宋体"/>
          <w:color w:val="auto"/>
          <w:sz w:val="24"/>
        </w:rPr>
      </w:pPr>
      <w:r>
        <w:rPr>
          <w:rFonts w:hint="eastAsia" w:ascii="宋体" w:hAnsi="宋体" w:cs="宋体"/>
          <w:color w:val="auto"/>
          <w:sz w:val="24"/>
        </w:rPr>
        <w:t>（</w:t>
      </w:r>
      <w:r>
        <w:rPr>
          <w:rFonts w:hint="eastAsia" w:ascii="宋体" w:hAnsi="宋体" w:cs="宋体"/>
          <w:color w:val="auto"/>
          <w:sz w:val="24"/>
          <w:lang w:val="en-US" w:eastAsia="zh-CN"/>
        </w:rPr>
        <w:t>五</w:t>
      </w:r>
      <w:r>
        <w:rPr>
          <w:rFonts w:hint="eastAsia" w:ascii="宋体" w:hAnsi="宋体" w:cs="宋体"/>
          <w:color w:val="auto"/>
          <w:sz w:val="24"/>
        </w:rPr>
        <w:t>）本合同按照中华人民共和国的现行法律进行解释。</w:t>
      </w:r>
    </w:p>
    <w:p w14:paraId="204B7923">
      <w:pPr>
        <w:tabs>
          <w:tab w:val="left" w:pos="480"/>
        </w:tabs>
        <w:spacing w:line="360" w:lineRule="auto"/>
        <w:rPr>
          <w:rFonts w:ascii="宋体" w:hAnsi="宋体" w:cs="宋体"/>
          <w:color w:val="auto"/>
          <w:sz w:val="24"/>
        </w:rPr>
      </w:pPr>
      <w:r>
        <w:rPr>
          <w:rFonts w:hint="eastAsia" w:ascii="宋体" w:hAnsi="宋体" w:cs="宋体"/>
          <w:color w:val="auto"/>
          <w:sz w:val="24"/>
        </w:rPr>
        <w:t>（</w:t>
      </w:r>
      <w:r>
        <w:rPr>
          <w:rFonts w:hint="eastAsia" w:ascii="宋体" w:hAnsi="宋体" w:cs="宋体"/>
          <w:color w:val="auto"/>
          <w:sz w:val="24"/>
          <w:lang w:val="en-US" w:eastAsia="zh-CN"/>
        </w:rPr>
        <w:t>六</w:t>
      </w:r>
      <w:r>
        <w:rPr>
          <w:rFonts w:hint="eastAsia" w:ascii="宋体" w:hAnsi="宋体" w:cs="宋体"/>
          <w:color w:val="auto"/>
          <w:sz w:val="24"/>
        </w:rPr>
        <w:t>）本合同附件作为本合同的组成部分，与本合同具有同等法律效力。</w:t>
      </w:r>
    </w:p>
    <w:p w14:paraId="14269DF8">
      <w:pPr>
        <w:tabs>
          <w:tab w:val="left" w:pos="480"/>
        </w:tabs>
        <w:spacing w:line="360" w:lineRule="auto"/>
        <w:rPr>
          <w:rFonts w:ascii="宋体" w:hAnsi="宋体" w:cs="宋体"/>
          <w:color w:val="auto"/>
          <w:sz w:val="24"/>
        </w:rPr>
      </w:pPr>
      <w:r>
        <w:rPr>
          <w:rFonts w:hint="eastAsia" w:ascii="宋体" w:hAnsi="宋体" w:cs="宋体"/>
          <w:color w:val="auto"/>
          <w:sz w:val="24"/>
        </w:rPr>
        <w:t>（以下无正文）</w:t>
      </w:r>
    </w:p>
    <w:p w14:paraId="1C348D04">
      <w:pPr>
        <w:tabs>
          <w:tab w:val="left" w:pos="480"/>
        </w:tabs>
        <w:spacing w:line="360" w:lineRule="auto"/>
        <w:rPr>
          <w:rFonts w:ascii="宋体" w:hAnsi="宋体" w:cs="宋体"/>
          <w:color w:val="auto"/>
          <w:sz w:val="24"/>
        </w:rPr>
      </w:pPr>
    </w:p>
    <w:p w14:paraId="4867083D">
      <w:pPr>
        <w:tabs>
          <w:tab w:val="left" w:pos="480"/>
        </w:tabs>
        <w:spacing w:line="360" w:lineRule="auto"/>
        <w:rPr>
          <w:rFonts w:ascii="宋体" w:hAnsi="宋体" w:cs="宋体"/>
          <w:color w:val="auto"/>
          <w:sz w:val="24"/>
        </w:rPr>
      </w:pPr>
      <w:r>
        <w:rPr>
          <w:rFonts w:hint="eastAsia" w:ascii="宋体" w:hAnsi="宋体" w:cs="宋体"/>
          <w:color w:val="auto"/>
          <w:sz w:val="24"/>
        </w:rPr>
        <w:t>甲  方（公章）                       乙  方（公章）</w:t>
      </w:r>
    </w:p>
    <w:p w14:paraId="00D93F7C">
      <w:pPr>
        <w:tabs>
          <w:tab w:val="left" w:pos="480"/>
        </w:tabs>
        <w:spacing w:line="360" w:lineRule="auto"/>
        <w:rPr>
          <w:rFonts w:ascii="宋体" w:hAnsi="宋体" w:cs="宋体"/>
          <w:color w:val="auto"/>
          <w:sz w:val="24"/>
        </w:rPr>
      </w:pPr>
      <w:r>
        <w:rPr>
          <w:rFonts w:hint="eastAsia" w:ascii="宋体" w:hAnsi="宋体" w:cs="宋体"/>
          <w:color w:val="auto"/>
          <w:sz w:val="24"/>
        </w:rPr>
        <w:t>单位名称：</w:t>
      </w:r>
      <w:r>
        <w:rPr>
          <w:rFonts w:hint="eastAsia" w:ascii="宋体" w:hAnsi="宋体" w:cs="宋体"/>
          <w:color w:val="auto"/>
          <w:sz w:val="24"/>
          <w:lang w:val="en-US" w:eastAsia="zh-CN"/>
        </w:rPr>
        <w:t xml:space="preserve">                       </w:t>
      </w:r>
      <w:r>
        <w:rPr>
          <w:rFonts w:hint="eastAsia" w:ascii="宋体" w:hAnsi="宋体" w:cs="宋体"/>
          <w:color w:val="auto"/>
          <w:sz w:val="24"/>
        </w:rPr>
        <w:t xml:space="preserve">    单位名称:</w:t>
      </w:r>
    </w:p>
    <w:p w14:paraId="0BFDF058">
      <w:pPr>
        <w:tabs>
          <w:tab w:val="left" w:pos="480"/>
        </w:tabs>
        <w:spacing w:line="360" w:lineRule="auto"/>
        <w:rPr>
          <w:rFonts w:ascii="宋体" w:hAnsi="宋体" w:cs="宋体"/>
          <w:color w:val="auto"/>
          <w:sz w:val="24"/>
        </w:rPr>
      </w:pPr>
      <w:r>
        <w:rPr>
          <w:rFonts w:hint="eastAsia" w:ascii="宋体" w:hAnsi="宋体" w:cs="宋体"/>
          <w:color w:val="auto"/>
          <w:sz w:val="24"/>
        </w:rPr>
        <w:t>地  址：</w:t>
      </w:r>
      <w:r>
        <w:rPr>
          <w:rFonts w:hint="eastAsia" w:ascii="宋体" w:hAnsi="宋体" w:cs="宋体"/>
          <w:color w:val="auto"/>
          <w:sz w:val="24"/>
          <w:lang w:val="en-US" w:eastAsia="zh-CN"/>
        </w:rPr>
        <w:t xml:space="preserve">              </w:t>
      </w:r>
      <w:r>
        <w:rPr>
          <w:rFonts w:hint="eastAsia" w:ascii="宋体" w:hAnsi="宋体" w:cs="宋体"/>
          <w:color w:val="auto"/>
          <w:sz w:val="24"/>
        </w:rPr>
        <w:t xml:space="preserve">               地  址：</w:t>
      </w:r>
    </w:p>
    <w:p w14:paraId="00988A0D">
      <w:pPr>
        <w:tabs>
          <w:tab w:val="left" w:pos="480"/>
        </w:tabs>
        <w:spacing w:line="360" w:lineRule="auto"/>
        <w:rPr>
          <w:rFonts w:ascii="宋体" w:hAnsi="宋体" w:cs="宋体"/>
          <w:color w:val="auto"/>
          <w:sz w:val="24"/>
        </w:rPr>
      </w:pPr>
      <w:r>
        <w:rPr>
          <w:rFonts w:hint="eastAsia" w:ascii="宋体" w:hAnsi="宋体" w:cs="宋体"/>
          <w:color w:val="auto"/>
          <w:sz w:val="24"/>
        </w:rPr>
        <w:t xml:space="preserve">法定代表人：（签章）               </w:t>
      </w:r>
      <w:r>
        <w:rPr>
          <w:rFonts w:hint="eastAsia" w:ascii="宋体" w:hAnsi="宋体" w:cs="宋体"/>
          <w:color w:val="auto"/>
          <w:sz w:val="24"/>
          <w:lang w:val="en-US" w:eastAsia="zh-CN"/>
        </w:rPr>
        <w:t xml:space="preserve"> </w:t>
      </w:r>
      <w:r>
        <w:rPr>
          <w:rFonts w:hint="eastAsia" w:ascii="宋体" w:hAnsi="宋体" w:cs="宋体"/>
          <w:color w:val="auto"/>
          <w:sz w:val="24"/>
        </w:rPr>
        <w:t xml:space="preserve">  法定代表人：（签章） </w:t>
      </w:r>
    </w:p>
    <w:p w14:paraId="3FD6F3A1">
      <w:pPr>
        <w:tabs>
          <w:tab w:val="left" w:pos="480"/>
        </w:tabs>
        <w:spacing w:line="360" w:lineRule="auto"/>
        <w:rPr>
          <w:rFonts w:ascii="宋体" w:hAnsi="宋体" w:cs="宋体"/>
          <w:color w:val="auto"/>
          <w:sz w:val="24"/>
        </w:rPr>
      </w:pPr>
    </w:p>
    <w:p w14:paraId="580D3C8B">
      <w:pPr>
        <w:tabs>
          <w:tab w:val="left" w:pos="480"/>
        </w:tabs>
        <w:spacing w:line="360" w:lineRule="auto"/>
        <w:ind w:firstLine="3360" w:firstLineChars="1400"/>
        <w:rPr>
          <w:rFonts w:ascii="宋体" w:hAnsi="宋体" w:cs="宋体"/>
          <w:color w:val="auto"/>
          <w:sz w:val="24"/>
        </w:rPr>
      </w:pPr>
      <w:r>
        <w:rPr>
          <w:rFonts w:hint="eastAsia" w:ascii="宋体" w:hAnsi="宋体" w:cs="宋体"/>
          <w:color w:val="auto"/>
          <w:sz w:val="24"/>
        </w:rPr>
        <w:t xml:space="preserve">         开户银行:</w:t>
      </w:r>
    </w:p>
    <w:p w14:paraId="495015EC">
      <w:pPr>
        <w:tabs>
          <w:tab w:val="left" w:pos="480"/>
        </w:tabs>
        <w:spacing w:line="360" w:lineRule="auto"/>
        <w:rPr>
          <w:rFonts w:ascii="宋体" w:hAnsi="宋体" w:cs="宋体"/>
          <w:color w:val="auto"/>
          <w:sz w:val="24"/>
        </w:rPr>
      </w:pPr>
      <w:r>
        <w:rPr>
          <w:rFonts w:hint="eastAsia" w:ascii="宋体" w:hAnsi="宋体" w:cs="宋体"/>
          <w:color w:val="auto"/>
          <w:sz w:val="24"/>
        </w:rPr>
        <w:t xml:space="preserve">                                     账   号：</w:t>
      </w:r>
    </w:p>
    <w:p w14:paraId="0060B47E">
      <w:r>
        <w:rPr>
          <w:rFonts w:hint="eastAsia" w:ascii="宋体" w:hAnsi="宋体" w:cs="宋体"/>
          <w:color w:val="auto"/>
          <w:sz w:val="24"/>
        </w:rPr>
        <w:t>签订日期： 年  月  日                签订日期： 年  月  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1151D6"/>
    <w:rsid w:val="087F2EF1"/>
    <w:rsid w:val="161151D6"/>
    <w:rsid w:val="28C96BD0"/>
    <w:rsid w:val="39161767"/>
    <w:rsid w:val="3C2123AD"/>
    <w:rsid w:val="3D0D24E4"/>
    <w:rsid w:val="45F02C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2501</Words>
  <Characters>2528</Characters>
  <Lines>0</Lines>
  <Paragraphs>0</Paragraphs>
  <TotalTime>4</TotalTime>
  <ScaleCrop>false</ScaleCrop>
  <LinksUpToDate>false</LinksUpToDate>
  <CharactersWithSpaces>2825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2025-09-01T04:27:00Z</dcterms:created>
  <dc:creator>宝贝</dc:creator>
  <cp:lastModifiedBy>、</cp:lastModifiedBy>
  <dcterms:modified xsi:type="dcterms:W3CDTF">2026-08-29T09:18:16Z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737A8AEFAD724F5ABC6B1B664DAA7C51_13</vt:lpwstr>
  </property>
  <property fmtid="{D5CDD505-2E9C-101B-9397-08002B2CF9AE}" pid="4" name="KSOTemplateDocerSaveRecord">
    <vt:lpwstr>eyJoZGlkIjoiODViY2JkMjU3NGYzZTEwMzZmMGFkZWViYmNkYWU3NDIiLCJ1c2VySWQiOiI2MjQ2MzIxMDUifQ==</vt:lpwstr>
  </property>
</Properties>
</file>