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版本号：JDZB2026-050120260610001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西安市公安局航天分局办公用品及耗材采购项目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JDZB2026-0501</w:t>
      </w:r>
      <w:r>
        <w:br/>
      </w:r>
      <w:r>
        <w:br/>
      </w:r>
      <w:r>
        <w:br/>
      </w:r>
    </w:p>
    <w:p>
      <w:pPr>
        <w:pStyle w:val="null3"/>
        <w:jc w:val="center"/>
        <w:outlineLvl w:val="2"/>
      </w:pPr>
      <w:r>
        <w:rPr>
          <w:rFonts w:ascii="仿宋_GB2312" w:hAnsi="仿宋_GB2312" w:cs="仿宋_GB2312" w:eastAsia="仿宋_GB2312"/>
          <w:sz w:val="28"/>
          <w:b/>
        </w:rPr>
        <w:t>西安市公安局国家民用航天产业基地分局</w:t>
      </w:r>
    </w:p>
    <w:p>
      <w:pPr>
        <w:pStyle w:val="null3"/>
        <w:jc w:val="center"/>
        <w:outlineLvl w:val="2"/>
      </w:pPr>
      <w:r>
        <w:rPr>
          <w:rFonts w:ascii="仿宋_GB2312" w:hAnsi="仿宋_GB2312" w:cs="仿宋_GB2312" w:eastAsia="仿宋_GB2312"/>
          <w:sz w:val="28"/>
          <w:b/>
        </w:rPr>
        <w:t>九鼎工程管理咨询有限公司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九鼎工程管理咨询有限公司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西安市公安局国家民用航天产业基地分局</w:t>
      </w:r>
      <w:r>
        <w:rPr>
          <w:rFonts w:ascii="仿宋_GB2312" w:hAnsi="仿宋_GB2312" w:cs="仿宋_GB2312" w:eastAsia="仿宋_GB2312"/>
        </w:rPr>
        <w:t>委托，拟对</w:t>
      </w:r>
      <w:r>
        <w:rPr>
          <w:rFonts w:ascii="仿宋_GB2312" w:hAnsi="仿宋_GB2312" w:cs="仿宋_GB2312" w:eastAsia="仿宋_GB2312"/>
        </w:rPr>
        <w:t>西安市公安局航天分局办公用品及耗材采购项目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JDZB2026-0501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西安市公安局航天分局办公用品及耗材采购项目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西安市公安局航天分局采购一批办公用品及耗材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经会计师事务所审计的2024或2025年度财务审计报告，或在开标日期前六个月内其基本开户银行出具的资信证明及基本存款账户开户许可证(基本账户信息)或财政部门认可的政府采购专业担保机构出具的投标担保函</w:t>
      </w:r>
    </w:p>
    <w:p>
      <w:pPr>
        <w:pStyle w:val="null3"/>
      </w:pPr>
      <w:r>
        <w:rPr>
          <w:rFonts w:ascii="仿宋_GB2312" w:hAnsi="仿宋_GB2312" w:cs="仿宋_GB2312" w:eastAsia="仿宋_GB2312"/>
        </w:rPr>
        <w:t>3、税收缴纳证明：供应商提供2025年5至今已缴存的至少1个月的依法缴纳税收的相关凭据。依法免税或无须缴纳税收的供应商，应提供相应证明文件</w:t>
      </w:r>
    </w:p>
    <w:p>
      <w:pPr>
        <w:pStyle w:val="null3"/>
      </w:pPr>
      <w:r>
        <w:rPr>
          <w:rFonts w:ascii="仿宋_GB2312" w:hAnsi="仿宋_GB2312" w:cs="仿宋_GB2312" w:eastAsia="仿宋_GB2312"/>
        </w:rPr>
        <w:t>4、社会保障资金缴纳证明：供应商提供2025年5月至今已缴存的至少1个月的社会保障资金缴存单据或社保机构开具的社会保险参保缴费情况证明。依法不需要缴纳社会保障资金的供应商应提供相关证明文件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5、声明函：提供具有履行本合同所必需的设备和专业技术能力的声明</w:t>
      </w:r>
    </w:p>
    <w:p>
      <w:pPr>
        <w:pStyle w:val="null3"/>
      </w:pPr>
      <w:r>
        <w:rPr>
          <w:rFonts w:ascii="仿宋_GB2312" w:hAnsi="仿宋_GB2312" w:cs="仿宋_GB2312" w:eastAsia="仿宋_GB2312"/>
        </w:rPr>
        <w:t>6、重大违法记录：参加政府采购活动前三年内，在经营活动中没有重大违法记录的书面声明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7、法定代表人授权委托书：法定代表人参加投标的，须出示身份证复印件;法定代表人授权他人参加投标的，须提供法定代表人授权委托书及被授权人身份证复印件</w:t>
      </w:r>
    </w:p>
    <w:p>
      <w:pPr>
        <w:pStyle w:val="null3"/>
      </w:pPr>
      <w:r>
        <w:rPr>
          <w:rFonts w:ascii="仿宋_GB2312" w:hAnsi="仿宋_GB2312" w:cs="仿宋_GB2312" w:eastAsia="仿宋_GB2312"/>
        </w:rPr>
        <w:t>8、信用情况：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西安市公安局国家民用航天产业基地分局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西安市长安区韦曲街道飞天路390号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西安市公安局国家民用航天产业基地分局经办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18591773521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九鼎工程管理咨询有限公司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陕西省西安市未央区二环北路西段福瑞苑大厦二单元18楼1806室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15291093877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采购包1：899,063.40元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代理服务费收费标准：1、参照国家计委颁发的《招标代理服务收费管理暂行办法》（计价格[2002]1980号）和《关于招标代理服务收费有关问题的通知》（发改办价格[2003]857号）的货物类标准收取。 2、成交单位在领取成交通知书之前，须向代理机构支付招标代理服务费。 3、招标代理服务费以转账或现金形式缴纳至以下账户： 开户名称：九鼎工程管理咨询有限公司 开户银行：中信银行西安分行营业部 账 号：7251110182600169116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西安市公安局国家民用航天产业基地分局</w:t>
      </w:r>
      <w:r>
        <w:rPr>
          <w:rFonts w:ascii="仿宋_GB2312" w:hAnsi="仿宋_GB2312" w:cs="仿宋_GB2312" w:eastAsia="仿宋_GB2312"/>
        </w:rPr>
        <w:t>和</w:t>
      </w:r>
      <w:r>
        <w:rPr>
          <w:rFonts w:ascii="仿宋_GB2312" w:hAnsi="仿宋_GB2312" w:cs="仿宋_GB2312" w:eastAsia="仿宋_GB2312"/>
        </w:rPr>
        <w:t>九鼎工程管理咨询有限公司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西安市公安局国家民用航天产业基地分局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九鼎工程管理咨询有限公司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西安市公安局国家民用航天产业基地分局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九鼎工程管理咨询有限公司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按照关于印发《政府采购需求管理办法》的通知（财库〔2021〕22号）和《财政部关于进一步加强政府采购需求和履约验收管理的指导意见》(财库〔2016〕205号)的要求以及国家标准、行业标准、合同文本、采购文件、中标人的投标文件进行验收，以满足采购人的实际需求为准。（2） 验收方法：1、初验：货物到达交货地点后，由采购人根据合同对货物 (设备) 的名称、品牌、规格、型号、产地、数量进行检查。2、终验：所有货物(设备)安装调试完成，试运行通过后，由采购人进行终验 (最终验收) ，合格后签发《终验合格单》。（3）中标人应向采购人提交项目实施过程中的所有资料，以便采购人日后管理和维护。</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联系人：高晴</w:t>
      </w:r>
    </w:p>
    <w:p>
      <w:pPr>
        <w:pStyle w:val="null3"/>
      </w:pPr>
      <w:r>
        <w:rPr>
          <w:rFonts w:ascii="仿宋_GB2312" w:hAnsi="仿宋_GB2312" w:cs="仿宋_GB2312" w:eastAsia="仿宋_GB2312"/>
        </w:rPr>
        <w:t>联系电话：15291093877</w:t>
      </w:r>
    </w:p>
    <w:p>
      <w:pPr>
        <w:pStyle w:val="null3"/>
      </w:pPr>
      <w:r>
        <w:rPr>
          <w:rFonts w:ascii="仿宋_GB2312" w:hAnsi="仿宋_GB2312" w:cs="仿宋_GB2312" w:eastAsia="仿宋_GB2312"/>
        </w:rPr>
        <w:t>地址：陕西省西安市未央区二环北路西段福瑞苑大厦</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本项目采购一批办公用品及耗材，具体内容详见采购文件。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899,063.40</w:t>
      </w:r>
    </w:p>
    <w:p>
      <w:pPr>
        <w:pStyle w:val="null3"/>
      </w:pPr>
      <w:r>
        <w:rPr>
          <w:rFonts w:ascii="仿宋_GB2312" w:hAnsi="仿宋_GB2312" w:cs="仿宋_GB2312" w:eastAsia="仿宋_GB2312"/>
        </w:rPr>
        <w:t>采购包最高限价（元）: 899,063.40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西安市公安局航天分局办公用品及耗材采购项目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899,063.40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标的名称：西安市公安局航天分局办公用品及耗材采购项目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一、商务要求：</w:t>
            </w:r>
          </w:p>
          <w:p>
            <w:pPr>
              <w:pStyle w:val="null3"/>
              <w:jc w:val="both"/>
            </w:pPr>
            <w:r>
              <w:rPr>
                <w:rFonts w:ascii="仿宋_GB2312" w:hAnsi="仿宋_GB2312" w:cs="仿宋_GB2312" w:eastAsia="仿宋_GB2312"/>
              </w:rPr>
              <w:t>1.服务期限：自合同签订之日起一年。</w:t>
            </w:r>
          </w:p>
          <w:p>
            <w:pPr>
              <w:pStyle w:val="null3"/>
              <w:jc w:val="both"/>
            </w:pPr>
            <w:r>
              <w:rPr>
                <w:rFonts w:ascii="仿宋_GB2312" w:hAnsi="仿宋_GB2312" w:cs="仿宋_GB2312" w:eastAsia="仿宋_GB2312"/>
              </w:rPr>
              <w:t>2.响应时间：收到供货需求后，需2小时内响应，3个工作日到货。</w:t>
            </w:r>
          </w:p>
          <w:p>
            <w:pPr>
              <w:pStyle w:val="null3"/>
              <w:jc w:val="both"/>
            </w:pPr>
            <w:r>
              <w:rPr>
                <w:rFonts w:ascii="仿宋_GB2312" w:hAnsi="仿宋_GB2312" w:cs="仿宋_GB2312" w:eastAsia="仿宋_GB2312"/>
              </w:rPr>
              <w:t>3.质保期：≥1年。</w:t>
            </w:r>
          </w:p>
          <w:p>
            <w:pPr>
              <w:pStyle w:val="null3"/>
              <w:jc w:val="both"/>
            </w:pPr>
            <w:r>
              <w:rPr>
                <w:rFonts w:ascii="仿宋_GB2312" w:hAnsi="仿宋_GB2312" w:cs="仿宋_GB2312" w:eastAsia="仿宋_GB2312"/>
              </w:rPr>
              <w:t>4.付款：收到货物且验收入库后，货款每月根据当月考核结果据实结算。</w:t>
            </w:r>
          </w:p>
          <w:p>
            <w:pPr>
              <w:pStyle w:val="null3"/>
            </w:pPr>
            <w:r>
              <w:rPr>
                <w:rFonts w:ascii="仿宋_GB2312" w:hAnsi="仿宋_GB2312" w:cs="仿宋_GB2312" w:eastAsia="仿宋_GB2312"/>
                <w:sz w:val="21"/>
              </w:rPr>
              <w:t>二、采购清单</w:t>
            </w:r>
          </w:p>
          <w:tbl>
            <w:tblPr>
              <w:tblBorders>
                <w:top w:val="single"/>
                <w:left w:val="single"/>
                <w:bottom w:val="single"/>
                <w:right w:val="single"/>
                <w:insideH w:val="single"/>
                <w:insideV w:val="single"/>
              </w:tblBorders>
            </w:tblPr>
            <w:tblGrid>
              <w:gridCol w:w="112"/>
              <w:gridCol w:w="457"/>
              <w:gridCol w:w="2031"/>
              <w:gridCol w:w="193"/>
              <w:gridCol w:w="266"/>
              <w:gridCol w:w="379"/>
              <w:gridCol w:w="379"/>
            </w:tblGrid>
            <w:tr>
              <w:tc>
                <w:tcPr>
                  <w:tcW w:type="dxa" w:w="1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203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规格/型号</w:t>
                  </w:r>
                </w:p>
              </w:tc>
              <w:tc>
                <w:tcPr>
                  <w:tcW w:type="dxa" w:w="19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26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75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最高限价</w:t>
                  </w:r>
                </w:p>
              </w:tc>
            </w:tr>
            <w:tr>
              <w:tc>
                <w:tcPr>
                  <w:tcW w:type="dxa" w:w="112"/>
                  <w:vMerge/>
                  <w:tcBorders>
                    <w:top w:val="single" w:color="000000" w:sz="4"/>
                    <w:left w:val="single" w:color="000000" w:sz="4"/>
                    <w:bottom w:val="single" w:color="000000" w:sz="4"/>
                    <w:right w:val="single" w:color="000000" w:sz="4"/>
                  </w:tcBorders>
                </w:tcPr>
                <w:p/>
              </w:tc>
              <w:tc>
                <w:tcPr>
                  <w:tcW w:type="dxa" w:w="457"/>
                  <w:vMerge/>
                  <w:tcBorders>
                    <w:top w:val="single" w:color="000000" w:sz="4"/>
                    <w:left w:val="single" w:color="000000" w:sz="4"/>
                    <w:bottom w:val="single" w:color="000000" w:sz="4"/>
                    <w:right w:val="single" w:color="000000" w:sz="4"/>
                  </w:tcBorders>
                </w:tcPr>
                <w:p/>
              </w:tc>
              <w:tc>
                <w:tcPr>
                  <w:tcW w:type="dxa" w:w="2031"/>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266"/>
                  <w:vMerge/>
                  <w:tcBorders>
                    <w:top w:val="single" w:color="000000" w:sz="4"/>
                    <w:left w:val="single" w:color="000000" w:sz="4"/>
                    <w:bottom w:val="single" w:color="000000" w:sz="4"/>
                    <w:right w:val="single" w:color="000000" w:sz="4"/>
                  </w:tcBorders>
                </w:tcP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单价最高限价（含税）</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小计</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CB436A（黑色）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67.50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5400.00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CC388A（黑色）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5800.00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CE255A（黑色）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66.00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11880.00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CE310A（黑色）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28.80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3744.00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CE310A（彩色）四色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104.40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8352.00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CF217A（黑色）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3520.00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CF256A（黑色）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CF280A（黑色）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7840.00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CF350A（彩色）四色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170.10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13608.00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CF360A（彩色）四色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56500.00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CF400A（彩色）四色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273.00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19110.00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CF400A黑色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81.00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7290.00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CF500A（彩色）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279.00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25110.00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CF500A（黑色）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7900.00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CF540A（彩色）四色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202.50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18225.00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W1370A（黑色）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6400.00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CZ192A（黑色）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94.00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7520.00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W1110A（黑色）6000页</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64.00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PGI-850（彩色）四色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140.40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11232.00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CRG-045（彩色）四色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57800.00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CRG-319（黑色）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56.00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5040.00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CRG-325（黑色）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43.11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3017.70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CRG331（彩色）四色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10500.00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CRG-332（彩色）四色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472.00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MLT-D101S（黑色）4500页</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W2080A（彩色）四色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打印机硒鼓</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MLT-D111S（黑色）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3010.00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802XL黑/彩</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951XL(四色套装）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5950.00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815XL黑/彩</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13520.00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TN115H（黑色）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49.50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3712.50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TN-2215（黑色）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打印机墨水</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T674（1—6六色）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GI-890（黑色）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56.00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1680.00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TN-2225（黑色）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NPG-67（彩色四色）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4860.00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CLI-851（六色）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46.50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3720.00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打印机色带</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C13S010067（黑色）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CF510A彩色（四色）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152.10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11407.50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打印机粉盒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CE310A（彩色）四色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116.00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LT7310彩色（四色）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10360.00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打印机粉盒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W2110A彩色（四色）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329.40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21411.00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打印机粉盒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CT202331（标准）</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167.40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10881.00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打印机墨盒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爱普生056系列</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32500.00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12号订书机</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12号订书机:装订数：100pcs；类型：中型订书机；订纸厚度：20papes/80g;可水平伸展；颜色：黑</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15.05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752.50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省力订书机</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省力订书机大号</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重型订书机</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类型：重型订书机；订纸厚度最大100papes/70g;省力把手设计；滑动挡纸器；书钉种类：23/6~23/13</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厚层订书钉</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厚层订书钉:可订页数：100页/70g；包装：1000pcs/盒；订书针型号：23/13；加厚电镀</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常规12#订书针</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可订页数：25页/70g；包装：1000pcs/盒；订书针型号：12#；加厚电镀</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透明装订胶片封皮</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A4胶片封皮,50张/包，PVC材质，尺寸297*210mm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起钉器</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适用于24/6、26/6订书钉；颜色：灰、黑、蓝</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156.80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回形针</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100枚/盒；防锈工艺：镀镍；单枚尺寸：29mm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自动卷笔刀</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可削笔型：六角、三角、圆杆；防滑设计；笔屑盒设计；颜色：彩色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卷笔刀</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卷笔刀(彩色)(只)，单孔，使用方便，优质刀片锋利易削</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铅笔</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铅笔；笔芯规格：HB；包装规格：12支/盒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594.00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自动铅笔</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自动铅笔</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79.00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电话机</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普通电话机(黑)，特色功能：来电显示；铃声选择；来电静音；长205mm；宽195mm；高60mm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子母电话机</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子母电话机</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录音电话</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录音电话内置存储卡，录音时长≥300小时，自带LED显示屏，支持黑白名单，支持中英文显示，支持双重密码管理，支持通话中新来电提示，支持留言功能、免打扰模式，随机配套录音管理软件；225mm；宽205mm；高40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部</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236.00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4720.00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四栏公文件框</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四栏公文件框(蓝)(只)325*263*313mm加厚塑料：尺寸：325*263*313mm；材质：工程塑料；面板厚度：2.8mm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15.39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923.40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双强力夹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双强力夹：文件夹(蓝)(单双）303mm*235mm*20mm厚度0.7mm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多层文件架</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多层文件架（三层）</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美工刀</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美工刀：包装规格10片/盒；可折刀刃；尺寸100*180,5mm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纽扣电池</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CR2032（5粒一板）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板</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橡皮</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橡皮擦：尺寸60*24*12mm；适用于擦除2B铅笔</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0.43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64.50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A3打印纸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多功能复印纸(A3-70g-5包)(箱)：</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46500.00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A4打印纸（核心产品）</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多功能复印纸(A4-70g-8包)(箱)：用途：印刷、双面打印、喷墨打印、激光打印、传真打印；环保认证；纸张克重70g；单张厚度109微米</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140000.00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A4彩色复印纸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A4彩色复印纸：彩色复印纸；幅面：A4；纸张克数80g/m2；单包张数100张；材质：原浆纸；包装规格：5色混装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7650.00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相纸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高光相片纸：高光相片纸-A4-200g/㎡(白)(20张/袋)：尺寸210*297mm；包装规格20张/袋；纸张克重200g/㎡；高光图层；防水相纸</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黑板擦</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白板磁性白板擦背面吸附黑板擦112*55*40mm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5.20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5米插线板</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5米8插位，电流/电压：10A/250V</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49.90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2994.00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3米插线板</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3米8插位，电流/电压：10A/250V</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57.00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3420.00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一转三插线板</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一转三插线板分控</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资料册</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60页资料册(蓝)(本)310*235*24mm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本</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按扣文件袋</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按扣文件袋(明)(只)330mm*230mm：尺寸330mm*230mm；材质：PP材质；按扣设计；颜色：透明；规格：A4 10个/包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A4拉链袋</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A4拉链袋（透明）20个/包  尺寸335mm*245mm；材质：PP材质；拉链设计；颜色：透明；规格：A4</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档案盒(牛皮纸)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档案盒(牛皮纸) 定制（宽4CM）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抽杆夹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厚度：1.5cm 10个/包 ；规格：A4；塑面材质：PP；</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加厚拉杆夹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厚度：2.5cm 10个/包；规格：A4；塑面材质：PP；</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光盘档案夹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光盘档案夹</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1320.00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装订线</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装订线：装订凭证蜡线150m  10个/袋</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档案盒(蓝)(只)55mm(320*55*240mm)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剪刀</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剪刀(红，蓝，黑)(把)尺寸174mm*70mm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按动签字笔 0.5MM</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按动笔 0.5MM，12支/盒，子弹头（黑）</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5256.00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磨砂杆签字笔0.5</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签字笔0.5MM，12支/盒，子弹头（黑）</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4380.00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磨砂杆签字笔0.7</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签字笔0.7MM，12支/盒，子弹头（黑）</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23.60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4720.00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直液式走珠笔0.5MM</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直液式走珠笔0.5MM，12支/盒，针管式（黑）</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14.80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白板笔</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白板笔(黑，红，蓝)(10支/盒)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9.80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便利贴</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便利贴：简约便利贴便签纸 76*76mm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记号笔</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记号笔：快干油性记号笔 记号笔(黑，红，蓝)(10支/盒)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中性笔芯1.0mm</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中性笔芯1.0mm(黑，红，蓝)(20支/盒)，独立包装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695.00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中性笔芯0.7mm</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中性笔芯0.7mm(黑，红，蓝)(20支/盒)，独立包装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中性笔芯0.5mm</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中性笔芯0.5mm(黑，红，蓝)(20支/盒)，独立包装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固体胶</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(无色)(只)21g</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1584.00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液体胶</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(无色)(瓶)125ml</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白板磁扣</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白板磁扣30mm彩色磁吸固定扣48粒/盒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工字钉</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工字钉80枚/桶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600*900mm白板</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白板；尺寸600*900mm；材质：纤维板；可移动挂钩；铝合金包边；颜色：白</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1200*900mm白板</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白板；尺寸1200*900mm；材质：纤维板；可移动挂钩；铝合金包边；颜色：白</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1500*900mm白板</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白板；尺寸1500*900mm；材质：纤维板；可移动挂钩；铝合金包边；颜色：白</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1912.00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50mm长尾夹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1号彩色长尾票夹50mm(筒装）(12只/筒)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41mm长尾夹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3号彩色长尾票夹41mm(筒装)(24只/筒)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6.80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816.00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15mm长尾夹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5号彩色长尾票夹15mm(筒装)(60只/筒)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圆形笔筒</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圆形笔筒；颜色：黑色；尺寸98mm*91mm；材质：金属；包装规格：只</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圆形 快干印台</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圆形 快干印台；颜色：红色、蓝色、黑色、；实际使用面积尺寸118*68mm;包装规格：只</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方快干印台</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方快干印台颜色：红色、蓝色、黑色、；实际使用面积尺寸118*68mm;包装规格：只</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11.30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原子印油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原子印油(红，蓝，黑)(瓶)原子印油；颜色：红色、蓝色、黑色、；包装规格：10ml/瓶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快干清洁印泥油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快干清洁印泥油(红，蓝，黑)(瓶)快干清洁印泥油；颜色：红色、蓝色、黑色、；包装规格：40ml/瓶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号码机印油</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号码机专用油墨 40ml黑色油墨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22.50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宽胶带</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宽胶带(卷)透明胶带宽45mm长91.4m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双面胶</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双面胶双面高粘性棉纸双面胶带 12mm*10y(9.1m)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窄胶带</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窄胶带(卷)透明窄胶带小型修正胶带8mm*40y</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计算器</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桌面计算器；颜色：银色；宽屏显示（12位），金属面板；双电源；</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99.00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笔记本</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黑色皮质笔记本，长205mm*宽143mm，规格：80页/25K</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32G  U盘</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容量32G，材质：金属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  U盘</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容量64G，材质：金属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  U盘</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容量128G，材质：金属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2980.00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钢笔</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金属钢笔金属钢笔，上墨方式：墨胆，旋转吸墨，书写粗细：EF尖，笔身特点：光面，黑色</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19.80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178.20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9伏电池</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9伏电池；型号：9伏电池</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10.10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7号电池</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电池；型号：7号,60粒/盒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95.80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9580.00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5号电池</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电池；型号：5号；60粒/盒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95.80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9580.00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稿纸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信稿纸；双线；尺寸190*260mm；材质：木浆纸；纸张克数70gm2</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14.40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1512.00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小信封袋</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牛皮信封袋5号牛皮纸信封 220*110mm（5号）</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0.30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147.50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大信封</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大信封：牛皮纸大信封 229*324mm（9号）</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0.33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162.50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会议记录本</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牛皮纸会议记录本/记录本，规格：B5</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本</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A4卡纸(暗纹)(袋)红、黄、蓝、粉  卡纸(混)，每包60张</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1350.00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风琴包</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风琴包(蓝色) 发票收纳多层（13格子）</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标签打印机色带</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不干胶标签90mm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44.00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凭证纸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80g空白凭证纸240*140mm 500张/包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11.05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44.20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凭证封面纸</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凭证封面纸 A4竖版</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钢直尺</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钢直尺: 30cm 带公式换算表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塑料直尺</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塑料直尺：30CM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45.60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光盘8.5G</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8.5G  50个/盒：DVD-R 16速,空白光盘容量 8.5G， 50个/盒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9540.00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可擦写光盘</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可擦写光盘10个/盒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37.00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光盘4.7G</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4.7GDVD-R 16速,容量 4.7G，50个/盒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5340.00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光盘袋</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光盘袋加厚款，环保双面装PP袋，100个/包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w:t>
                  </w:r>
                </w:p>
              </w:tc>
              <w:tc>
                <w:tcPr>
                  <w:tcW w:type="dxa" w:w="4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鼠标键盘</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鼠标键盘套装</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佳能c3525</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更换主控板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更换ADF组件（含扫描头)</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795.00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795.00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C3020</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MF8250Cn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更换主控板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370.00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8230Cn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更换电源板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370.00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623Cn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更换主控板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715.00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715.00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更换ADF组件（含扫描头)</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更换DC控制板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更换电源板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216.00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628Cw</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270.00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631Cn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TS7780A</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135.00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佳能 F170102</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270.00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370.00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M203d</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M227N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M233sdn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M329dw</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更换主控板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更换DC控制板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更换电源板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M521dn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270.00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1108</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56.00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1106</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更换主控板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1020p</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179fnw</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150a</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176n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33.00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52.00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52.00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78.00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270.00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M180N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M281fdw</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114.00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116.00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170.00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惠普 M479dw</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95.00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135.00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330.00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奔图CM2200FDW</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 xml:space="preserve">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联想 CM7810DXF </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更换主控板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联想 CM7310DNW</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43.00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63.00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联想LJ2655DM</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83.00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83.00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得力DM34ADN</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更换转印组件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更换高压板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更换电源板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更换成像传感器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维修定影组件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更换激光器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得实DS7850</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更换打印头</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更换电源板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爱普生 WF-4838</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更换打印头</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更换电源板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爱普生 WF-5623</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更换主电机齿轮组</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爱普生 WF-C5290a</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更换DC控制板</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更换输搞器组件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爱普生 L805</w:t>
                  </w: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更换搓纸轮分页盒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55.00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更换进纸组件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120.00 </w:t>
                  </w: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7"/>
                  <w:vMerge/>
                  <w:tcBorders>
                    <w:top w:val="single" w:color="000000" w:sz="4"/>
                    <w:left w:val="single" w:color="000000" w:sz="4"/>
                    <w:bottom w:val="single" w:color="000000" w:sz="4"/>
                    <w:right w:val="single" w:color="000000" w:sz="4"/>
                  </w:tcBorders>
                </w:tcPr>
                <w:p/>
              </w:tc>
              <w:tc>
                <w:tcPr>
                  <w:tcW w:type="dxa" w:w="20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清洁校正</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2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65.00 </w:t>
                  </w:r>
                </w:p>
              </w:tc>
            </w:tr>
            <w:tr>
              <w:tc>
                <w:tcPr>
                  <w:tcW w:type="dxa" w:w="305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合计金额</w:t>
                  </w:r>
                </w:p>
              </w:tc>
              <w:tc>
                <w:tcPr>
                  <w:tcW w:type="dxa" w:w="75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 xml:space="preserve">899063.40 </w:t>
                  </w:r>
                </w:p>
              </w:tc>
            </w:tr>
            <w:tr>
              <w:tc>
                <w:tcPr>
                  <w:tcW w:type="dxa" w:w="3817"/>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注：本项目设置单价最高限价和总价最高限价，供应商的响应报价中，任一单项报价超过对应单价最高限价，或响应总价超过总价最高限价的，均按无效投标处理，不进入评审环节。</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进度款，第一个月末根据实际供货情况据实结算，达到付款条件起30个工作日内，支付合同总金额的8.33%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进度款，第二个月末根据实际供货情况据实结算，达到付款条件起30个工作日内，支付合同总金额的8.33%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进度款，第三个月末根据实际供货情况据实结算，达到付款条件起30个工作日内，支付合同总金额的8.33%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进度款，第四个月末根据实际供货情况据实结算，达到付款条件起30个工作日内，支付合同总金额的8.33%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进度款，第五个月末根据实际供货情况据实结算，达到付款条件起30个工作日内，支付合同总金额的8.33%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进度款，第六个月末根据实际供货情况据实结算，达到付款条件起30个工作日内，支付合同总金额的8.33%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进度款，第七个月末根据实际供货情况据实结算，达到付款条件起30个工作日内，支付合同总金额的8.33%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进度款，第八个月末根据实际供货情况据实结算，达到付款条件起30个工作日内，支付合同总金额的8.33%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进度款，第九个月末根据实际供货情况据实结算，达到付款条件起30个工作日内，支付合同总金额的8.33%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进度款，第十个月末根据实际供货情况据实结算，达到付款条件起30个工作日内，支付合同总金额的8.33%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进度款，第十一个月末根据实际供货情况据实结算，达到付款条件起30个工作日内，支付合同总金额的8.33%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进度款，第十二个月末根据实际供货情况据实结算，达到付款条件起30个工作日内，支付合同总金额的8.37%</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按照关于印发《政府采购需求管理办法》的通知（财库〔2021〕22号）和《财政部关于进一步加强政府采购需求和履约验收管理的指导意见》(财库〔2016〕205号)的要求以及国家标准、行业标准、合同文本、采购文件、中标人的投标文件进行验收，以满足采购人的实际需求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2.中标（成交）单位在中标（成交）后需向采购人免费提供纸质响应文件正本壹份、副本壹份，用于项目归档使用。纸质版与上传版必须保持一致，若纸质版响应文件与上传政府采购系统电子版文件不一致时，以政府采购平台上传版为准。4.开标后报价环节，供应商在政府采购平台系统提交报价表的，同时分项报价表以附件上传。且每轮分项报价表发邮箱292812990@qq.com ，格式为PDF和Excel 形式。系统中的分项报价表需与邮箱中的分项报价表内容保持一致。 5.因政府采购系统设置局限性，本项目实际付款为收到货物且验收入库后，货款每月根据考核结果据实结算。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2024或2025年度财务审计报告，或在开标日期前六个月内其基本开户银行出具的资信证明及基本存款账户开户许可证(基本账户信息)或财政部门认可的政府采购专业担保机构出具的投标担保函</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供应商提供2025年5至今已缴存的至少1个月的依法缴纳税收的相关凭据。依法免税或无须缴纳税收的供应商，应提供相应证明文件</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供应商提供2025年5月至今已缴存的至少1个月的社会保障资金缴存单据或社保机构开具的社会保险参保缴费情况证明。依法不需要缴纳社会保障资金的供应商应提供相关证明文件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分项报价表.docx 残疾人福利性单位声明函 标的清单 关于符合本国产品标准的声明函 产品技术参数表.pdf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授权委托书（法定代表人（单位负责人/自然人）本人直接谈判的，只需提供身份证明）</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技术及商务响应</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产品技术参数表.pdf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中国境内生产的组件成本核算基本规则</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