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FAB64">
      <w:pPr>
        <w:numPr>
          <w:ilvl w:val="0"/>
          <w:numId w:val="0"/>
        </w:numPr>
        <w:spacing w:line="500" w:lineRule="atLeast"/>
        <w:ind w:firstLine="3253" w:firstLineChars="900"/>
        <w:jc w:val="both"/>
        <w:outlineLvl w:val="0"/>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zh-CN"/>
        </w:rPr>
        <w:t>合同草案条款</w:t>
      </w:r>
    </w:p>
    <w:p w14:paraId="7A468B20">
      <w:pPr>
        <w:pStyle w:val="3"/>
        <w:rPr>
          <w:rFonts w:hint="eastAsia" w:ascii="仿宋" w:hAnsi="仿宋" w:eastAsia="仿宋" w:cs="仿宋"/>
          <w:color w:val="auto"/>
          <w:highlight w:val="none"/>
        </w:rPr>
      </w:pPr>
    </w:p>
    <w:p w14:paraId="4254225E">
      <w:pPr>
        <w:spacing w:line="500" w:lineRule="atLeast"/>
        <w:jc w:val="center"/>
        <w:rPr>
          <w:rFonts w:hint="eastAsia" w:ascii="仿宋" w:hAnsi="仿宋" w:eastAsia="仿宋" w:cs="仿宋"/>
          <w:b/>
          <w:bCs/>
          <w:color w:val="auto"/>
          <w:sz w:val="44"/>
          <w:szCs w:val="44"/>
          <w:highlight w:val="none"/>
        </w:rPr>
      </w:pPr>
    </w:p>
    <w:p w14:paraId="5CD67292">
      <w:pPr>
        <w:pStyle w:val="3"/>
        <w:rPr>
          <w:rFonts w:hint="eastAsia" w:ascii="仿宋" w:hAnsi="仿宋" w:eastAsia="仿宋" w:cs="仿宋"/>
          <w:color w:val="auto"/>
          <w:highlight w:val="none"/>
        </w:rPr>
      </w:pPr>
    </w:p>
    <w:p w14:paraId="01605AC6">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6"/>
          <w:szCs w:val="36"/>
          <w:highlight w:val="none"/>
        </w:rPr>
        <w:t xml:space="preserve">  </w:t>
      </w:r>
      <w:r>
        <w:rPr>
          <w:rFonts w:hint="eastAsia" w:ascii="仿宋" w:hAnsi="仿宋" w:eastAsia="仿宋" w:cs="仿宋"/>
          <w:b/>
          <w:bCs/>
          <w:color w:val="auto"/>
          <w:sz w:val="32"/>
          <w:szCs w:val="32"/>
          <w:highlight w:val="none"/>
        </w:rPr>
        <w:t>仅供参考，具体合同以双方签订为准。</w:t>
      </w:r>
    </w:p>
    <w:p w14:paraId="5FC24EEC">
      <w:pPr>
        <w:spacing w:line="500" w:lineRule="atLeast"/>
        <w:jc w:val="center"/>
        <w:rPr>
          <w:rFonts w:hint="eastAsia" w:ascii="仿宋" w:hAnsi="仿宋" w:eastAsia="仿宋" w:cs="仿宋"/>
          <w:b/>
          <w:bCs/>
          <w:color w:val="auto"/>
          <w:sz w:val="44"/>
          <w:szCs w:val="44"/>
          <w:highlight w:val="none"/>
        </w:rPr>
      </w:pPr>
    </w:p>
    <w:p w14:paraId="655A9E5C">
      <w:pPr>
        <w:spacing w:line="500" w:lineRule="atLeast"/>
        <w:jc w:val="center"/>
        <w:rPr>
          <w:rFonts w:hint="eastAsia" w:ascii="仿宋" w:hAnsi="仿宋" w:eastAsia="仿宋" w:cs="仿宋"/>
          <w:b/>
          <w:bCs/>
          <w:color w:val="auto"/>
          <w:sz w:val="52"/>
          <w:szCs w:val="52"/>
          <w:highlight w:val="none"/>
        </w:rPr>
      </w:pPr>
    </w:p>
    <w:p w14:paraId="07952A33">
      <w:pPr>
        <w:jc w:val="center"/>
        <w:rPr>
          <w:rFonts w:hint="eastAsia" w:ascii="仿宋" w:hAnsi="仿宋" w:eastAsia="仿宋" w:cs="仿宋"/>
          <w:b/>
          <w:bCs/>
          <w:color w:val="auto"/>
          <w:sz w:val="40"/>
          <w:szCs w:val="40"/>
          <w:highlight w:val="none"/>
        </w:rPr>
      </w:pPr>
      <w:r>
        <w:rPr>
          <w:rFonts w:hint="eastAsia" w:ascii="仿宋" w:hAnsi="仿宋" w:eastAsia="仿宋" w:cs="仿宋"/>
          <w:b/>
          <w:bCs/>
          <w:color w:val="auto"/>
          <w:sz w:val="40"/>
          <w:szCs w:val="40"/>
          <w:highlight w:val="none"/>
        </w:rPr>
        <w:t xml:space="preserve"> </w:t>
      </w:r>
    </w:p>
    <w:p w14:paraId="7081EA8A">
      <w:pPr>
        <w:spacing w:line="360" w:lineRule="auto"/>
        <w:jc w:val="center"/>
        <w:rPr>
          <w:rFonts w:hint="eastAsia" w:ascii="仿宋" w:hAnsi="仿宋" w:eastAsia="仿宋" w:cs="仿宋"/>
          <w:b/>
          <w:bCs/>
          <w:color w:val="auto"/>
          <w:kern w:val="28"/>
          <w:sz w:val="36"/>
          <w:szCs w:val="36"/>
          <w:highlight w:val="none"/>
        </w:rPr>
      </w:pPr>
      <w:r>
        <w:rPr>
          <w:rFonts w:hint="eastAsia" w:ascii="仿宋" w:hAnsi="仿宋" w:eastAsia="仿宋" w:cs="仿宋"/>
          <w:b/>
          <w:bCs/>
          <w:color w:val="auto"/>
          <w:kern w:val="28"/>
          <w:sz w:val="36"/>
          <w:szCs w:val="36"/>
          <w:highlight w:val="none"/>
        </w:rPr>
        <w:t>政 府 采 购 合 同</w:t>
      </w:r>
    </w:p>
    <w:p w14:paraId="190EA819">
      <w:pPr>
        <w:spacing w:line="360" w:lineRule="auto"/>
        <w:ind w:firstLine="3360" w:firstLineChars="1200"/>
        <w:rPr>
          <w:rFonts w:hint="eastAsia" w:ascii="仿宋" w:hAnsi="仿宋" w:eastAsia="仿宋" w:cs="仿宋"/>
          <w:b/>
          <w:bCs/>
          <w:color w:val="auto"/>
          <w:sz w:val="28"/>
          <w:szCs w:val="28"/>
          <w:highlight w:val="none"/>
          <w:u w:val="single"/>
        </w:rPr>
      </w:pPr>
      <w:r>
        <w:rPr>
          <w:rFonts w:hint="eastAsia" w:ascii="仿宋" w:hAnsi="仿宋" w:eastAsia="仿宋" w:cs="仿宋"/>
          <w:color w:val="auto"/>
          <w:kern w:val="28"/>
          <w:sz w:val="28"/>
          <w:szCs w:val="28"/>
          <w:highlight w:val="none"/>
        </w:rPr>
        <w:t>合同编号：</w:t>
      </w:r>
      <w:r>
        <w:rPr>
          <w:rFonts w:hint="eastAsia" w:ascii="仿宋" w:hAnsi="仿宋" w:eastAsia="仿宋" w:cs="仿宋"/>
          <w:color w:val="auto"/>
          <w:kern w:val="28"/>
          <w:sz w:val="28"/>
          <w:szCs w:val="28"/>
          <w:highlight w:val="none"/>
          <w:u w:val="single"/>
        </w:rPr>
        <w:t xml:space="preserve">        </w:t>
      </w:r>
    </w:p>
    <w:p w14:paraId="5F31F700">
      <w:pPr>
        <w:pStyle w:val="3"/>
        <w:rPr>
          <w:rFonts w:hint="eastAsia" w:ascii="仿宋" w:hAnsi="仿宋" w:eastAsia="仿宋" w:cs="仿宋"/>
          <w:color w:val="auto"/>
          <w:highlight w:val="none"/>
        </w:rPr>
      </w:pPr>
    </w:p>
    <w:p w14:paraId="4255BB2E">
      <w:pPr>
        <w:pStyle w:val="3"/>
        <w:rPr>
          <w:rFonts w:hint="eastAsia" w:ascii="仿宋" w:hAnsi="仿宋" w:eastAsia="仿宋" w:cs="仿宋"/>
          <w:color w:val="auto"/>
          <w:highlight w:val="none"/>
        </w:rPr>
      </w:pPr>
    </w:p>
    <w:p w14:paraId="6E09A776">
      <w:pPr>
        <w:pStyle w:val="3"/>
        <w:rPr>
          <w:rFonts w:hint="eastAsia" w:ascii="仿宋" w:hAnsi="仿宋" w:eastAsia="仿宋" w:cs="仿宋"/>
          <w:color w:val="auto"/>
          <w:highlight w:val="none"/>
        </w:rPr>
      </w:pPr>
    </w:p>
    <w:p w14:paraId="29BC044B">
      <w:pPr>
        <w:jc w:val="center"/>
        <w:rPr>
          <w:rFonts w:hint="eastAsia" w:ascii="仿宋" w:hAnsi="仿宋" w:eastAsia="仿宋" w:cs="仿宋"/>
          <w:b/>
          <w:bCs/>
          <w:color w:val="auto"/>
          <w:sz w:val="48"/>
          <w:szCs w:val="48"/>
          <w:highlight w:val="none"/>
        </w:rPr>
      </w:pPr>
    </w:p>
    <w:p w14:paraId="6CB621F6">
      <w:pPr>
        <w:rPr>
          <w:rFonts w:hint="eastAsia" w:ascii="仿宋" w:hAnsi="仿宋" w:eastAsia="仿宋" w:cs="仿宋"/>
          <w:b/>
          <w:bCs/>
          <w:color w:val="auto"/>
          <w:highlight w:val="none"/>
        </w:rPr>
      </w:pPr>
    </w:p>
    <w:p w14:paraId="22829C66">
      <w:pPr>
        <w:rPr>
          <w:rFonts w:hint="eastAsia" w:ascii="仿宋" w:hAnsi="仿宋" w:eastAsia="仿宋" w:cs="仿宋"/>
          <w:b/>
          <w:bCs/>
          <w:color w:val="auto"/>
          <w:highlight w:val="none"/>
        </w:rPr>
      </w:pPr>
    </w:p>
    <w:p w14:paraId="669A1DCA">
      <w:pPr>
        <w:rPr>
          <w:rFonts w:hint="eastAsia" w:ascii="仿宋" w:hAnsi="仿宋" w:eastAsia="仿宋" w:cs="仿宋"/>
          <w:b/>
          <w:bCs/>
          <w:color w:val="auto"/>
          <w:highlight w:val="none"/>
        </w:rPr>
      </w:pPr>
    </w:p>
    <w:p w14:paraId="0A6BE537">
      <w:pPr>
        <w:rPr>
          <w:rFonts w:hint="eastAsia" w:ascii="仿宋" w:hAnsi="仿宋" w:eastAsia="仿宋" w:cs="仿宋"/>
          <w:b/>
          <w:bCs/>
          <w:color w:val="auto"/>
          <w:highlight w:val="none"/>
        </w:rPr>
      </w:pPr>
    </w:p>
    <w:p w14:paraId="15E23E0F">
      <w:pPr>
        <w:rPr>
          <w:rFonts w:hint="eastAsia" w:ascii="仿宋" w:hAnsi="仿宋" w:eastAsia="仿宋" w:cs="仿宋"/>
          <w:b/>
          <w:bCs/>
          <w:color w:val="auto"/>
          <w:sz w:val="48"/>
          <w:szCs w:val="48"/>
          <w:highlight w:val="none"/>
        </w:rPr>
      </w:pPr>
    </w:p>
    <w:p w14:paraId="5FBCD366">
      <w:pPr>
        <w:pStyle w:val="3"/>
        <w:rPr>
          <w:rFonts w:hint="eastAsia" w:ascii="仿宋" w:hAnsi="仿宋" w:eastAsia="仿宋" w:cs="仿宋"/>
          <w:b/>
          <w:bCs/>
          <w:color w:val="auto"/>
          <w:sz w:val="48"/>
          <w:szCs w:val="48"/>
          <w:highlight w:val="none"/>
        </w:rPr>
      </w:pPr>
    </w:p>
    <w:p w14:paraId="02C499D8">
      <w:pPr>
        <w:rPr>
          <w:rFonts w:hint="eastAsia" w:ascii="仿宋" w:hAnsi="仿宋" w:eastAsia="仿宋" w:cs="仿宋"/>
          <w:color w:val="auto"/>
          <w:highlight w:val="none"/>
        </w:rPr>
      </w:pPr>
    </w:p>
    <w:p w14:paraId="29802787">
      <w:pPr>
        <w:spacing w:line="360" w:lineRule="auto"/>
        <w:ind w:left="1389" w:hanging="1389" w:hangingChars="400"/>
        <w:jc w:val="center"/>
        <w:outlineLvl w:val="2"/>
        <w:rPr>
          <w:rFonts w:hint="eastAsia" w:ascii="仿宋" w:hAnsi="仿宋" w:eastAsia="仿宋" w:cs="仿宋"/>
          <w:b/>
          <w:bCs/>
          <w:color w:val="auto"/>
          <w:spacing w:val="23"/>
          <w:sz w:val="30"/>
          <w:szCs w:val="30"/>
          <w:highlight w:val="none"/>
        </w:rPr>
      </w:pPr>
      <w:r>
        <w:rPr>
          <w:rFonts w:hint="eastAsia" w:ascii="仿宋" w:hAnsi="仿宋" w:eastAsia="仿宋" w:cs="仿宋"/>
          <w:b/>
          <w:bCs/>
          <w:color w:val="auto"/>
          <w:spacing w:val="23"/>
          <w:sz w:val="30"/>
          <w:szCs w:val="30"/>
          <w:highlight w:val="none"/>
        </w:rPr>
        <w:t>甲方(</w:t>
      </w:r>
      <w:r>
        <w:rPr>
          <w:rFonts w:hint="eastAsia" w:ascii="仿宋" w:hAnsi="仿宋" w:eastAsia="仿宋" w:cs="仿宋"/>
          <w:b/>
          <w:bCs/>
          <w:color w:val="auto"/>
          <w:spacing w:val="23"/>
          <w:sz w:val="30"/>
          <w:szCs w:val="30"/>
          <w:highlight w:val="none"/>
          <w:lang w:eastAsia="zh-CN"/>
        </w:rPr>
        <w:t>采购人</w:t>
      </w:r>
      <w:r>
        <w:rPr>
          <w:rFonts w:hint="eastAsia" w:ascii="仿宋" w:hAnsi="仿宋" w:eastAsia="仿宋" w:cs="仿宋"/>
          <w:b/>
          <w:bCs/>
          <w:color w:val="auto"/>
          <w:spacing w:val="23"/>
          <w:sz w:val="30"/>
          <w:szCs w:val="30"/>
          <w:highlight w:val="none"/>
        </w:rPr>
        <w:t>)：</w:t>
      </w:r>
      <w:r>
        <w:rPr>
          <w:rFonts w:hint="eastAsia" w:ascii="仿宋" w:hAnsi="仿宋" w:eastAsia="仿宋" w:cs="仿宋"/>
          <w:color w:val="auto"/>
          <w:spacing w:val="23"/>
          <w:sz w:val="30"/>
          <w:szCs w:val="30"/>
          <w:highlight w:val="none"/>
          <w:u w:val="single"/>
        </w:rPr>
        <w:t></w:t>
      </w:r>
    </w:p>
    <w:p w14:paraId="4445DE3E">
      <w:pPr>
        <w:spacing w:line="360" w:lineRule="auto"/>
        <w:ind w:left="840" w:hanging="840" w:hangingChars="400"/>
        <w:jc w:val="center"/>
        <w:outlineLvl w:val="2"/>
        <w:rPr>
          <w:rFonts w:hint="eastAsia" w:ascii="仿宋" w:hAnsi="仿宋" w:eastAsia="仿宋" w:cs="仿宋"/>
          <w:color w:val="auto"/>
          <w:spacing w:val="23"/>
          <w:sz w:val="30"/>
          <w:szCs w:val="30"/>
          <w:highlight w:val="none"/>
          <w:u w:val="singl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highlight w:val="none"/>
        </w:rPr>
        <w:fldChar w:fldCharType="separate"/>
      </w:r>
      <w:r>
        <w:rPr>
          <w:rFonts w:hint="eastAsia" w:ascii="仿宋" w:hAnsi="仿宋" w:eastAsia="仿宋" w:cs="仿宋"/>
          <w:b/>
          <w:bCs/>
          <w:color w:val="auto"/>
          <w:spacing w:val="23"/>
          <w:sz w:val="30"/>
          <w:szCs w:val="30"/>
          <w:highlight w:val="none"/>
        </w:rPr>
        <w:t>乙方</w:t>
      </w:r>
      <w:r>
        <w:rPr>
          <w:rFonts w:hint="eastAsia" w:ascii="仿宋" w:hAnsi="仿宋" w:eastAsia="仿宋" w:cs="仿宋"/>
          <w:b/>
          <w:bCs/>
          <w:color w:val="auto"/>
          <w:spacing w:val="23"/>
          <w:sz w:val="30"/>
          <w:szCs w:val="30"/>
          <w:highlight w:val="none"/>
        </w:rPr>
        <w:fldChar w:fldCharType="end"/>
      </w:r>
      <w:r>
        <w:rPr>
          <w:rFonts w:hint="eastAsia" w:ascii="仿宋" w:hAnsi="仿宋" w:eastAsia="仿宋" w:cs="仿宋"/>
          <w:b/>
          <w:bCs/>
          <w:color w:val="auto"/>
          <w:spacing w:val="23"/>
          <w:sz w:val="30"/>
          <w:szCs w:val="30"/>
          <w:highlight w:val="none"/>
        </w:rPr>
        <w:t>(供应商)：</w:t>
      </w:r>
      <w:r>
        <w:rPr>
          <w:rFonts w:hint="eastAsia" w:ascii="仿宋" w:hAnsi="仿宋" w:eastAsia="仿宋" w:cs="仿宋"/>
          <w:color w:val="auto"/>
          <w:spacing w:val="23"/>
          <w:sz w:val="30"/>
          <w:szCs w:val="30"/>
          <w:highlight w:val="none"/>
          <w:u w:val="single"/>
        </w:rPr>
        <w:t></w:t>
      </w:r>
    </w:p>
    <w:p w14:paraId="58FE7065">
      <w:pPr>
        <w:spacing w:line="500" w:lineRule="atLeast"/>
        <w:jc w:val="center"/>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pacing w:val="23"/>
          <w:sz w:val="30"/>
          <w:szCs w:val="30"/>
          <w:highlight w:val="none"/>
        </w:rPr>
        <w:t>签订时间：</w:t>
      </w:r>
      <w:r>
        <w:rPr>
          <w:rFonts w:hint="eastAsia" w:ascii="仿宋" w:hAnsi="仿宋" w:eastAsia="仿宋" w:cs="仿宋"/>
          <w:color w:val="auto"/>
          <w:spacing w:val="23"/>
          <w:sz w:val="30"/>
          <w:szCs w:val="30"/>
          <w:highlight w:val="none"/>
          <w:u w:val="single"/>
        </w:rPr>
        <w:t></w:t>
      </w:r>
      <w:r>
        <w:rPr>
          <w:rFonts w:hint="eastAsia" w:ascii="仿宋" w:hAnsi="仿宋" w:eastAsia="仿宋" w:cs="仿宋"/>
          <w:b/>
          <w:bCs/>
          <w:color w:val="auto"/>
          <w:spacing w:val="23"/>
          <w:sz w:val="30"/>
          <w:szCs w:val="30"/>
          <w:highlight w:val="none"/>
        </w:rPr>
        <w:t>年</w:t>
      </w:r>
      <w:r>
        <w:rPr>
          <w:rFonts w:hint="eastAsia" w:ascii="仿宋" w:hAnsi="仿宋" w:eastAsia="仿宋" w:cs="仿宋"/>
          <w:color w:val="auto"/>
          <w:spacing w:val="23"/>
          <w:sz w:val="30"/>
          <w:szCs w:val="30"/>
          <w:highlight w:val="none"/>
          <w:u w:val="single"/>
        </w:rPr>
        <w:t></w:t>
      </w:r>
      <w:r>
        <w:rPr>
          <w:rFonts w:hint="eastAsia" w:ascii="仿宋" w:hAnsi="仿宋" w:eastAsia="仿宋" w:cs="仿宋"/>
          <w:b/>
          <w:bCs/>
          <w:color w:val="auto"/>
          <w:spacing w:val="23"/>
          <w:sz w:val="30"/>
          <w:szCs w:val="30"/>
          <w:highlight w:val="none"/>
        </w:rPr>
        <w:t>月</w:t>
      </w:r>
      <w:r>
        <w:rPr>
          <w:rFonts w:hint="eastAsia" w:ascii="仿宋" w:hAnsi="仿宋" w:eastAsia="仿宋" w:cs="仿宋"/>
          <w:color w:val="auto"/>
          <w:spacing w:val="23"/>
          <w:sz w:val="30"/>
          <w:szCs w:val="30"/>
          <w:highlight w:val="none"/>
          <w:u w:val="single"/>
        </w:rPr>
        <w:t></w:t>
      </w:r>
      <w:r>
        <w:rPr>
          <w:rFonts w:hint="eastAsia" w:ascii="仿宋" w:hAnsi="仿宋" w:eastAsia="仿宋" w:cs="仿宋"/>
          <w:b/>
          <w:bCs/>
          <w:color w:val="auto"/>
          <w:spacing w:val="23"/>
          <w:sz w:val="30"/>
          <w:szCs w:val="30"/>
          <w:highlight w:val="none"/>
        </w:rPr>
        <w:t>日</w:t>
      </w:r>
    </w:p>
    <w:p w14:paraId="345BFC90">
      <w:pPr>
        <w:widowControl/>
        <w:tabs>
          <w:tab w:val="left" w:pos="1620"/>
        </w:tabs>
        <w:spacing w:line="440" w:lineRule="exact"/>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2"/>
          <w:szCs w:val="32"/>
          <w:highlight w:val="none"/>
        </w:rPr>
        <w:t>合同</w:t>
      </w:r>
      <w:r>
        <w:rPr>
          <w:rFonts w:hint="eastAsia" w:ascii="仿宋" w:hAnsi="仿宋" w:eastAsia="仿宋" w:cs="仿宋"/>
          <w:b/>
          <w:bCs/>
          <w:color w:val="auto"/>
          <w:sz w:val="32"/>
          <w:szCs w:val="32"/>
          <w:highlight w:val="none"/>
          <w:lang w:val="en-US" w:eastAsia="zh-CN"/>
        </w:rPr>
        <w:t>协议书</w:t>
      </w:r>
    </w:p>
    <w:p w14:paraId="3ADCC1B8">
      <w:pPr>
        <w:snapToGrid w:val="0"/>
        <w:spacing w:line="339" w:lineRule="auto"/>
        <w:rPr>
          <w:rFonts w:hint="eastAsia" w:ascii="仿宋" w:hAnsi="仿宋" w:eastAsia="仿宋" w:cs="仿宋"/>
          <w:b/>
          <w:color w:val="auto"/>
          <w:sz w:val="24"/>
          <w:highlight w:val="none"/>
        </w:rPr>
      </w:pPr>
    </w:p>
    <w:p w14:paraId="742888DB">
      <w:pPr>
        <w:snapToGrid w:val="0"/>
        <w:spacing w:line="480" w:lineRule="auto"/>
        <w:ind w:firstLine="482" w:firstLineChars="200"/>
        <w:rPr>
          <w:rFonts w:hint="eastAsia" w:ascii="仿宋" w:hAnsi="仿宋" w:eastAsia="仿宋" w:cs="仿宋"/>
          <w:snapToGrid w:val="0"/>
          <w:color w:val="auto"/>
          <w:kern w:val="0"/>
          <w:sz w:val="24"/>
          <w:szCs w:val="24"/>
          <w:highlight w:val="none"/>
        </w:rPr>
      </w:pPr>
      <w:r>
        <w:rPr>
          <w:rFonts w:hint="eastAsia" w:ascii="仿宋" w:hAnsi="仿宋" w:eastAsia="仿宋" w:cs="仿宋"/>
          <w:b/>
          <w:color w:val="auto"/>
          <w:sz w:val="24"/>
          <w:szCs w:val="24"/>
          <w:highlight w:val="none"/>
          <w:u w:val="single"/>
        </w:rPr>
        <w:t>“</w:t>
      </w:r>
      <w:r>
        <w:rPr>
          <w:rFonts w:hint="eastAsia" w:ascii="仿宋" w:hAnsi="仿宋" w:eastAsia="仿宋" w:cs="仿宋"/>
          <w:b/>
          <w:color w:val="auto"/>
          <w:sz w:val="24"/>
          <w:szCs w:val="24"/>
          <w:highlight w:val="none"/>
          <w:u w:val="single"/>
          <w:lang w:val="en-US" w:eastAsia="zh-CN"/>
        </w:rPr>
        <w:t>蓝田县人民医院2026年医院信息系统接口服务采购项目</w:t>
      </w:r>
      <w:r>
        <w:rPr>
          <w:rFonts w:hint="eastAsia" w:ascii="仿宋" w:hAnsi="仿宋" w:eastAsia="仿宋" w:cs="仿宋"/>
          <w:b/>
          <w:color w:val="auto"/>
          <w:sz w:val="24"/>
          <w:szCs w:val="24"/>
          <w:highlight w:val="none"/>
          <w:u w:val="single"/>
        </w:rPr>
        <w:t>”</w:t>
      </w:r>
      <w:r>
        <w:rPr>
          <w:rFonts w:hint="eastAsia" w:ascii="仿宋" w:hAnsi="仿宋" w:eastAsia="仿宋" w:cs="仿宋"/>
          <w:snapToGrid w:val="0"/>
          <w:color w:val="auto"/>
          <w:kern w:val="0"/>
          <w:sz w:val="24"/>
          <w:szCs w:val="24"/>
          <w:highlight w:val="none"/>
          <w:u w:val="single"/>
        </w:rPr>
        <w:t>（项目编号：</w:t>
      </w:r>
      <w:r>
        <w:rPr>
          <w:rFonts w:hint="eastAsia" w:ascii="仿宋" w:hAnsi="仿宋" w:eastAsia="仿宋" w:cs="仿宋"/>
          <w:color w:val="auto"/>
          <w:sz w:val="24"/>
          <w:szCs w:val="24"/>
          <w:highlight w:val="none"/>
          <w:u w:val="single"/>
          <w:lang w:val="en-US" w:eastAsia="zh-CN"/>
        </w:rPr>
        <w:t>YJZB-2026-0801)</w:t>
      </w:r>
      <w:r>
        <w:rPr>
          <w:rFonts w:hint="eastAsia" w:ascii="仿宋" w:hAnsi="仿宋" w:eastAsia="仿宋" w:cs="仿宋"/>
          <w:snapToGrid w:val="0"/>
          <w:color w:val="auto"/>
          <w:kern w:val="0"/>
          <w:sz w:val="24"/>
          <w:szCs w:val="24"/>
          <w:highlight w:val="none"/>
        </w:rPr>
        <w:t>,由陕西云界招标管理有限公司组织</w:t>
      </w:r>
      <w:r>
        <w:rPr>
          <w:rFonts w:hint="eastAsia" w:ascii="仿宋" w:hAnsi="仿宋" w:eastAsia="仿宋" w:cs="仿宋"/>
          <w:snapToGrid w:val="0"/>
          <w:color w:val="auto"/>
          <w:kern w:val="0"/>
          <w:sz w:val="24"/>
          <w:szCs w:val="24"/>
          <w:highlight w:val="none"/>
          <w:lang w:val="en-US" w:eastAsia="zh-CN"/>
        </w:rPr>
        <w:t>公开</w:t>
      </w:r>
      <w:r>
        <w:rPr>
          <w:rFonts w:hint="eastAsia" w:ascii="仿宋" w:hAnsi="仿宋" w:eastAsia="仿宋" w:cs="仿宋"/>
          <w:snapToGrid w:val="0"/>
          <w:color w:val="auto"/>
          <w:kern w:val="0"/>
          <w:sz w:val="24"/>
          <w:szCs w:val="24"/>
          <w:highlight w:val="none"/>
        </w:rPr>
        <w:t>招标采购,</w:t>
      </w:r>
      <w:r>
        <w:rPr>
          <w:rFonts w:hint="eastAsia" w:ascii="仿宋" w:hAnsi="仿宋" w:eastAsia="仿宋" w:cs="仿宋"/>
          <w:snapToGrid w:val="0"/>
          <w:color w:val="auto"/>
          <w:kern w:val="0"/>
          <w:sz w:val="24"/>
          <w:szCs w:val="24"/>
          <w:highlight w:val="none"/>
          <w:u w:val="single"/>
        </w:rPr>
        <w:t xml:space="preserve">   （采购人）</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(以下简称“买方”)</w:t>
      </w:r>
      <w:r>
        <w:rPr>
          <w:rFonts w:hint="eastAsia" w:ascii="仿宋" w:hAnsi="仿宋" w:eastAsia="仿宋" w:cs="仿宋"/>
          <w:snapToGrid w:val="0"/>
          <w:color w:val="auto"/>
          <w:kern w:val="0"/>
          <w:sz w:val="24"/>
          <w:szCs w:val="24"/>
          <w:highlight w:val="none"/>
        </w:rPr>
        <w:t>确定</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b/>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u w:val="single"/>
        </w:rPr>
        <w:t>中标</w:t>
      </w:r>
      <w:r>
        <w:rPr>
          <w:rFonts w:hint="eastAsia" w:ascii="仿宋" w:hAnsi="仿宋" w:eastAsia="仿宋" w:cs="仿宋"/>
          <w:snapToGrid w:val="0"/>
          <w:color w:val="auto"/>
          <w:kern w:val="0"/>
          <w:sz w:val="24"/>
          <w:szCs w:val="24"/>
          <w:highlight w:val="none"/>
          <w:u w:val="single"/>
          <w:lang w:eastAsia="zh-CN"/>
        </w:rPr>
        <w:t>供应商</w:t>
      </w:r>
      <w:r>
        <w:rPr>
          <w:rFonts w:hint="eastAsia" w:ascii="仿宋" w:hAnsi="仿宋" w:eastAsia="仿宋" w:cs="仿宋"/>
          <w:snapToGrid w:val="0"/>
          <w:color w:val="auto"/>
          <w:kern w:val="0"/>
          <w:sz w:val="24"/>
          <w:szCs w:val="24"/>
          <w:highlight w:val="none"/>
          <w:u w:val="single"/>
        </w:rPr>
        <w:t xml:space="preserve">名称  </w:t>
      </w:r>
      <w:r>
        <w:rPr>
          <w:rFonts w:hint="eastAsia" w:ascii="仿宋" w:hAnsi="仿宋" w:eastAsia="仿宋" w:cs="仿宋"/>
          <w:snapToGrid w:val="0"/>
          <w:color w:val="auto"/>
          <w:kern w:val="0"/>
          <w:sz w:val="24"/>
          <w:szCs w:val="24"/>
          <w:highlight w:val="none"/>
        </w:rPr>
        <w:t>（以下简称“卖方”）</w:t>
      </w:r>
      <w:r>
        <w:rPr>
          <w:rFonts w:hint="eastAsia" w:ascii="仿宋" w:hAnsi="仿宋" w:eastAsia="仿宋" w:cs="仿宋"/>
          <w:color w:val="auto"/>
          <w:kern w:val="0"/>
          <w:sz w:val="24"/>
          <w:szCs w:val="24"/>
          <w:highlight w:val="none"/>
        </w:rPr>
        <w:t>为中标单位。</w:t>
      </w:r>
    </w:p>
    <w:p w14:paraId="3A3AAEB2">
      <w:pPr>
        <w:snapToGrid w:val="0"/>
        <w:spacing w:line="48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依据《中华人民共和国</w:t>
      </w:r>
      <w:r>
        <w:rPr>
          <w:rFonts w:hint="eastAsia" w:ascii="仿宋" w:hAnsi="仿宋" w:eastAsia="仿宋" w:cs="仿宋"/>
          <w:color w:val="auto"/>
          <w:kern w:val="0"/>
          <w:sz w:val="24"/>
          <w:szCs w:val="24"/>
          <w:highlight w:val="none"/>
          <w:lang w:val="en-US" w:eastAsia="zh-CN"/>
        </w:rPr>
        <w:t>民法典</w:t>
      </w:r>
      <w:r>
        <w:rPr>
          <w:rFonts w:hint="eastAsia" w:ascii="仿宋" w:hAnsi="仿宋" w:eastAsia="仿宋" w:cs="仿宋"/>
          <w:color w:val="auto"/>
          <w:kern w:val="0"/>
          <w:sz w:val="24"/>
          <w:szCs w:val="24"/>
          <w:highlight w:val="none"/>
        </w:rPr>
        <w:t>》和《中华人民共和国政府采购法》，经双方协商，于</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年</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月</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日</w:t>
      </w:r>
      <w:r>
        <w:rPr>
          <w:rFonts w:hint="eastAsia" w:ascii="仿宋" w:hAnsi="仿宋" w:eastAsia="仿宋" w:cs="仿宋"/>
          <w:color w:val="auto"/>
          <w:kern w:val="0"/>
          <w:sz w:val="24"/>
          <w:szCs w:val="24"/>
          <w:highlight w:val="none"/>
        </w:rPr>
        <w:t>按下述条款和条件签署本合同。</w:t>
      </w:r>
    </w:p>
    <w:p w14:paraId="322BEEBB">
      <w:pPr>
        <w:pStyle w:val="6"/>
        <w:spacing w:line="480" w:lineRule="auto"/>
        <w:ind w:firstLine="480"/>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买方通过</w:t>
      </w:r>
      <w:r>
        <w:rPr>
          <w:rFonts w:hint="eastAsia" w:ascii="仿宋" w:hAnsi="仿宋" w:eastAsia="仿宋" w:cs="仿宋"/>
          <w:b w:val="0"/>
          <w:color w:val="auto"/>
          <w:sz w:val="24"/>
          <w:szCs w:val="24"/>
          <w:highlight w:val="none"/>
          <w:lang w:val="en-US" w:eastAsia="zh-CN"/>
        </w:rPr>
        <w:t>单一来源</w:t>
      </w:r>
      <w:r>
        <w:rPr>
          <w:rFonts w:hint="eastAsia" w:ascii="仿宋" w:hAnsi="仿宋" w:eastAsia="仿宋" w:cs="仿宋"/>
          <w:b w:val="0"/>
          <w:color w:val="auto"/>
          <w:sz w:val="24"/>
          <w:szCs w:val="24"/>
          <w:highlight w:val="none"/>
        </w:rPr>
        <w:t>方式采购</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bCs/>
          <w:color w:val="auto"/>
          <w:sz w:val="24"/>
          <w:szCs w:val="24"/>
          <w:highlight w:val="none"/>
          <w:u w:val="single"/>
          <w:lang w:val="en-US" w:eastAsia="zh-CN"/>
        </w:rPr>
        <w:t>服务</w:t>
      </w:r>
      <w:r>
        <w:rPr>
          <w:rFonts w:hint="eastAsia" w:ascii="仿宋" w:hAnsi="仿宋" w:eastAsia="仿宋" w:cs="仿宋"/>
          <w:b w:val="0"/>
          <w:bCs/>
          <w:color w:val="auto"/>
          <w:sz w:val="24"/>
          <w:szCs w:val="24"/>
          <w:highlight w:val="none"/>
          <w:u w:val="single"/>
        </w:rPr>
        <w:t>名称</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b w:val="0"/>
          <w:color w:val="auto"/>
          <w:sz w:val="24"/>
          <w:szCs w:val="24"/>
          <w:highlight w:val="none"/>
        </w:rPr>
        <w:t>并接受了卖方以总金额</w:t>
      </w:r>
      <w:r>
        <w:rPr>
          <w:rFonts w:hint="eastAsia" w:ascii="仿宋" w:hAnsi="仿宋" w:eastAsia="仿宋" w:cs="仿宋"/>
          <w:color w:val="auto"/>
          <w:sz w:val="24"/>
          <w:szCs w:val="24"/>
          <w:highlight w:val="none"/>
          <w:u w:val="single"/>
        </w:rPr>
        <w:t xml:space="preserve">    </w:t>
      </w:r>
      <w:r>
        <w:rPr>
          <w:rFonts w:hint="eastAsia" w:ascii="仿宋" w:hAnsi="仿宋" w:eastAsia="仿宋" w:cs="仿宋"/>
          <w:b w:val="0"/>
          <w:color w:val="auto"/>
          <w:sz w:val="24"/>
          <w:szCs w:val="24"/>
          <w:highlight w:val="none"/>
          <w:u w:val="single"/>
        </w:rPr>
        <w:t xml:space="preserve">大写（￥   ）  </w:t>
      </w:r>
      <w:r>
        <w:rPr>
          <w:rFonts w:hint="eastAsia" w:ascii="仿宋" w:hAnsi="仿宋" w:eastAsia="仿宋" w:cs="仿宋"/>
          <w:b w:val="0"/>
          <w:color w:val="auto"/>
          <w:sz w:val="24"/>
          <w:szCs w:val="24"/>
          <w:highlight w:val="none"/>
        </w:rPr>
        <w:t>(以下简称“合同价”)提供上述货物及服务。</w:t>
      </w:r>
    </w:p>
    <w:p w14:paraId="6A8007D2">
      <w:pPr>
        <w:pStyle w:val="6"/>
        <w:spacing w:line="480" w:lineRule="auto"/>
        <w:ind w:firstLine="48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本合同在此声明如下：</w:t>
      </w:r>
    </w:p>
    <w:p w14:paraId="0C81FF94">
      <w:pPr>
        <w:pStyle w:val="6"/>
        <w:spacing w:line="480" w:lineRule="auto"/>
        <w:ind w:firstLine="48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1.本合同中的词语和术语的含义与合同条款中定义的相同。</w:t>
      </w:r>
    </w:p>
    <w:p w14:paraId="0D291630">
      <w:pPr>
        <w:pStyle w:val="6"/>
        <w:spacing w:line="480" w:lineRule="auto"/>
        <w:ind w:firstLine="48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2.下述文件是本合同的一部分，并与本合同一起阅读和解释：</w:t>
      </w:r>
    </w:p>
    <w:p w14:paraId="26D9839C">
      <w:pPr>
        <w:pStyle w:val="6"/>
        <w:spacing w:line="480" w:lineRule="auto"/>
        <w:ind w:firstLine="840" w:firstLineChars="35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⑴ 合同通用条款；</w:t>
      </w:r>
    </w:p>
    <w:p w14:paraId="5DB58392">
      <w:pPr>
        <w:pStyle w:val="6"/>
        <w:spacing w:line="480" w:lineRule="auto"/>
        <w:ind w:firstLine="840" w:firstLineChars="35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⑵ 合同条款附件；</w:t>
      </w:r>
    </w:p>
    <w:p w14:paraId="1658F581">
      <w:pPr>
        <w:pStyle w:val="6"/>
        <w:spacing w:line="480" w:lineRule="auto"/>
        <w:ind w:firstLine="840" w:firstLineChars="35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⑶ 中标通知书；</w:t>
      </w:r>
    </w:p>
    <w:p w14:paraId="5811CFB0">
      <w:pPr>
        <w:pStyle w:val="6"/>
        <w:spacing w:line="480" w:lineRule="auto"/>
        <w:ind w:firstLine="840" w:firstLineChars="35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⑷ 招标文件；</w:t>
      </w:r>
    </w:p>
    <w:p w14:paraId="761EDFF7">
      <w:pPr>
        <w:pStyle w:val="6"/>
        <w:spacing w:line="480" w:lineRule="auto"/>
        <w:ind w:firstLine="840" w:firstLineChars="35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⑸ 投标文件。</w:t>
      </w:r>
    </w:p>
    <w:p w14:paraId="11C7A72A">
      <w:pPr>
        <w:pStyle w:val="6"/>
        <w:spacing w:line="480" w:lineRule="auto"/>
        <w:ind w:firstLine="48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3.考虑到买方将按照本合同向卖方支付货款，卖方在此保证全部按照合同的规定向买方提供货物和服务，并修补缺陷。</w:t>
      </w:r>
    </w:p>
    <w:p w14:paraId="2B102A85">
      <w:pPr>
        <w:spacing w:line="48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4.考虑到卖方将按照本合同向买方提供货物和服务并修补缺陷，买方在此保证按照合同规定的时间和方式向卖方支付合同价或其他按合同规定应支付的资金。</w:t>
      </w:r>
    </w:p>
    <w:p w14:paraId="36693D8B">
      <w:pPr>
        <w:snapToGrid w:val="0"/>
        <w:spacing w:line="48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w:t>
      </w:r>
      <w:r>
        <w:rPr>
          <w:rFonts w:hint="eastAsia" w:ascii="仿宋" w:hAnsi="仿宋" w:eastAsia="仿宋" w:cs="仿宋"/>
          <w:snapToGrid w:val="0"/>
          <w:color w:val="auto"/>
          <w:kern w:val="0"/>
          <w:sz w:val="24"/>
          <w:szCs w:val="24"/>
          <w:highlight w:val="none"/>
        </w:rPr>
        <w:t>本合同一式</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b/>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份，其中，买方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b/>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份，卖方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b/>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份，鉴证方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b/>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w:t>
      </w:r>
      <w:r>
        <w:rPr>
          <w:rFonts w:hint="eastAsia" w:ascii="仿宋" w:hAnsi="仿宋" w:eastAsia="仿宋" w:cs="仿宋"/>
          <w:color w:val="auto"/>
          <w:kern w:val="0"/>
          <w:sz w:val="24"/>
          <w:szCs w:val="24"/>
          <w:highlight w:val="none"/>
        </w:rPr>
        <w:t>监督管理部门</w:t>
      </w:r>
    </w:p>
    <w:p w14:paraId="77B37B19">
      <w:pPr>
        <w:snapToGrid w:val="0"/>
        <w:spacing w:line="480" w:lineRule="auto"/>
        <w:rPr>
          <w:rFonts w:hint="eastAsia" w:ascii="仿宋" w:hAnsi="仿宋" w:eastAsia="仿宋" w:cs="仿宋"/>
          <w:snapToGrid w:val="0"/>
          <w:color w:val="auto"/>
          <w:kern w:val="0"/>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w:t>
      </w:r>
      <w:r>
        <w:rPr>
          <w:rFonts w:hint="eastAsia" w:ascii="仿宋" w:hAnsi="仿宋" w:eastAsia="仿宋" w:cs="仿宋"/>
          <w:snapToGrid w:val="0"/>
          <w:color w:val="auto"/>
          <w:kern w:val="0"/>
          <w:sz w:val="24"/>
          <w:szCs w:val="24"/>
          <w:highlight w:val="none"/>
        </w:rPr>
        <w:t>。</w:t>
      </w:r>
    </w:p>
    <w:tbl>
      <w:tblPr>
        <w:tblStyle w:val="4"/>
        <w:tblW w:w="0" w:type="auto"/>
        <w:jc w:val="center"/>
        <w:tblLayout w:type="fixed"/>
        <w:tblCellMar>
          <w:top w:w="28" w:type="dxa"/>
          <w:left w:w="57" w:type="dxa"/>
          <w:bottom w:w="28" w:type="dxa"/>
          <w:right w:w="57" w:type="dxa"/>
        </w:tblCellMar>
      </w:tblPr>
      <w:tblGrid>
        <w:gridCol w:w="4196"/>
        <w:gridCol w:w="4196"/>
      </w:tblGrid>
      <w:tr w14:paraId="01ECFBF2">
        <w:tblPrEx>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41C3669D">
            <w:pPr>
              <w:autoSpaceDE w:val="0"/>
              <w:autoSpaceDN w:val="0"/>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买方名称：</w:t>
            </w:r>
          </w:p>
          <w:p w14:paraId="3BF404C1">
            <w:pPr>
              <w:autoSpaceDE w:val="0"/>
              <w:autoSpaceDN w:val="0"/>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买方地址：</w:t>
            </w:r>
          </w:p>
          <w:p w14:paraId="0F1AAC7B">
            <w:pPr>
              <w:autoSpaceDE w:val="0"/>
              <w:autoSpaceDN w:val="0"/>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p>
          <w:p w14:paraId="00D94CA2">
            <w:pPr>
              <w:autoSpaceDE w:val="0"/>
              <w:autoSpaceDN w:val="0"/>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传    真：</w:t>
            </w:r>
          </w:p>
          <w:p w14:paraId="728A6A90">
            <w:pPr>
              <w:autoSpaceDE w:val="0"/>
              <w:autoSpaceDN w:val="0"/>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邮    编：</w:t>
            </w:r>
          </w:p>
          <w:p w14:paraId="446517E5">
            <w:pPr>
              <w:autoSpaceDE w:val="0"/>
              <w:autoSpaceDN w:val="0"/>
              <w:spacing w:line="339" w:lineRule="auto"/>
              <w:rPr>
                <w:rFonts w:hint="eastAsia" w:ascii="仿宋" w:hAnsi="仿宋" w:eastAsia="仿宋" w:cs="仿宋"/>
                <w:color w:val="auto"/>
                <w:kern w:val="0"/>
                <w:sz w:val="24"/>
                <w:highlight w:val="none"/>
              </w:rPr>
            </w:pPr>
          </w:p>
          <w:p w14:paraId="01856802">
            <w:pPr>
              <w:autoSpaceDE w:val="0"/>
              <w:autoSpaceDN w:val="0"/>
              <w:spacing w:line="339" w:lineRule="auto"/>
              <w:rPr>
                <w:rFonts w:hint="eastAsia" w:ascii="仿宋" w:hAnsi="仿宋" w:eastAsia="仿宋" w:cs="仿宋"/>
                <w:color w:val="auto"/>
                <w:kern w:val="0"/>
                <w:sz w:val="24"/>
                <w:highlight w:val="none"/>
              </w:rPr>
            </w:pPr>
          </w:p>
          <w:p w14:paraId="7E0C32A8">
            <w:pPr>
              <w:autoSpaceDE w:val="0"/>
              <w:autoSpaceDN w:val="0"/>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买方代表签字：</w:t>
            </w:r>
          </w:p>
          <w:p w14:paraId="02FFAA63">
            <w:pPr>
              <w:autoSpaceDE w:val="0"/>
              <w:autoSpaceDN w:val="0"/>
              <w:spacing w:line="339" w:lineRule="auto"/>
              <w:rPr>
                <w:rFonts w:hint="eastAsia" w:ascii="仿宋" w:hAnsi="仿宋" w:eastAsia="仿宋" w:cs="仿宋"/>
                <w:color w:val="auto"/>
                <w:kern w:val="0"/>
                <w:sz w:val="24"/>
                <w:highlight w:val="none"/>
              </w:rPr>
            </w:pPr>
          </w:p>
          <w:p w14:paraId="373E49F5">
            <w:pPr>
              <w:spacing w:line="339" w:lineRule="auto"/>
              <w:rPr>
                <w:rFonts w:hint="eastAsia" w:ascii="仿宋" w:hAnsi="仿宋" w:eastAsia="仿宋" w:cs="仿宋"/>
                <w:color w:val="auto"/>
                <w:kern w:val="0"/>
                <w:sz w:val="24"/>
                <w:highlight w:val="none"/>
              </w:rPr>
            </w:pPr>
            <w:r>
              <w:rPr>
                <w:rFonts w:hint="eastAsia" w:ascii="仿宋" w:hAnsi="仿宋" w:eastAsia="仿宋" w:cs="仿宋"/>
                <w:color w:val="auto"/>
                <w:spacing w:val="7"/>
                <w:kern w:val="0"/>
                <w:sz w:val="24"/>
                <w:highlight w:val="none"/>
              </w:rPr>
              <w:t>买 方 盖 章</w:t>
            </w:r>
            <w:r>
              <w:rPr>
                <w:rFonts w:hint="eastAsia" w:ascii="仿宋" w:hAnsi="仿宋" w:eastAsia="仿宋" w:cs="仿宋"/>
                <w:color w:val="auto"/>
                <w:kern w:val="0"/>
                <w:sz w:val="24"/>
                <w:highlight w:val="none"/>
              </w:rPr>
              <w:t>：</w:t>
            </w:r>
          </w:p>
        </w:tc>
        <w:tc>
          <w:tcPr>
            <w:tcW w:w="4196" w:type="dxa"/>
            <w:noWrap w:val="0"/>
            <w:vAlign w:val="top"/>
          </w:tcPr>
          <w:p w14:paraId="370E0037">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卖方名称：</w:t>
            </w:r>
          </w:p>
          <w:p w14:paraId="53BD8F1C">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卖方地址：</w:t>
            </w:r>
          </w:p>
          <w:p w14:paraId="18D03A98">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p>
          <w:p w14:paraId="3A4B1C61">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传    真：</w:t>
            </w:r>
          </w:p>
          <w:p w14:paraId="1A9FC535">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邮    编：</w:t>
            </w:r>
          </w:p>
          <w:p w14:paraId="6D223F11">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4C2120B2">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帐    号：</w:t>
            </w:r>
          </w:p>
          <w:p w14:paraId="7F758840">
            <w:pPr>
              <w:autoSpaceDE w:val="0"/>
              <w:autoSpaceDN w:val="0"/>
              <w:spacing w:line="339" w:lineRule="auto"/>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卖方代表签字：</w:t>
            </w:r>
          </w:p>
          <w:p w14:paraId="187C6EA9">
            <w:pPr>
              <w:autoSpaceDE w:val="0"/>
              <w:autoSpaceDN w:val="0"/>
              <w:spacing w:line="339" w:lineRule="auto"/>
              <w:ind w:firstLine="240" w:firstLineChars="100"/>
              <w:rPr>
                <w:rFonts w:hint="eastAsia" w:ascii="仿宋" w:hAnsi="仿宋" w:eastAsia="仿宋" w:cs="仿宋"/>
                <w:color w:val="auto"/>
                <w:kern w:val="0"/>
                <w:sz w:val="24"/>
                <w:highlight w:val="none"/>
              </w:rPr>
            </w:pPr>
          </w:p>
          <w:p w14:paraId="5DACD7B0">
            <w:pPr>
              <w:spacing w:line="339" w:lineRule="auto"/>
              <w:ind w:firstLine="254" w:firstLineChars="100"/>
              <w:rPr>
                <w:rFonts w:hint="eastAsia" w:ascii="仿宋" w:hAnsi="仿宋" w:eastAsia="仿宋" w:cs="仿宋"/>
                <w:b/>
                <w:color w:val="auto"/>
                <w:sz w:val="24"/>
                <w:highlight w:val="none"/>
              </w:rPr>
            </w:pPr>
            <w:r>
              <w:rPr>
                <w:rFonts w:hint="eastAsia" w:ascii="仿宋" w:hAnsi="仿宋" w:eastAsia="仿宋" w:cs="仿宋"/>
                <w:color w:val="auto"/>
                <w:spacing w:val="7"/>
                <w:kern w:val="0"/>
                <w:sz w:val="24"/>
                <w:highlight w:val="none"/>
              </w:rPr>
              <w:t>卖 方 盖 章</w:t>
            </w:r>
            <w:r>
              <w:rPr>
                <w:rFonts w:hint="eastAsia" w:ascii="仿宋" w:hAnsi="仿宋" w:eastAsia="仿宋" w:cs="仿宋"/>
                <w:color w:val="auto"/>
                <w:kern w:val="0"/>
                <w:sz w:val="24"/>
                <w:highlight w:val="none"/>
              </w:rPr>
              <w:t>：</w:t>
            </w:r>
          </w:p>
        </w:tc>
      </w:tr>
    </w:tbl>
    <w:p w14:paraId="685C5DEE">
      <w:pPr>
        <w:jc w:val="cente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C1B374A">
      <w:pPr>
        <w:jc w:val="center"/>
        <w:rPr>
          <w:rFonts w:hint="eastAsia" w:ascii="仿宋" w:hAnsi="仿宋" w:eastAsia="仿宋" w:cs="仿宋"/>
          <w:color w:val="auto"/>
          <w:highlight w:val="none"/>
        </w:rPr>
      </w:pPr>
    </w:p>
    <w:p w14:paraId="70662406">
      <w:pPr>
        <w:jc w:val="center"/>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32"/>
          <w:szCs w:val="32"/>
          <w:highlight w:val="none"/>
          <w:lang w:val="en-US" w:eastAsia="zh-CN"/>
        </w:rPr>
        <w:t>合同通用条款</w:t>
      </w:r>
    </w:p>
    <w:p w14:paraId="52E661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1.定义</w:t>
      </w:r>
    </w:p>
    <w:p w14:paraId="37E63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本合同下列术语应解释为：</w:t>
      </w:r>
    </w:p>
    <w:p w14:paraId="621302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1)“合同”系指买卖双方签署的、合同格式中载明的买卖双方所达成的协议，包括所有的附件、附录和上述文件所提到的构成合同的所有文件。</w:t>
      </w:r>
    </w:p>
    <w:p w14:paraId="0FBA12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2)“合同价”系指根据合同规定卖方在正确地完全履行合同义务后买方应支付给卖方的价格。</w:t>
      </w:r>
    </w:p>
    <w:p w14:paraId="117173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3)“货物”系指卖方根据合同规定须向买方提供的一切材料、设备、机械、仪表、备件、工具和／或其它材料。</w:t>
      </w:r>
    </w:p>
    <w:p w14:paraId="1C8675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4)“服务”系指根据合同规定卖方承担与供货有关的辅助服务，比如包装、运输、保险以及其它的伴随服务，比如安装、调试、提供技术援助、培训和合同中规定卖方应承担的其它义务。</w:t>
      </w:r>
    </w:p>
    <w:p w14:paraId="03E441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5)“买方”系指合同中所述购买货物和服务的单位。</w:t>
      </w:r>
    </w:p>
    <w:p w14:paraId="68C5DF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6)“卖方”系指合同中所述提供货物和服务的公司或其它实体。</w:t>
      </w:r>
    </w:p>
    <w:p w14:paraId="65F680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7)“项目现场”系指本合同项下货物安装、运行的场地，其名称在合同中指明。</w:t>
      </w:r>
    </w:p>
    <w:p w14:paraId="7DE062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8)“天”指日历天数。</w:t>
      </w:r>
    </w:p>
    <w:p w14:paraId="5A7AFF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6854AD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本合同条款适用于没有被本合同其他部分的条款所取代的范围。</w:t>
      </w:r>
    </w:p>
    <w:p w14:paraId="1642C3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3.技术规格</w:t>
      </w:r>
    </w:p>
    <w:p w14:paraId="7BA901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本合同下交付的货物应符合技术规格参数与要求所述的标准。如果没有提及适用标准的，则应符合中华人民共和国有关机构发布的最新版本的标准或经过质量管理行政部门备案的企业标准。</w:t>
      </w:r>
    </w:p>
    <w:p w14:paraId="6DC9C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除非技术规格中另有规定，计量单位均采用中华人民共和国法定计量单位。</w:t>
      </w:r>
    </w:p>
    <w:p w14:paraId="66EC8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472A5B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 卖方应保证，买方使用该货物或货物的任何一部分时，免受第三方提出的侵犯其专利权、商标权、著作权或其它知识产权的起诉。</w:t>
      </w:r>
    </w:p>
    <w:p w14:paraId="67F3B7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质保期</w:t>
      </w:r>
    </w:p>
    <w:p w14:paraId="3E93BC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w:t>
      </w:r>
      <w:r>
        <w:rPr>
          <w:rFonts w:hint="eastAsia" w:ascii="仿宋" w:hAnsi="仿宋" w:eastAsia="仿宋" w:cs="仿宋"/>
          <w:b w:val="0"/>
          <w:bCs w:val="0"/>
          <w:color w:val="auto"/>
          <w:sz w:val="24"/>
          <w:szCs w:val="24"/>
          <w:highlight w:val="none"/>
          <w:lang w:val="en-US" w:eastAsia="zh-CN"/>
        </w:rPr>
        <w:t>自验收合格后</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年软件质保及</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年软件运维</w:t>
      </w:r>
      <w:r>
        <w:rPr>
          <w:rFonts w:hint="eastAsia" w:ascii="仿宋" w:hAnsi="仿宋" w:eastAsia="仿宋" w:cs="仿宋"/>
          <w:color w:val="auto"/>
          <w:sz w:val="24"/>
          <w:szCs w:val="24"/>
          <w:highlight w:val="none"/>
        </w:rPr>
        <w:t>。</w:t>
      </w:r>
    </w:p>
    <w:p w14:paraId="3BBFE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运输及安装调试</w:t>
      </w:r>
    </w:p>
    <w:p w14:paraId="36FB6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6.1所有货物必须运输至项目地点，卖方负责所有设备的运输、保险、安装、调试。</w:t>
      </w:r>
    </w:p>
    <w:p w14:paraId="3A074B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 货物的验收</w:t>
      </w:r>
    </w:p>
    <w:p w14:paraId="41E0C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验收按招标文件“第三章 商务条款”执行。</w:t>
      </w:r>
    </w:p>
    <w:p w14:paraId="3E1A3F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 合同条款第7.1条的规定不能免除卖方在本合同项下的保证义务或其他义务。</w:t>
      </w:r>
    </w:p>
    <w:p w14:paraId="5CEE23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0F66F7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除合同条款中另有规定外，买方只应要求卖方提交所供货物的技术文件。包括相应的</w:t>
      </w:r>
      <w:r>
        <w:rPr>
          <w:rFonts w:hint="eastAsia" w:ascii="仿宋" w:hAnsi="仿宋" w:eastAsia="仿宋" w:cs="仿宋"/>
          <w:color w:val="auto"/>
          <w:sz w:val="24"/>
          <w:szCs w:val="24"/>
          <w:highlight w:val="none"/>
          <w:lang w:val="en-US" w:eastAsia="zh-CN"/>
        </w:rPr>
        <w:t>软件</w:t>
      </w:r>
      <w:r>
        <w:rPr>
          <w:rFonts w:hint="eastAsia" w:ascii="仿宋" w:hAnsi="仿宋" w:eastAsia="仿宋" w:cs="仿宋"/>
          <w:color w:val="auto"/>
          <w:sz w:val="24"/>
          <w:szCs w:val="24"/>
          <w:highlight w:val="none"/>
        </w:rPr>
        <w:t>技术文件，例如：操作手册、使用说明、维护手册和／或服务指南。</w:t>
      </w:r>
    </w:p>
    <w:p w14:paraId="04156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8.2 卖方可能被要求提供下列服务中的任一或所有服务，包括“合同条款”与“技术规格与要求”中规定的附加服务（如果有的话）：</w:t>
      </w:r>
    </w:p>
    <w:p w14:paraId="5DC1FB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1）实施或监督所供货物的现场组装和/或试运行；</w:t>
      </w:r>
    </w:p>
    <w:p w14:paraId="2444AC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2）提供货物组装和/或维修所需的工具；</w:t>
      </w:r>
    </w:p>
    <w:p w14:paraId="3ADE3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3）为所供货物的每一适当的单台设备提供详细的操作和维护手册；</w:t>
      </w:r>
    </w:p>
    <w:p w14:paraId="34B20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4）在双方商定的一定期限内对所供货物实施运行或监督或维护或修理，但前提条件是该服务并不能免除卖方在合同保证期内所承担的义务；</w:t>
      </w:r>
    </w:p>
    <w:p w14:paraId="0199C6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如果卖方或制造商提供的伴随服务的费用未含在货物的合同价中，双方应事先就其达成协议，但其费用单价不应超过卖方向其他人提供类似服务所收取的现行单价。</w:t>
      </w:r>
    </w:p>
    <w:p w14:paraId="2E22E6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卖方应提供“合同条款”与“技术规格与要求”中规定的所有服务。为履行要求的伴随服务的报价或双方商定的费用应包括在合同价中。</w:t>
      </w:r>
    </w:p>
    <w:p w14:paraId="5F5E34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 对于售后服务工作不到位，故意推诿、拖延，造成不良影响或不按规定粘贴联系单的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，将报请相关部门按有关规定进行处理。</w:t>
      </w:r>
    </w:p>
    <w:p w14:paraId="7128C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9.备品备件</w:t>
      </w:r>
    </w:p>
    <w:p w14:paraId="2E8A5C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卖方可能被要求提供下列与备品备件有关的材料、通知和资料：</w:t>
      </w:r>
    </w:p>
    <w:p w14:paraId="4099FD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1）买方从卖方选购备品备件，但前提条件是该选择并不能免除卖方在合同保证期内所承担的义务；</w:t>
      </w:r>
    </w:p>
    <w:p w14:paraId="49CF66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2）在备品备件停止生产的情况下，卖方应事先将要停止生产的计划通知买方使买方有足够的时间采购所需的备品备件；</w:t>
      </w:r>
    </w:p>
    <w:p w14:paraId="4BC89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3）在备品备件停止生产后，如果买方要求，卖方应免费向买方提供备品备件的蓝图、图纸和规格。</w:t>
      </w:r>
    </w:p>
    <w:p w14:paraId="1DF8D2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卖方应按“合同条款”与“技术规格与要求”中的规定提供所需的备品备件。</w:t>
      </w:r>
    </w:p>
    <w:p w14:paraId="7C5FC8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10.质量保证</w:t>
      </w:r>
    </w:p>
    <w:p w14:paraId="6667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卖方应保证合同项下所供货物是全新的、未使用过的，是最新或目前最流行的型号和用一流的工艺生产的，并完全符合合同规定的质量、规格和性能的要求,否则其履约保证金将不予退还。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096DB9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根据质量检测部门检测结果或者在质量保证期内，如果货物的数量、质量或规格与合同不符，或证实货物是有缺陷的，包括潜在的缺陷，买方应尽快以书面形式向卖方提出所发现的缺陷。</w:t>
      </w:r>
    </w:p>
    <w:p w14:paraId="6FBD76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卖方收到通知后应在七（7）天时间内以合理的速度免费维修或更换有缺陷的货物或部件。</w:t>
      </w:r>
    </w:p>
    <w:p w14:paraId="6E054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如果卖方收到通知后在七（7）天时间内没有以合理的速度弥补缺陷，买方可提出索赔，并可采取必要的补救措施，但其风险和费用将由卖方承担，买方根据合同规定对卖方行使的其他权利不受影响。</w:t>
      </w:r>
    </w:p>
    <w:p w14:paraId="659A54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11.索赔</w:t>
      </w:r>
    </w:p>
    <w:p w14:paraId="415E68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如果卖方对偏差负有责任，而买方在合同条款第10条或合同的其他条款规定的检验、安装、调试、验收和质量保证期内提出了索赔，卖方应按照买方同意的下列一种或几种方式结合起来解决索赔事宜：</w:t>
      </w:r>
    </w:p>
    <w:p w14:paraId="03B0F9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3F5FD8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2）根据货物的偏差情况、损坏程度、以及买方所遭受损失的金额，经买卖双方商定降低货物的价格。</w:t>
      </w:r>
    </w:p>
    <w:p w14:paraId="02820B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2EA907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卖方的履约保证金中扣回索赔金额。</w:t>
      </w:r>
    </w:p>
    <w:p w14:paraId="56693A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12.付款</w:t>
      </w:r>
    </w:p>
    <w:p w14:paraId="5B7C2C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12.1按招标文件“第三章 商务条款”执行。</w:t>
      </w:r>
    </w:p>
    <w:p w14:paraId="09909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13.价格</w:t>
      </w:r>
    </w:p>
    <w:p w14:paraId="3604F5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卖方在本合同项下提交货物和履行服务的价格按中标通知书的所列值在合同中给出。</w:t>
      </w:r>
    </w:p>
    <w:p w14:paraId="4AECFD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14.变更指令</w:t>
      </w:r>
    </w:p>
    <w:p w14:paraId="3BC1E9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买方可以在任何时候书面向卖方发出指令，在本合同的一般范围内变更下述一项或几项：</w:t>
      </w:r>
    </w:p>
    <w:p w14:paraId="795FE6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）交货地点；</w:t>
      </w:r>
    </w:p>
    <w:p w14:paraId="17C138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）卖方提供的服务。</w:t>
      </w:r>
    </w:p>
    <w:p w14:paraId="230E66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5A2D8E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15.合同修改</w:t>
      </w:r>
    </w:p>
    <w:p w14:paraId="629A74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 除了合同条款第14条的情况，不应对合同条款进行任何变更或修改，除非双方同意并签订书面的合同修改书。</w:t>
      </w:r>
    </w:p>
    <w:p w14:paraId="2C76FB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16.转让</w:t>
      </w:r>
    </w:p>
    <w:p w14:paraId="0DCCAF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未经买方事先书面同意，卖方不得部分转让或全部转让其应履行的合同义务。</w:t>
      </w:r>
    </w:p>
    <w:p w14:paraId="25726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17.分包</w:t>
      </w:r>
    </w:p>
    <w:p w14:paraId="284997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对投标文件中没有明确分包的合同，卖方应书面通知买方其在本合同中将分包的全部分包合同，并需经买方同意，但此分包通知并不能解除卖方履行本合同的责任和义务。</w:t>
      </w:r>
    </w:p>
    <w:p w14:paraId="684C93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18.卖方履约延误</w:t>
      </w:r>
    </w:p>
    <w:p w14:paraId="54D3C3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18.1 卖方应按照合同中规定的交货时间和服务要求按时交货和提供服务。</w:t>
      </w:r>
    </w:p>
    <w:p w14:paraId="517DB5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7FD1DA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18.3 除合同条款第21条规定的情况外,除非拖延是根据合同条款第18.2条的规定取得同意而不收取误期赔偿费之外，卖方延误交货，将按合同条款第19条的规定被收取误期赔偿费。</w:t>
      </w:r>
    </w:p>
    <w:p w14:paraId="0E9C3C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19.误期赔偿费</w:t>
      </w:r>
    </w:p>
    <w:p w14:paraId="0BEB58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398CF5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20.违约终止合同</w:t>
      </w:r>
    </w:p>
    <w:p w14:paraId="6ABCB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20.1 在买方对卖方违约而采取的任何补救措施不受影响的情况下，买方可向卖方发出书面违约通知书，提出终止部分或全部合同：</w:t>
      </w:r>
    </w:p>
    <w:p w14:paraId="59844B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1）如果卖方未能在合同规定的期限内或买方根据合同条款第18.2条的规定同意延长的期限内提供部分或全部货物；</w:t>
      </w:r>
    </w:p>
    <w:p w14:paraId="572AC0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2）如果卖方未能履行合同规定的其它任何义务。</w:t>
      </w:r>
    </w:p>
    <w:p w14:paraId="3BABC7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3）如果买方认为卖方在本合同的竞争和实施过程中有腐败和欺诈行为。为此目的，定义下述条件：</w:t>
      </w:r>
    </w:p>
    <w:p w14:paraId="263253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“腐败行为”是指提供、给予、接受或索取任何有价值的物品来影响买方在采购过程或合同实施过程中的行为。</w:t>
      </w:r>
    </w:p>
    <w:p w14:paraId="369181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“欺诈行为”是指为了影响采购过程或合同实施过程而谎报或隐瞒事实，损害买方利益的行为。</w:t>
      </w:r>
    </w:p>
    <w:p w14:paraId="38F49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29A1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21.不可抗力</w:t>
      </w:r>
    </w:p>
    <w:p w14:paraId="131E9B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83605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AE518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21.3 因合同一方迟延履行合同后发生不可抗力的，不能免除迟延履行方的相应责任。</w:t>
      </w:r>
    </w:p>
    <w:p w14:paraId="3C84E3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22.因破产而终止合同</w:t>
      </w:r>
    </w:p>
    <w:p w14:paraId="7DA6CD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 如果卖方破产或无清偿能力，买方可在任何时候以书面形式通知卖方，提出终止合同而不给卖方补偿。该合同的终止将不损害或影响买方已经采取或将要采取的任何行动或补救措施的权利。</w:t>
      </w:r>
    </w:p>
    <w:p w14:paraId="3730BF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23.因买方的便利而终止合同</w:t>
      </w:r>
    </w:p>
    <w:p w14:paraId="45BC2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23.1 买方可在任何时候出于自身的便利向卖方发出书面通知全部或部分终止合同，终止通知应明确该终止合同是出于买方的便利，并明确合同终止的程度，以及终止的生效日期。</w:t>
      </w:r>
    </w:p>
    <w:p w14:paraId="610F89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23.2 对卖方收到终止通知后三十（30）天内已完成并准备装运的货物，买方应按原合同价格和条款予以接收，对于剩下的货物，买方可：</w:t>
      </w:r>
    </w:p>
    <w:p w14:paraId="19701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1）仅对部分货物按照原来的合同价格和条款予以接受；或</w:t>
      </w:r>
    </w:p>
    <w:p w14:paraId="08B4A5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2）取消对所剩货物的采购，并按双方商定的金额向卖方支付部分完成的货物和服务以及卖方以前已采购的材料和部件的费用。</w:t>
      </w:r>
    </w:p>
    <w:p w14:paraId="3C8F2E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24.因其他原因而终止合同</w:t>
      </w:r>
    </w:p>
    <w:p w14:paraId="5237E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卖方应充分考虑到因国家政策变化、实施环境变化、重大技术变化等因素导致项目无法实施而终止项目的情况，因上述原因导致项目终止的，风险由卖方自行承担。</w:t>
      </w:r>
    </w:p>
    <w:p w14:paraId="0526F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25.争议的解决</w:t>
      </w:r>
    </w:p>
    <w:p w14:paraId="74644A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25.1 因执行本合同所发生的与本合同有关的一切争议,双方应通过友好协商解决。如果协商开始后还不能解决，任何一方均可按中华人民共和国有关法律的规定提交仲裁。</w:t>
      </w:r>
    </w:p>
    <w:p w14:paraId="6B53CC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25.2 仲裁裁决应为最终裁决，对双方均具有约束力。</w:t>
      </w:r>
    </w:p>
    <w:p w14:paraId="1DC234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25.3 仲裁费除仲裁机关另有裁决外均应由败诉方负担。</w:t>
      </w:r>
    </w:p>
    <w:p w14:paraId="3E6E17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25.4 在仲裁期间，除正在进行仲裁的部分外，本合同其它部分应继续执行。</w:t>
      </w:r>
    </w:p>
    <w:p w14:paraId="1A6355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26.适用法律</w:t>
      </w:r>
    </w:p>
    <w:p w14:paraId="7BBA98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 本合同应按照中华人民共和国的现行法律进行解释。</w:t>
      </w:r>
    </w:p>
    <w:p w14:paraId="4995DE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27.通知</w:t>
      </w:r>
    </w:p>
    <w:p w14:paraId="158A5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 本合同一方给对方的通知应用书面形式送到合同条款中规定的对方的地址。传真要经书面确认。</w:t>
      </w:r>
    </w:p>
    <w:p w14:paraId="602587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27.2 通知以送到日期或通知书的生效日期为生效日期，两者中以晚的一个日期为准。</w:t>
      </w:r>
    </w:p>
    <w:p w14:paraId="496291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28.税款</w:t>
      </w:r>
    </w:p>
    <w:p w14:paraId="45DFF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28.1 按照中华人民共和国税法和有关部门的规定，买方需交纳的与本合同有关的一切税费均应由买方负担。</w:t>
      </w:r>
    </w:p>
    <w:p w14:paraId="426535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28.2 按照中华人民共和国税法和有关部门的规定，卖方需交纳的与本合同有关的一切税费均应由卖方负担。</w:t>
      </w:r>
    </w:p>
    <w:p w14:paraId="0E65AA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29.合同生效</w:t>
      </w:r>
    </w:p>
    <w:p w14:paraId="43ED0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29.1 本合同应在买卖双方共同签字并盖章后生效。</w:t>
      </w:r>
    </w:p>
    <w:p w14:paraId="2FE990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仿宋" w:hAnsi="仿宋" w:eastAsia="仿宋" w:cs="仿宋"/>
          <w:color w:val="auto"/>
          <w:sz w:val="24"/>
          <w:szCs w:val="24"/>
          <w:highlight w:val="none"/>
        </w:rPr>
        <w:t>本合同为参考格式，最终合同将结合《招标文件》要求《投标文件》承诺及采购人要求综合制定</w:t>
      </w:r>
      <w:r>
        <w:rPr>
          <w:rFonts w:hint="eastAsia" w:ascii="仿宋" w:hAnsi="仿宋" w:eastAsia="仿宋" w:cs="仿宋"/>
          <w:color w:val="auto"/>
          <w:sz w:val="24"/>
          <w:szCs w:val="24"/>
          <w:highlight w:val="none"/>
          <w:lang w:eastAsia="zh-CN"/>
        </w:rPr>
        <w:t>。</w:t>
      </w:r>
      <w:bookmarkStart w:id="0" w:name="_GoBack"/>
      <w:bookmarkEnd w:id="0"/>
    </w:p>
    <w:sectPr>
      <w:footerReference r:id="rId5" w:type="default"/>
      <w:pgSz w:w="11906" w:h="16838"/>
      <w:pgMar w:top="1077" w:right="1077" w:bottom="1077" w:left="107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4E36C">
    <w:pPr>
      <w:spacing w:line="173" w:lineRule="auto"/>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314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customStyle="1" w:styleId="6">
    <w:name w:val=" Char Char4 Char Char Char Char"/>
    <w:basedOn w:val="1"/>
    <w:qFormat/>
    <w:uiPriority w:val="0"/>
    <w:pPr>
      <w:spacing w:line="440" w:lineRule="atLeast"/>
      <w:ind w:firstLine="482" w:firstLineChars="200"/>
    </w:pPr>
    <w:rPr>
      <w:rFonts w:ascii="宋体" w:hAnsi="宋体"/>
      <w:b/>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2026-08-18T09:41:30Z</dcterms:created>
  <dc:creator>Administrator</dc:creator>
  <cp:lastModifiedBy>李居岸</cp:lastModifiedBy>
  <dcterms:modified xsi:type="dcterms:W3CDTF">2026-08-18T09:42:17Z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eyJoZGlkIjoiMGZlYzUxNzc5ZTlhMzRhMmE5Y2ZmZDIyYjhkNThjN2YiLCJ1c2VySWQiOiIxNDY1ODM3MjEyIn0=</vt:lpwstr>
  </property>
  <property fmtid="{D5CDD505-2E9C-101B-9397-08002B2CF9AE}" pid="4" name="ICV">
    <vt:lpwstr>691ADE3572794A7E823ADB62676E1EAF_12</vt:lpwstr>
  </property>
</Properties>
</file>