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版本号：ZCSP-蒲城县-2026-00169、DLCG2026-06020260710001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2026年度常态化帮扶资金项目设计服务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ZCSP-蒲城县-2026-00169、DLCG2026-060</w:t>
      </w:r>
      <w:r>
        <w:br/>
      </w:r>
      <w:r>
        <w:br/>
      </w:r>
      <w:r>
        <w:br/>
      </w:r>
    </w:p>
    <w:p>
      <w:pPr>
        <w:pStyle w:val="null3"/>
        <w:jc w:val="center"/>
        <w:outlineLvl w:val="2"/>
      </w:pPr>
      <w:r>
        <w:rPr>
          <w:rFonts w:ascii="仿宋_GB2312" w:hAnsi="仿宋_GB2312" w:cs="仿宋_GB2312" w:eastAsia="仿宋_GB2312"/>
          <w:sz w:val="28"/>
          <w:b/>
        </w:rPr>
        <w:t>蒲城县农业农村局</w:t>
      </w:r>
    </w:p>
    <w:p>
      <w:pPr>
        <w:pStyle w:val="null3"/>
        <w:jc w:val="center"/>
        <w:outlineLvl w:val="2"/>
      </w:pPr>
      <w:r>
        <w:rPr>
          <w:rFonts w:ascii="仿宋_GB2312" w:hAnsi="仿宋_GB2312" w:cs="仿宋_GB2312" w:eastAsia="仿宋_GB2312"/>
          <w:sz w:val="28"/>
          <w:b/>
        </w:rPr>
        <w:t>陕西鼎力中创项目管理有限公司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陕西鼎力中创项目管理有限公司</w:t>
      </w:r>
      <w:r>
        <w:rPr>
          <w:rFonts w:ascii="仿宋_GB2312" w:hAnsi="仿宋_GB2312" w:cs="仿宋_GB2312" w:eastAsia="仿宋_GB2312"/>
        </w:rPr>
        <w:t>（以下简称“代理机构”）受</w:t>
      </w:r>
      <w:r>
        <w:rPr>
          <w:rFonts w:ascii="仿宋_GB2312" w:hAnsi="仿宋_GB2312" w:cs="仿宋_GB2312" w:eastAsia="仿宋_GB2312"/>
        </w:rPr>
        <w:t>蒲城县农业农村局</w:t>
      </w:r>
      <w:r>
        <w:rPr>
          <w:rFonts w:ascii="仿宋_GB2312" w:hAnsi="仿宋_GB2312" w:cs="仿宋_GB2312" w:eastAsia="仿宋_GB2312"/>
        </w:rPr>
        <w:t>委托，拟对</w:t>
      </w:r>
      <w:r>
        <w:rPr>
          <w:rFonts w:ascii="仿宋_GB2312" w:hAnsi="仿宋_GB2312" w:cs="仿宋_GB2312" w:eastAsia="仿宋_GB2312"/>
        </w:rPr>
        <w:t>2026年度常态化帮扶资金项目设计服务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ZCSP-蒲城县-2026-00169、DLCG2026-060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2026年度常态化帮扶资金项目设计服务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为项目顺利实施，做好龙池车杜村育苗温室大棚等14个项目前期设计服务工作，项目主要内容包括：温室大棚、混凝土道路工程、沥青路面工程、排水管网及渠系工程等，投资预算约1808万元。</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采购包1（2026年度常态化帮扶资金项目设计服务）：属于专门面向中小企业采购。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负责人）或授权代表身份证明：供应商应授权合法的人员参加磋商全过程，其中法定代表人（或负责人）直接参加磋商的，须出具法定代表人（或负责人）身份证明，并与营业执照上信息一致。法定代表人（或负责人）授权代表参加磋商的，须出具法定代表人（或负责人）授权书及授权代表身份证明；</w:t>
      </w:r>
    </w:p>
    <w:p>
      <w:pPr>
        <w:pStyle w:val="null3"/>
      </w:pPr>
      <w:r>
        <w:rPr>
          <w:rFonts w:ascii="仿宋_GB2312" w:hAnsi="仿宋_GB2312" w:cs="仿宋_GB2312" w:eastAsia="仿宋_GB2312"/>
        </w:rPr>
        <w:t>2、企业资质：工程设计综合甲级资质或工程设计市政行业乙级及以上资质或市政行业（道路工程专业、给排水工程专业）乙级及以上资质；</w:t>
      </w:r>
    </w:p>
    <w:p>
      <w:pPr>
        <w:pStyle w:val="null3"/>
      </w:pPr>
      <w:r>
        <w:rPr>
          <w:rFonts w:ascii="仿宋_GB2312" w:hAnsi="仿宋_GB2312" w:cs="仿宋_GB2312" w:eastAsia="仿宋_GB2312"/>
        </w:rPr>
        <w:t>3、人员资质：拟派项目负责人应具备市政相关专业（市政工程、道路工程、给水排水工程之一）中级及以上职称；</w:t>
      </w:r>
    </w:p>
    <w:p>
      <w:pPr>
        <w:pStyle w:val="null3"/>
      </w:pPr>
      <w:r>
        <w:rPr>
          <w:rFonts w:ascii="仿宋_GB2312" w:hAnsi="仿宋_GB2312" w:cs="仿宋_GB2312" w:eastAsia="仿宋_GB2312"/>
        </w:rPr>
        <w:t>4、信用信息：供应商未列入“信用中国”网站(www.creditchina.gov.cn)失信被执行人、重大税收违法失信主体、政府采购严重违法失信行为记录名单和“中国政府采购网”(www.ccgp.gov.cn)政府采购严重违法失信行为信息记录；</w:t>
      </w:r>
    </w:p>
    <w:p>
      <w:pPr>
        <w:pStyle w:val="null3"/>
      </w:pPr>
      <w:r>
        <w:rPr>
          <w:rFonts w:ascii="仿宋_GB2312" w:hAnsi="仿宋_GB2312" w:cs="仿宋_GB2312" w:eastAsia="仿宋_GB2312"/>
        </w:rPr>
        <w:t>5、供应商不得存在下列情形：单位负责人为同一人或者存在直接控股、管理关系的不同供应商不得参加同一合同项下的政府采购活动。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蒲城县农业农村局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渭南市蒲城县城关街道延安路东段20号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申园</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15349131453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陕西鼎力中创项目管理有限公司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陕西省渭南市临渭区乐天大街碧桂园翡翠公馆北门商铺2层208号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邵宝舟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0913-2185335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惠娜娜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0913-7255613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采购包1：310,000.00元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采购包1保证金金额：3,500.00元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开户名称：陕西鼎力中创项目管理有限公司</w:t>
            </w:r>
          </w:p>
          <w:p>
            <w:pPr>
              <w:pStyle w:val="null3"/>
            </w:pPr>
            <w:r>
              <w:rPr>
                <w:rFonts w:ascii="仿宋_GB2312" w:hAnsi="仿宋_GB2312" w:cs="仿宋_GB2312" w:eastAsia="仿宋_GB2312"/>
              </w:rPr>
              <w:t>开户银行：工行渭南仓程路支行</w:t>
            </w:r>
          </w:p>
          <w:p>
            <w:pPr>
              <w:pStyle w:val="null3"/>
            </w:pPr>
            <w:r>
              <w:rPr>
                <w:rFonts w:ascii="仿宋_GB2312" w:hAnsi="仿宋_GB2312" w:cs="仿宋_GB2312" w:eastAsia="仿宋_GB2312"/>
              </w:rPr>
              <w:t>银行账号：2605 0259 1910 0033 019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 857号）的有关规定标准，成交供应商向采购代理机构一次付清采购代理服务费。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蒲城县农业农村局</w:t>
      </w:r>
      <w:r>
        <w:rPr>
          <w:rFonts w:ascii="仿宋_GB2312" w:hAnsi="仿宋_GB2312" w:cs="仿宋_GB2312" w:eastAsia="仿宋_GB2312"/>
        </w:rPr>
        <w:t>和</w:t>
      </w:r>
      <w:r>
        <w:rPr>
          <w:rFonts w:ascii="仿宋_GB2312" w:hAnsi="仿宋_GB2312" w:cs="仿宋_GB2312" w:eastAsia="仿宋_GB2312"/>
        </w:rPr>
        <w:t>陕西鼎力中创项目管理有限公司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蒲城县农业农村局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陕西鼎力中创项目管理有限公司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蒲城县农业农村局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陕西鼎力中创项目管理有限公司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本项目实施过程中形成的相关文档，其知识产权及所有权均归采购人所有，供应商仅可在本项目范围内使用，不得向第三方泄露或用于其他目的。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技术标准，并在项目完成后，组织专家对设计成果进行评审，根据专家评审意见和相关方的反馈，对设计方案进行进一步优化和完善。直至设计方案通过评审。经过验收小组验收后一致认为已达到要求视为验收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陕西鼎力中创项目管理有限公司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陕西鼎力中创项目管理有限公司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陕西鼎力中创项目管理有限公司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联系人：李杰</w:t>
      </w:r>
    </w:p>
    <w:p>
      <w:pPr>
        <w:pStyle w:val="null3"/>
      </w:pPr>
      <w:r>
        <w:rPr>
          <w:rFonts w:ascii="仿宋_GB2312" w:hAnsi="仿宋_GB2312" w:cs="仿宋_GB2312" w:eastAsia="仿宋_GB2312"/>
        </w:rPr>
        <w:t>联系电话：0913-2185335</w:t>
      </w:r>
    </w:p>
    <w:p>
      <w:pPr>
        <w:pStyle w:val="null3"/>
      </w:pPr>
      <w:r>
        <w:rPr>
          <w:rFonts w:ascii="仿宋_GB2312" w:hAnsi="仿宋_GB2312" w:cs="仿宋_GB2312" w:eastAsia="仿宋_GB2312"/>
        </w:rPr>
        <w:t>地址：渭南市临渭区乐天大街碧桂园翡翠公馆北门11栋商铺2层208号</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为项目顺利实施，做好龙池车杜村育苗温室大棚等14个项目前期设计服务工作，项目主要内容包括：温室大棚、混凝土道路工程、沥青路面工程、排水管网及渠系工程等，投资预算约1808万元。</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310,000.00</w:t>
      </w:r>
    </w:p>
    <w:p>
      <w:pPr>
        <w:pStyle w:val="null3"/>
      </w:pPr>
      <w:r>
        <w:rPr>
          <w:rFonts w:ascii="仿宋_GB2312" w:hAnsi="仿宋_GB2312" w:cs="仿宋_GB2312" w:eastAsia="仿宋_GB2312"/>
        </w:rPr>
        <w:t>采购包最高限价（元）: 307,000.00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2026年度常态化帮扶资金项目设计服务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310,000.00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标的名称：2026年度常态化帮扶资金项目设计服务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pPr>
            <w:r>
              <w:rPr>
                <w:rFonts w:ascii="仿宋_GB2312" w:hAnsi="仿宋_GB2312" w:cs="仿宋_GB2312" w:eastAsia="仿宋_GB2312"/>
                <w:sz w:val="18"/>
              </w:rPr>
              <w:t>需执行的国家相关标准、行业标准、地方标准或者其他标准、规范标准</w:t>
            </w:r>
          </w:p>
          <w:p>
            <w:pPr>
              <w:pStyle w:val="null3"/>
              <w:ind w:firstLine="640"/>
            </w:pPr>
            <w:r>
              <w:rPr>
                <w:rFonts w:ascii="仿宋_GB2312" w:hAnsi="仿宋_GB2312" w:cs="仿宋_GB2312" w:eastAsia="仿宋_GB2312"/>
                <w:sz w:val="18"/>
              </w:rPr>
              <w:t>《中华人民共和国建筑法》</w:t>
            </w:r>
          </w:p>
          <w:p>
            <w:pPr>
              <w:pStyle w:val="null3"/>
              <w:ind w:firstLine="640"/>
            </w:pPr>
            <w:r>
              <w:rPr>
                <w:rFonts w:ascii="仿宋_GB2312" w:hAnsi="仿宋_GB2312" w:cs="仿宋_GB2312" w:eastAsia="仿宋_GB2312"/>
                <w:sz w:val="18"/>
              </w:rPr>
              <w:t>《建设工程质量管理条例》</w:t>
            </w:r>
          </w:p>
          <w:p>
            <w:pPr>
              <w:pStyle w:val="null3"/>
              <w:ind w:firstLine="640"/>
            </w:pPr>
            <w:r>
              <w:rPr>
                <w:rFonts w:ascii="仿宋_GB2312" w:hAnsi="仿宋_GB2312" w:cs="仿宋_GB2312" w:eastAsia="仿宋_GB2312"/>
                <w:sz w:val="18"/>
              </w:rPr>
              <w:t>《建设工程勘察设计管理条例》</w:t>
            </w:r>
          </w:p>
          <w:p>
            <w:pPr>
              <w:pStyle w:val="null3"/>
              <w:ind w:firstLine="640"/>
            </w:pPr>
            <w:r>
              <w:rPr>
                <w:rFonts w:ascii="仿宋_GB2312" w:hAnsi="仿宋_GB2312" w:cs="仿宋_GB2312" w:eastAsia="仿宋_GB2312"/>
                <w:sz w:val="18"/>
              </w:rPr>
              <w:t>《公路水泥混凝土路面设计规范》</w:t>
            </w:r>
          </w:p>
          <w:p>
            <w:pPr>
              <w:pStyle w:val="null3"/>
              <w:ind w:firstLine="640"/>
            </w:pPr>
            <w:r>
              <w:rPr>
                <w:rFonts w:ascii="仿宋_GB2312" w:hAnsi="仿宋_GB2312" w:cs="仿宋_GB2312" w:eastAsia="仿宋_GB2312"/>
                <w:sz w:val="18"/>
              </w:rPr>
              <w:t>《公路沥青路面设计规范》</w:t>
            </w:r>
          </w:p>
          <w:p>
            <w:pPr>
              <w:pStyle w:val="null3"/>
              <w:ind w:firstLine="640"/>
            </w:pPr>
            <w:r>
              <w:rPr>
                <w:rFonts w:ascii="仿宋_GB2312" w:hAnsi="仿宋_GB2312" w:cs="仿宋_GB2312" w:eastAsia="仿宋_GB2312"/>
                <w:sz w:val="18"/>
              </w:rPr>
              <w:t>《灌溉与排水工程设计规范》</w:t>
            </w:r>
          </w:p>
          <w:p>
            <w:pPr>
              <w:pStyle w:val="null3"/>
              <w:ind w:firstLine="640"/>
            </w:pPr>
            <w:r>
              <w:rPr>
                <w:rFonts w:ascii="仿宋_GB2312" w:hAnsi="仿宋_GB2312" w:cs="仿宋_GB2312" w:eastAsia="仿宋_GB2312"/>
                <w:sz w:val="18"/>
              </w:rPr>
              <w:t>GB 50108-2008《地下工程防水技术规范》</w:t>
            </w:r>
          </w:p>
          <w:p>
            <w:pPr>
              <w:pStyle w:val="null3"/>
              <w:ind w:firstLine="640"/>
            </w:pPr>
            <w:r>
              <w:rPr>
                <w:rFonts w:ascii="仿宋_GB2312" w:hAnsi="仿宋_GB2312" w:cs="仿宋_GB2312" w:eastAsia="仿宋_GB2312"/>
                <w:sz w:val="18"/>
              </w:rPr>
              <w:t>GB 50204-2015《混凝土结构工程施工质量验收规范》</w:t>
            </w:r>
          </w:p>
          <w:p>
            <w:pPr>
              <w:pStyle w:val="null3"/>
              <w:ind w:firstLine="640"/>
            </w:pPr>
            <w:r>
              <w:rPr>
                <w:rFonts w:ascii="仿宋_GB2312" w:hAnsi="仿宋_GB2312" w:cs="仿宋_GB2312" w:eastAsia="仿宋_GB2312"/>
                <w:sz w:val="18"/>
              </w:rPr>
              <w:t>GB 50014-2021《室外排水设计标准》</w:t>
            </w:r>
          </w:p>
          <w:p>
            <w:pPr>
              <w:pStyle w:val="null3"/>
              <w:ind w:firstLine="640"/>
            </w:pPr>
            <w:r>
              <w:rPr>
                <w:rFonts w:ascii="仿宋_GB2312" w:hAnsi="仿宋_GB2312" w:cs="仿宋_GB2312" w:eastAsia="仿宋_GB2312"/>
                <w:sz w:val="18"/>
              </w:rPr>
              <w:t>GB/T 51424-2022《农业温室结构设计标准》</w:t>
            </w:r>
          </w:p>
          <w:p>
            <w:pPr>
              <w:pStyle w:val="null3"/>
              <w:ind w:firstLine="640"/>
            </w:pPr>
            <w:r>
              <w:rPr>
                <w:rFonts w:ascii="仿宋_GB2312" w:hAnsi="仿宋_GB2312" w:cs="仿宋_GB2312" w:eastAsia="仿宋_GB2312"/>
                <w:sz w:val="18"/>
              </w:rPr>
              <w:t>GB/T 51423-2022《农业温室结构荷载规范》</w:t>
            </w:r>
          </w:p>
          <w:p>
            <w:pPr>
              <w:pStyle w:val="null3"/>
            </w:pPr>
            <w:r>
              <w:rPr>
                <w:rFonts w:ascii="仿宋_GB2312" w:hAnsi="仿宋_GB2312" w:cs="仿宋_GB2312" w:eastAsia="仿宋_GB2312"/>
                <w:sz w:val="18"/>
              </w:rPr>
              <w:t xml:space="preserve">             执行的国家相关标准、行业标准、地方标准以及其他标准、规范，并统一执行最新标准规范。</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18"/>
              </w:rPr>
              <w:t xml:space="preserve">            服务内容：</w:t>
            </w:r>
          </w:p>
          <w:p>
            <w:pPr>
              <w:pStyle w:val="null3"/>
            </w:pPr>
            <w:r>
              <w:rPr>
                <w:rFonts w:ascii="仿宋_GB2312" w:hAnsi="仿宋_GB2312" w:cs="仿宋_GB2312" w:eastAsia="仿宋_GB2312"/>
                <w:sz w:val="18"/>
              </w:rPr>
              <w:t xml:space="preserve">            为项目顺利实施，做好龙池车杜村育苗温室大棚等14个项目前期设计服务工作，项目主要内容包括：温室大棚、混凝土道路工程、沥青路面工程、排水管网及渠系工程等。</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560"/>
              <w:jc w:val="both"/>
            </w:pPr>
            <w:r>
              <w:rPr>
                <w:rFonts w:ascii="仿宋_GB2312" w:hAnsi="仿宋_GB2312" w:cs="仿宋_GB2312" w:eastAsia="仿宋_GB2312"/>
                <w:sz w:val="18"/>
              </w:rPr>
              <w:t>服务要求：</w:t>
            </w:r>
          </w:p>
          <w:p>
            <w:pPr>
              <w:pStyle w:val="null3"/>
              <w:ind w:firstLine="560"/>
              <w:jc w:val="both"/>
            </w:pPr>
            <w:r>
              <w:rPr>
                <w:rFonts w:ascii="仿宋_GB2312" w:hAnsi="仿宋_GB2312" w:cs="仿宋_GB2312" w:eastAsia="仿宋_GB2312"/>
                <w:sz w:val="18"/>
              </w:rPr>
              <w:t>1.工程设计应遵守国家有关法律法规，必须符合工程建设强制性标准，且标准和内容必须按照本工程项目的有关要求。</w:t>
            </w:r>
          </w:p>
          <w:p>
            <w:pPr>
              <w:pStyle w:val="null3"/>
              <w:ind w:firstLine="560"/>
              <w:jc w:val="both"/>
            </w:pPr>
            <w:r>
              <w:rPr>
                <w:rFonts w:ascii="仿宋_GB2312" w:hAnsi="仿宋_GB2312" w:cs="仿宋_GB2312" w:eastAsia="仿宋_GB2312"/>
                <w:sz w:val="18"/>
              </w:rPr>
              <w:t>2.供应商的工作范围包括项目任务的设计工作和其他按有关需要承担及配合的相关工作。</w:t>
            </w:r>
          </w:p>
          <w:p>
            <w:pPr>
              <w:pStyle w:val="null3"/>
              <w:ind w:firstLine="560"/>
              <w:jc w:val="both"/>
            </w:pPr>
            <w:r>
              <w:rPr>
                <w:rFonts w:ascii="仿宋_GB2312" w:hAnsi="仿宋_GB2312" w:cs="仿宋_GB2312" w:eastAsia="仿宋_GB2312"/>
                <w:sz w:val="18"/>
              </w:rPr>
              <w:t>3.工程设计应坚持节约资源、少占耕地、确保安全、提高质量利于运行和降低造价的原则，确保设计结果技术可行、经济合理。</w:t>
            </w:r>
          </w:p>
          <w:p>
            <w:pPr>
              <w:pStyle w:val="null3"/>
              <w:ind w:firstLine="560"/>
              <w:jc w:val="both"/>
            </w:pPr>
            <w:r>
              <w:rPr>
                <w:rFonts w:ascii="仿宋_GB2312" w:hAnsi="仿宋_GB2312" w:cs="仿宋_GB2312" w:eastAsia="仿宋_GB2312"/>
                <w:sz w:val="18"/>
              </w:rPr>
              <w:t>4.供应商在其工作范围内应确保其各自独立准备的全部设计文件在中国境内外都没有且也不会侵犯任何第三方的知识产权（包括但不限于著作权、商标权、专利权）或专有技术或商业秘密；投标人如果在其设计文件中使用或包含任何其他人的知识产权或专有技术或商业秘密，应保证已经获得权利人的合法、有效、充分的授权；采购人拥有成交人所提交的全部设计文件（包括设计方案、设计成果）的使用权和受益权，并使用于本项目。</w:t>
            </w:r>
          </w:p>
          <w:p>
            <w:pPr>
              <w:pStyle w:val="null3"/>
              <w:ind w:firstLine="560"/>
              <w:jc w:val="both"/>
            </w:pPr>
            <w:r>
              <w:rPr>
                <w:rFonts w:ascii="仿宋_GB2312" w:hAnsi="仿宋_GB2312" w:cs="仿宋_GB2312" w:eastAsia="仿宋_GB2312"/>
                <w:sz w:val="18"/>
              </w:rPr>
              <w:t>5.在服务范围内按工作内容和要求制定详细的方案，方案科学、合理、可靠。</w:t>
            </w:r>
          </w:p>
          <w:p>
            <w:pPr>
              <w:pStyle w:val="null3"/>
              <w:ind w:firstLine="560"/>
              <w:jc w:val="both"/>
            </w:pPr>
            <w:r>
              <w:rPr>
                <w:rFonts w:ascii="仿宋_GB2312" w:hAnsi="仿宋_GB2312" w:cs="仿宋_GB2312" w:eastAsia="仿宋_GB2312"/>
                <w:sz w:val="18"/>
              </w:rPr>
              <w:t>6.人员配备合理。有针对本项目的专项项目小组，项目负责人、工作人员分工明确（应有具体成员名单，包括姓名、工作职责等）</w:t>
            </w:r>
          </w:p>
          <w:p>
            <w:pPr>
              <w:pStyle w:val="null3"/>
              <w:ind w:firstLine="560"/>
              <w:jc w:val="both"/>
            </w:pPr>
            <w:r>
              <w:rPr>
                <w:rFonts w:ascii="仿宋_GB2312" w:hAnsi="仿宋_GB2312" w:cs="仿宋_GB2312" w:eastAsia="仿宋_GB2312"/>
                <w:sz w:val="18"/>
              </w:rPr>
              <w:t>7.有各类突发事件的应急预案和措施，有明确具体的承诺。</w:t>
            </w:r>
          </w:p>
          <w:p>
            <w:pPr>
              <w:pStyle w:val="null3"/>
            </w:pPr>
            <w:r>
              <w:rPr>
                <w:rFonts w:ascii="仿宋_GB2312" w:hAnsi="仿宋_GB2312" w:cs="仿宋_GB2312" w:eastAsia="仿宋_GB2312"/>
                <w:sz w:val="18"/>
              </w:rPr>
              <w:t xml:space="preserve">           8.供应商所拟派的工作人员，若在服务期间发生任何安全事故由供应商承担。</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根据项目需求配置相应人员。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根据项目需求配置相应设施设备。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成设计任务，通过专家评审，工程施工开展后为工程施工提供技术指导（包括但不限于初步设计、工程概算、施工图、后期服务等），必要时对设计进行设计变更，配合采购人完成验收工作，出具相应工作报告及其他相关工作。</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25日历天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陕西省渭南市蒲城县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技术标准，并在项目完成后，组织专家对设计成果进行评审，根据专家评审意见和相关方的反馈，对设计方案进行进一步优化和完善。直至设计方案通过评审。经过验收小组验收后一致认为已达到要求视为验收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进度款，按履约进度结算，乙方完成合同约定的工作任务后，达到付款条件起10个工作日内，支付合同总金额的40.0%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进度款，项目整体施工完成验收合格后，达到付款条件起10个工作日内，支付合同总金额的60.0%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1.成交供应商在成交结果公告发布后3个工作日内提供叁套纸质磋商响应文件（经编标工具生成的文件直接打印并加盖公章），递交的纸质版文件内容确保与线上电子文件保持一致，不允许修改和补充。 2.供应商应根据《政府采购促进中小企业发展管理办法》、《关于印发中小企业划型标准规定的通知》(工信部联企业(2011)300号)要求和采购文件中明确的采购标的所属行业进行企业划型。 3.出具磋商保证金交纳凭证或担保机构出具的保函（未按磋商文件要求提供响应无效）。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1.1供应商应具备独立承担民事责任能力的法人、其他组织或自然人，提供合法有效的统一社会信用代码的营业执照副本或相关证明（自然人提供身份证复印件）； 1.2提供具有财务审计资质单位出具的2025年度的财务报告或响应文件提交截止时间前六个月内其基本账户银行出具的资信证明； 1.3供应商提供响应文件提交截止时间前一年内任意一个月的社会保障资金缴存证明或社保机构开具的社会保险参保缴费情况证明； 1.4供应商提供响应文件提交截止时间前一年内任意一个月的依法缴纳税收的相关证明，依法免税需提供相关证明材料； 1.5提供供应商参加政府采购活动前三年内经营活动中没有重大违法记录的书面声明； 1.6提供具有履行合同所必需的设备和专业技术能力的声明。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法定代表人（负责人）或授权代表身份证明</w:t>
            </w:r>
          </w:p>
        </w:tc>
        <w:tc>
          <w:tcPr>
            <w:tcW w:type="dxa" w:w="3322"/>
          </w:tcPr>
          <w:p>
            <w:pPr>
              <w:pStyle w:val="null3"/>
            </w:pPr>
            <w:r>
              <w:rPr>
                <w:rFonts w:ascii="仿宋_GB2312" w:hAnsi="仿宋_GB2312" w:cs="仿宋_GB2312" w:eastAsia="仿宋_GB2312"/>
              </w:rPr>
              <w:t>供应商应授权合法的人员参加磋商全过程，其中法定代表人（或负责人）直接参加磋商的，须出具法定代表人（或负责人）身份证明，并与营业执照上信息一致。法定代表人（或负责人）授权代表参加磋商的，须出具法定代表人（或负责人）授权书及授权代表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工程设计综合甲级资质或工程设计市政行业乙级及以上资质或市政行业（道路工程专业、给排水工程专业）乙级及以上资质；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人员资质</w:t>
            </w:r>
          </w:p>
        </w:tc>
        <w:tc>
          <w:tcPr>
            <w:tcW w:type="dxa" w:w="3322"/>
          </w:tcPr>
          <w:p>
            <w:pPr>
              <w:pStyle w:val="null3"/>
            </w:pPr>
            <w:r>
              <w:rPr>
                <w:rFonts w:ascii="仿宋_GB2312" w:hAnsi="仿宋_GB2312" w:cs="仿宋_GB2312" w:eastAsia="仿宋_GB2312"/>
              </w:rPr>
              <w:t>拟派项目负责人应具备市政相关专业（市政工程、道路工程、给水排水工程之一）中级及以上职称；</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供应商未列入“信用中国”网站(www.creditchina.gov.cn)失信被执行人、重大税收违法失信主体、政府采购严重违法失信行为记录名单和“中国政府采购网”(www.ccgp.gov.cn)政府采购严重违法失信行为信息记录；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供应商不得存在下列情形</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投标（响应）有效期</w:t>
            </w:r>
          </w:p>
        </w:tc>
        <w:tc>
          <w:tcPr>
            <w:tcW w:type="dxa" w:w="3322"/>
          </w:tcPr>
          <w:p>
            <w:pPr>
              <w:pStyle w:val="null3"/>
            </w:pPr>
            <w:r>
              <w:rPr>
                <w:rFonts w:ascii="仿宋_GB2312" w:hAnsi="仿宋_GB2312" w:cs="仿宋_GB2312" w:eastAsia="仿宋_GB2312"/>
              </w:rPr>
              <w:t>投标（响应）有效期（90日历天）满足磋商文件的要求。</w:t>
            </w:r>
          </w:p>
        </w:tc>
        <w:tc>
          <w:tcPr>
            <w:tcW w:type="dxa" w:w="1661"/>
          </w:tcPr>
          <w:p>
            <w:pPr>
              <w:pStyle w:val="null3"/>
            </w:pPr>
            <w:r>
              <w:rPr>
                <w:rFonts w:ascii="仿宋_GB2312" w:hAnsi="仿宋_GB2312" w:cs="仿宋_GB2312" w:eastAsia="仿宋_GB2312"/>
              </w:rPr>
              <w:t>商务应答表.docx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磋商响应文件签署、盖章</w:t>
            </w:r>
          </w:p>
        </w:tc>
        <w:tc>
          <w:tcPr>
            <w:tcW w:type="dxa" w:w="3322"/>
          </w:tcPr>
          <w:p>
            <w:pPr>
              <w:pStyle w:val="null3"/>
            </w:pPr>
            <w:r>
              <w:rPr>
                <w:rFonts w:ascii="仿宋_GB2312" w:hAnsi="仿宋_GB2312" w:cs="仿宋_GB2312" w:eastAsia="仿宋_GB2312"/>
              </w:rPr>
              <w:t>磋商响应文件签署、盖章满足磋商文件的要求。</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服务内容及服务要求应答表 标的清单 报价表 商务应答表.docx 响应函 服务方案.docx 监狱企业的证明文件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供应商磋商报价未出现选择性报价，未超出采购最高限价。</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合同履行期</w:t>
            </w:r>
          </w:p>
        </w:tc>
        <w:tc>
          <w:tcPr>
            <w:tcW w:type="dxa" w:w="3322"/>
          </w:tcPr>
          <w:p>
            <w:pPr>
              <w:pStyle w:val="null3"/>
            </w:pPr>
            <w:r>
              <w:rPr>
                <w:rFonts w:ascii="仿宋_GB2312" w:hAnsi="仿宋_GB2312" w:cs="仿宋_GB2312" w:eastAsia="仿宋_GB2312"/>
              </w:rPr>
              <w:t>合同履行期满足或优于采购要求。</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响应文件中对合同草案条款未附加采购人难以接受的条件。</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质量标准达到国家现行行业验收规范“合格”标准及磋商文件要求。</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磋商响应内容</w:t>
            </w:r>
          </w:p>
        </w:tc>
        <w:tc>
          <w:tcPr>
            <w:tcW w:type="dxa" w:w="3322"/>
          </w:tcPr>
          <w:p>
            <w:pPr>
              <w:pStyle w:val="null3"/>
            </w:pPr>
            <w:r>
              <w:rPr>
                <w:rFonts w:ascii="仿宋_GB2312" w:hAnsi="仿宋_GB2312" w:cs="仿宋_GB2312" w:eastAsia="仿宋_GB2312"/>
              </w:rPr>
              <w:t>供应商提供的货物(服务)无实质性遗漏。</w:t>
            </w:r>
          </w:p>
        </w:tc>
        <w:tc>
          <w:tcPr>
            <w:tcW w:type="dxa" w:w="1661"/>
          </w:tcPr>
          <w:p>
            <w:pPr>
              <w:pStyle w:val="null3"/>
            </w:pPr>
            <w:r>
              <w:rPr>
                <w:rFonts w:ascii="仿宋_GB2312" w:hAnsi="仿宋_GB2312" w:cs="仿宋_GB2312" w:eastAsia="仿宋_GB2312"/>
              </w:rPr>
              <w:t>服务内容及服务要求应答表 商务应答表.docx 服务方案.docx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对本项目的理解与重难点分析</w:t>
            </w:r>
          </w:p>
        </w:tc>
        <w:tc>
          <w:tcPr>
            <w:tcW w:type="dxa" w:w="2492"/>
          </w:tcPr>
          <w:p>
            <w:pPr>
              <w:pStyle w:val="null3"/>
            </w:pPr>
            <w:r>
              <w:rPr>
                <w:rFonts w:ascii="仿宋_GB2312" w:hAnsi="仿宋_GB2312" w:cs="仿宋_GB2312" w:eastAsia="仿宋_GB2312"/>
              </w:rPr>
              <w:t>一、评审内容：对本项目的理解与重难点分析，包括但不限于：①对项目的理解和认识；②项目重难点分析；③合理化建议等。 二、评审标准：以上3项，以序号①、②、③为项数，内容无缺项且无缺陷的得6分，其中每有一项内容存在缺项扣2分，每项内容中每有一处存在缺陷的扣0.5分，扣完为止，未提供不得分。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项目整体实施方案</w:t>
            </w:r>
          </w:p>
        </w:tc>
        <w:tc>
          <w:tcPr>
            <w:tcW w:type="dxa" w:w="2492"/>
          </w:tcPr>
          <w:p>
            <w:pPr>
              <w:pStyle w:val="null3"/>
            </w:pPr>
            <w:r>
              <w:rPr>
                <w:rFonts w:ascii="仿宋_GB2312" w:hAnsi="仿宋_GB2312" w:cs="仿宋_GB2312" w:eastAsia="仿宋_GB2312"/>
              </w:rPr>
              <w:t>一、评审内容：项目整体实施方案，包括不限于：①设计范围、设计内容②设计依据、设计工作目标；③设计说明和设计方案；④设计安全保证措施。二、评审标准：以上4项，以序号①、②、③、④为项数，内容无缺项且无缺陷的得12分，其中每有一项内容存在缺项扣3分，每项内容中每有一处存在缺陷的扣0.5分，扣完为止，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专业化设计方案</w:t>
            </w:r>
          </w:p>
        </w:tc>
        <w:tc>
          <w:tcPr>
            <w:tcW w:type="dxa" w:w="2492"/>
          </w:tcPr>
          <w:p>
            <w:pPr>
              <w:pStyle w:val="null3"/>
            </w:pPr>
            <w:r>
              <w:rPr>
                <w:rFonts w:ascii="仿宋_GB2312" w:hAnsi="仿宋_GB2312" w:cs="仿宋_GB2312" w:eastAsia="仿宋_GB2312"/>
              </w:rPr>
              <w:t>一、评审内容：根据所提供的针对本项目的专业化设计方案。包括不限于：① 构筑物设施工程设计；②道路工程设计；③给排水工程设计。二、评审标准：以上3项，以序号①、②、③为项数，内容无缺项且无缺陷的得9分，其中每有一项内容存在缺项扣3分，每项内容中每有一处存在缺陷的扣0.5分，扣完为止，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针对本项目的质量保障措施，包含不限于：①质量管理体系及措施；②项目进度保障措施；③设计成果交付归档保障措施。二、评审标准：以上3项，以序号①、②、③为项数，内容无缺项且无缺陷的得9分，其中每有一项内容存在缺项扣3分，每项内容中每有一处存在缺陷的扣0.5分，扣完为止，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一、评审内容：供应商提供具有针对突发特殊情况的应急保障措施。确保在发生紧急事件及其他问题时，能够及时、有效地解决问题，保证本项目顺利进行。二、评审标准：内容无缺陷的得4分，内容中每有一处存在缺陷的扣0.5分，扣完为止，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项目组人员</w:t>
            </w:r>
          </w:p>
        </w:tc>
        <w:tc>
          <w:tcPr>
            <w:tcW w:type="dxa" w:w="2492"/>
          </w:tcPr>
          <w:p>
            <w:pPr>
              <w:pStyle w:val="null3"/>
            </w:pPr>
            <w:r>
              <w:rPr>
                <w:rFonts w:ascii="仿宋_GB2312" w:hAnsi="仿宋_GB2312" w:cs="仿宋_GB2312" w:eastAsia="仿宋_GB2312"/>
              </w:rPr>
              <w:t>项目组人员（除项目负责人外） 团队配备相关专业技术人员，每1名中级及以上工程师得1分，每1名助理工程师得0.5分；同一人员仅按最高职称计分，不重复累加，本项最高6分。注：拟派人员须提供对应职称证书，同时提交近1年内任意一个月社保缴纳凭证或劳动合同（加盖投标单位公章）；资料缺失、无效或专业不符的人员不予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配套服务</w:t>
            </w:r>
          </w:p>
        </w:tc>
        <w:tc>
          <w:tcPr>
            <w:tcW w:type="dxa" w:w="2492"/>
          </w:tcPr>
          <w:p>
            <w:pPr>
              <w:pStyle w:val="null3"/>
            </w:pPr>
            <w:r>
              <w:rPr>
                <w:rFonts w:ascii="仿宋_GB2312" w:hAnsi="仿宋_GB2312" w:cs="仿宋_GB2312" w:eastAsia="仿宋_GB2312"/>
              </w:rPr>
              <w:t>一、评审内容：①承诺为本项目提供全过程概算、预算核对服务；②承诺施工期间开展现场技术交底；③承诺竣工验收阶段配合竣工图绘制、竣工资料整理；④承诺项目审计期间配合审计单位造价答疑、工程量核对。 二、评审标准：以上3项，需提供加盖供应商公章的书面承诺文件，每提供1项不低于采购文件要求的有效书面承诺得3分，最高得12分。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提供以下服务承诺：①服务质量达到采购文件要求的承诺；②服务周期按采购文件要求或可提供更优服务周期的承诺；③接受采购人对服务的监督及管理的承诺；④承诺验收前，项目团队的人员保持稳定的承诺等。 二、评审标准：以上4项，需提供加盖供应商公章的书面承诺文件，每提供1项不低于采购文件要求的有效书面承诺得3分，最高得12分。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7月1日起至今类似项目业绩，每提供一项得3分，最高得15分。（提供合同复印件或中标（成交）通知书复印件加盖公章。如提供中标（成交）通知书，以中标（成交）通知书发放时间为准；如提供合同，以合同签订日期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满足竞争性磋商文件要求且磋商价格最低的磋商报价为评标基准价，其价格分为满分。其他供应商的价格分统一按照下列公式计算：磋商报价得分=（评标基准价/有效报价）×价格权重（15%）×100。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详见附件：工程设计合同格式.docx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