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E06B4B">
      <w:pPr>
        <w:keepNext w:val="0"/>
        <w:keepLines/>
        <w:pageBreakBefore/>
        <w:tabs>
          <w:tab w:val="left" w:pos="324"/>
        </w:tabs>
        <w:kinsoku/>
        <w:wordWrap/>
        <w:overflowPunct/>
        <w:topLinePunct w:val="0"/>
        <w:autoSpaceDE/>
        <w:autoSpaceDN/>
        <w:bidi w:val="0"/>
        <w:adjustRightInd/>
        <w:snapToGrid/>
        <w:spacing w:line="400" w:lineRule="exact"/>
        <w:jc w:val="center"/>
        <w:textAlignment w:val="auto"/>
        <w:outlineLvl w:val="0"/>
        <w:rPr>
          <w:rFonts w:hint="eastAsia" w:ascii="宋体" w:hAnsi="宋体" w:eastAsia="宋体" w:cs="Times New Roman"/>
          <w:b/>
          <w:sz w:val="32"/>
          <w:szCs w:val="36"/>
          <w:lang w:val="en-US" w:eastAsia="zh-CN"/>
        </w:rPr>
      </w:pPr>
      <w:bookmarkStart w:id="0" w:name="_GoBack"/>
      <w:r>
        <w:rPr>
          <w:rFonts w:hint="eastAsia" w:ascii="宋体" w:hAnsi="宋体" w:eastAsia="宋体" w:cs="Times New Roman"/>
          <w:b/>
          <w:sz w:val="32"/>
          <w:szCs w:val="36"/>
          <w:lang w:val="en-US" w:eastAsia="zh-CN"/>
        </w:rPr>
        <w:t>采购内容及商务要求</w:t>
      </w:r>
      <w:bookmarkEnd w:id="0"/>
    </w:p>
    <w:p w14:paraId="28F89D2A">
      <w:pPr>
        <w:pStyle w:val="2"/>
        <w:keepNext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一、采购内容</w:t>
      </w:r>
    </w:p>
    <w:p w14:paraId="56E5BBF0">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1.1项目概况：钓台街道辖区储备地地表清理及渣土清运工作。待清理地块一位于丰信路以东、丰智南路以西、翱翔二路以北、翱翔三路以南，面积约126.34亩；地块二位于丰信路以东、丰智南路以西、沣西大道以北、翱翔一路以南，面积约112亩。因储备地原为钓台街道王道村拆迁宅基地底滩，需清理地表约1.5米以下的地基基础结构。</w:t>
      </w:r>
      <w:r>
        <w:rPr>
          <w:rFonts w:hint="eastAsia" w:ascii="宋体" w:hAnsi="宋体" w:eastAsia="宋体" w:cs="宋体"/>
          <w:color w:val="auto"/>
          <w:sz w:val="24"/>
          <w:szCs w:val="24"/>
          <w:highlight w:val="none"/>
        </w:rPr>
        <w:t>经测算，地块一范围内存在建筑垃圾约45000</w:t>
      </w:r>
      <w:r>
        <w:rPr>
          <w:rFonts w:hint="eastAsia" w:ascii="宋体" w:hAnsi="宋体" w:eastAsia="宋体" w:cs="宋体"/>
          <w:color w:val="auto"/>
          <w:sz w:val="24"/>
          <w:szCs w:val="24"/>
          <w:highlight w:val="none"/>
          <w:lang w:val="en-US" w:eastAsia="zh-CN"/>
        </w:rPr>
        <w:t>m³</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渣土及垃圾运至周至县区域（运输距离）。同时平整土地达到供应条件。另两处储备地除宅基地范围外仍有约140亩地表存在大量杂树及荒草需清理拉运(含地表清理及渣土清运、治污减霾)等清运工作，渣土及垃圾运至周至县区域（运输距离）。</w:t>
      </w:r>
      <w:r>
        <w:rPr>
          <w:rFonts w:hint="eastAsia" w:ascii="宋体" w:hAnsi="宋体" w:eastAsia="宋体" w:cs="宋体"/>
          <w:color w:val="auto"/>
          <w:sz w:val="24"/>
          <w:szCs w:val="24"/>
        </w:rPr>
        <w:t>同时平整土地达到供应条件。</w:t>
      </w:r>
      <w:r>
        <w:rPr>
          <w:rFonts w:hint="eastAsia" w:ascii="宋体" w:hAnsi="宋体" w:eastAsia="宋体" w:cs="宋体"/>
          <w:color w:val="auto"/>
          <w:sz w:val="24"/>
          <w:szCs w:val="24"/>
          <w:lang w:val="en-US" w:eastAsia="zh-CN"/>
        </w:rPr>
        <w:t>以上工程量为暂估工程量，最终工程量以实际测量的工程量为准。</w:t>
      </w:r>
    </w:p>
    <w:p w14:paraId="2C7CC35E">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项目要求：（1）垃圾清运工作严格按照西安市人民政府及其职能部门的相关规定和《西安市建筑垃圾管理条例》的有关要求执行，清运至正规消纳地点进行倾倒或填埋,并承担处置费用和消纳费用。禁止在道路、桥梁、公共场地、公共绿地、农田、河流、湖泊、供排水设施、水利设施以及其他非指定场地倾倒清运垃圾。垃圾清运后应及时对清运地点进行收尾清理，平整地面。</w:t>
      </w:r>
    </w:p>
    <w:p w14:paraId="3721D278">
      <w:pPr>
        <w:keepNext w:val="0"/>
        <w:numPr>
          <w:ilvl w:val="0"/>
          <w:numId w:val="0"/>
        </w:numPr>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lang w:val="en-US" w:eastAsia="zh-CN"/>
        </w:rPr>
        <w:t>在安全文明施工问题上，必须严格按照标准规范严格执行，在此期间所发生的一切安全事故，均由投标人自行承担。</w:t>
      </w:r>
    </w:p>
    <w:p w14:paraId="1AC1BCAF">
      <w:pPr>
        <w:keepNext w:val="0"/>
        <w:numPr>
          <w:ilvl w:val="0"/>
          <w:numId w:val="0"/>
        </w:numPr>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lang w:val="en-US" w:eastAsia="zh-CN"/>
        </w:rPr>
        <w:t>项目实施过程中不得与其他人员发生纠纷，在服务期间与其他人员产生的纠纷，均由中标人承担全部责任。</w:t>
      </w:r>
    </w:p>
    <w:p w14:paraId="14B1F935">
      <w:pPr>
        <w:keepNext w:val="0"/>
        <w:numPr>
          <w:ilvl w:val="0"/>
          <w:numId w:val="0"/>
        </w:numPr>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（4）中标人在清运垃圾前需按照要求安装车辆冲洗设备及垃圾覆盖绿网、防尘措施等。</w:t>
      </w:r>
    </w:p>
    <w:p w14:paraId="08A2F6B9">
      <w:pPr>
        <w:keepNext w:val="0"/>
        <w:numPr>
          <w:ilvl w:val="0"/>
          <w:numId w:val="0"/>
        </w:numPr>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中标人应当对建筑垃圾进行分类，不得将建筑垃圾与生活垃圾、危险废物混合处置。清运前应设置符合相关技术规范的围蔽设施，出口道路硬化处理，设置车辆冲洗设备并有效使用，设置洗车槽和沉淀池并有效使用，采取措施避免扬尘。</w:t>
      </w:r>
    </w:p>
    <w:p w14:paraId="48765350">
      <w:pPr>
        <w:keepNext w:val="0"/>
        <w:numPr>
          <w:ilvl w:val="0"/>
          <w:numId w:val="0"/>
        </w:numPr>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（6）中标人应当建立健全建筑垃圾运输车辆安全管理、驾驶人培训、车辆清运规范服务制度，加强车辆维修养护，保证运输安全规范。</w:t>
      </w:r>
    </w:p>
    <w:p w14:paraId="1AF4DD93">
      <w:pPr>
        <w:keepNext w:val="0"/>
        <w:numPr>
          <w:ilvl w:val="0"/>
          <w:numId w:val="0"/>
        </w:numPr>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（7）运输垃圾造成道路及环境污染的，责任人应当立即清除污染。未及时清除的，由所在地城管执法、环境卫生等行政管理部门组织清除，清除费用由责任人承担。</w:t>
      </w:r>
    </w:p>
    <w:p w14:paraId="58BA46AE">
      <w:pPr>
        <w:keepNext w:val="0"/>
        <w:numPr>
          <w:ilvl w:val="0"/>
          <w:numId w:val="0"/>
        </w:numPr>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（8）运输建筑垃圾造成道路及环境污染的，中标人应当立即清除污染。未及时清除的，由所在区、县市容环境卫生行政管理部门组织清除，清除费用由中标人承担。</w:t>
      </w:r>
    </w:p>
    <w:p w14:paraId="7E27FF28">
      <w:pPr>
        <w:keepNext w:val="0"/>
        <w:numPr>
          <w:ilvl w:val="0"/>
          <w:numId w:val="0"/>
        </w:numPr>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（9）执行的法律法规、技术规范：</w:t>
      </w:r>
    </w:p>
    <w:p w14:paraId="7C9D16D3">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《安全生产法》</w:t>
      </w:r>
    </w:p>
    <w:p w14:paraId="5990CE04">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《建设工程安全生产管理条例》</w:t>
      </w:r>
    </w:p>
    <w:p w14:paraId="3212AA12">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《西安市扬尘污染防治条例》</w:t>
      </w:r>
    </w:p>
    <w:p w14:paraId="1ACDEFDB">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《西安市建筑垃圾管理条例》</w:t>
      </w:r>
    </w:p>
    <w:p w14:paraId="4269BD98">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仅列出以上规范作为参考，具体标准参照国家或者行业最新标准执行。</w:t>
      </w:r>
    </w:p>
    <w:p w14:paraId="7B78D1DF">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1.3、验收标准</w:t>
      </w:r>
    </w:p>
    <w:p w14:paraId="2D2CD793">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1.3.1验收方式</w:t>
      </w:r>
    </w:p>
    <w:p w14:paraId="5B469AA0">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中标人按照采购人要求完成项目地块内全部建筑垃圾清运，场地自然平整，以书面形式向采购人申请验收，采购人收到中标人的验收申请后，安排人员进行验收，核实确认是否按照标准进行清理完毕，双方对清运地点及清运工程量再次进行确认核对。</w:t>
      </w:r>
    </w:p>
    <w:p w14:paraId="31349C8D">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（2）验收合格后，填写验收单，双方签字生效。</w:t>
      </w:r>
    </w:p>
    <w:p w14:paraId="396F3B46">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1.3.2验收标准</w:t>
      </w:r>
    </w:p>
    <w:p w14:paraId="7258B090">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（1）清运期间必须组织有营运资质的车辆进行清理，中标人严格遵守《西安市建筑垃圾管理条例》规定，需将清运的建筑垃圾倾倒在指定的消纳场。</w:t>
      </w:r>
    </w:p>
    <w:p w14:paraId="2871CCD2">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（2）清运车辆出现“漏渣、落渣”现象时，中标人负责清扫。</w:t>
      </w:r>
    </w:p>
    <w:p w14:paraId="5AA74DD3">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（3）中标人在清理垃圾过程中发生其他有碍工作的事情，均由中标人协调解决。</w:t>
      </w:r>
    </w:p>
    <w:p w14:paraId="5CCB633A">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（4）中标人在垃圾清运工作时应做到安全、有序、自觉遵守管理制度，服务期间发生的安全事故均由中标人负责。</w:t>
      </w:r>
    </w:p>
    <w:p w14:paraId="32981EF9">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（5）中标人在清运过程中必须配备清扫人员负责现场的道路保洁工作，现场清运作业过程中要有洒水降尘工作，清运作业完成后，由中标人负责清理干净现场的残留渣土。</w:t>
      </w:r>
    </w:p>
    <w:p w14:paraId="12784215">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（6）采购人可派驻人员在中标人清理建筑垃圾时现场督导并核准数量。</w:t>
      </w:r>
    </w:p>
    <w:p w14:paraId="68E44C57">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1.4、质量标准</w:t>
      </w:r>
    </w:p>
    <w:p w14:paraId="2B1D92B2">
      <w:pPr>
        <w:keepNext w:val="0"/>
        <w:tabs>
          <w:tab w:val="left" w:pos="1103"/>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严格执行《西安市建筑垃圾管理条例》，落实全流程密闭运输、出场冲洗、扬尘管控要求，按指定路线和正规备案消纳场处置，杜绝遗撒乱倒，最终达到国家及地方相关质量合格标准。</w:t>
      </w:r>
    </w:p>
    <w:p w14:paraId="6A03725A">
      <w:pPr>
        <w:keepNext w:val="0"/>
        <w:tabs>
          <w:tab w:val="left" w:pos="1103"/>
        </w:tabs>
        <w:kinsoku/>
        <w:wordWrap/>
        <w:overflowPunct/>
        <w:topLinePunct w:val="0"/>
        <w:autoSpaceDE/>
        <w:autoSpaceDN/>
        <w:bidi w:val="0"/>
        <w:adjustRightInd/>
        <w:snapToGrid/>
        <w:spacing w:line="400" w:lineRule="exact"/>
        <w:textAlignment w:val="auto"/>
        <w:rPr>
          <w:rFonts w:ascii="宋体" w:hAnsi="宋体" w:cs="宋体"/>
          <w:b/>
          <w:color w:val="auto"/>
          <w:kern w:val="0"/>
          <w:sz w:val="24"/>
          <w:szCs w:val="24"/>
        </w:rPr>
      </w:pPr>
      <w:r>
        <w:rPr>
          <w:rFonts w:hint="eastAsia" w:ascii="宋体" w:hAnsi="宋体" w:cs="宋体"/>
          <w:b/>
          <w:color w:val="auto"/>
          <w:kern w:val="0"/>
          <w:sz w:val="24"/>
          <w:szCs w:val="24"/>
        </w:rPr>
        <w:t>二、商务要求</w:t>
      </w:r>
    </w:p>
    <w:p w14:paraId="069CAF0D">
      <w:pPr>
        <w:keepNext w:val="0"/>
        <w:widowControl/>
        <w:kinsoku/>
        <w:wordWrap/>
        <w:overflowPunct/>
        <w:topLinePunct w:val="0"/>
        <w:autoSpaceDE/>
        <w:autoSpaceDN/>
        <w:bidi w:val="0"/>
        <w:adjustRightInd/>
        <w:snapToGrid/>
        <w:spacing w:line="400" w:lineRule="exact"/>
        <w:ind w:firstLine="484" w:firstLineChars="201"/>
        <w:jc w:val="left"/>
        <w:textAlignment w:val="auto"/>
        <w:rPr>
          <w:rFonts w:ascii="宋体" w:hAnsi="宋体"/>
          <w:color w:val="auto"/>
          <w:sz w:val="24"/>
          <w:szCs w:val="24"/>
        </w:rPr>
      </w:pPr>
      <w:r>
        <w:rPr>
          <w:rFonts w:hint="eastAsia" w:ascii="宋体" w:hAnsi="宋体" w:cs="宋体"/>
          <w:b/>
          <w:color w:val="auto"/>
          <w:kern w:val="0"/>
          <w:sz w:val="24"/>
          <w:szCs w:val="24"/>
        </w:rPr>
        <w:t>1、</w:t>
      </w:r>
      <w:r>
        <w:rPr>
          <w:rFonts w:hint="eastAsia" w:ascii="宋体" w:hAnsi="宋体" w:cs="宋体"/>
          <w:b/>
          <w:bCs/>
          <w:color w:val="auto"/>
          <w:kern w:val="0"/>
          <w:sz w:val="24"/>
          <w:szCs w:val="24"/>
          <w:lang w:val="en-US" w:eastAsia="zh-CN" w:bidi="ar"/>
        </w:rPr>
        <w:t>施工</w:t>
      </w:r>
      <w:r>
        <w:rPr>
          <w:rFonts w:hint="eastAsia" w:ascii="宋体" w:hAnsi="宋体" w:cs="宋体"/>
          <w:b/>
          <w:bCs/>
          <w:color w:val="auto"/>
          <w:kern w:val="0"/>
          <w:sz w:val="24"/>
          <w:szCs w:val="24"/>
          <w:lang w:bidi="ar"/>
        </w:rPr>
        <w:t>地点</w:t>
      </w:r>
      <w:r>
        <w:rPr>
          <w:rFonts w:hint="eastAsia" w:ascii="宋体" w:hAnsi="宋体" w:cs="宋体"/>
          <w:b/>
          <w:bCs/>
          <w:color w:val="auto"/>
          <w:kern w:val="0"/>
          <w:sz w:val="24"/>
          <w:szCs w:val="24"/>
          <w:lang w:val="en-US" w:eastAsia="zh-CN" w:bidi="ar"/>
        </w:rPr>
        <w:t>及工期</w:t>
      </w:r>
    </w:p>
    <w:p w14:paraId="35D695C0">
      <w:pPr>
        <w:keepNext w:val="0"/>
        <w:widowControl/>
        <w:kinsoku/>
        <w:wordWrap/>
        <w:overflowPunct/>
        <w:topLinePunct w:val="0"/>
        <w:autoSpaceDE/>
        <w:autoSpaceDN/>
        <w:bidi w:val="0"/>
        <w:adjustRightInd/>
        <w:snapToGrid/>
        <w:spacing w:line="400" w:lineRule="exact"/>
        <w:ind w:firstLine="482" w:firstLineChars="201"/>
        <w:jc w:val="left"/>
        <w:textAlignment w:val="auto"/>
        <w:rPr>
          <w:rFonts w:ascii="宋体" w:hAnsi="宋体"/>
          <w:color w:val="auto"/>
          <w:sz w:val="24"/>
          <w:szCs w:val="24"/>
        </w:rPr>
      </w:pPr>
      <w:r>
        <w:rPr>
          <w:rFonts w:hint="eastAsia" w:ascii="宋体" w:hAnsi="宋体" w:cs="宋体"/>
          <w:color w:val="auto"/>
          <w:kern w:val="0"/>
          <w:sz w:val="24"/>
          <w:szCs w:val="24"/>
          <w:lang w:bidi="ar"/>
        </w:rPr>
        <w:t>（1）</w:t>
      </w:r>
      <w:r>
        <w:rPr>
          <w:rFonts w:hint="eastAsia" w:ascii="宋体" w:hAnsi="宋体" w:cs="宋体"/>
          <w:color w:val="auto"/>
          <w:kern w:val="0"/>
          <w:sz w:val="24"/>
          <w:szCs w:val="24"/>
          <w:lang w:val="en-US" w:eastAsia="zh-CN" w:bidi="ar"/>
        </w:rPr>
        <w:t>施工</w:t>
      </w:r>
      <w:r>
        <w:rPr>
          <w:rFonts w:hint="eastAsia" w:ascii="宋体" w:hAnsi="宋体" w:cs="宋体"/>
          <w:color w:val="auto"/>
          <w:kern w:val="0"/>
          <w:sz w:val="24"/>
          <w:szCs w:val="24"/>
          <w:lang w:bidi="ar"/>
        </w:rPr>
        <w:t xml:space="preserve">地点：采购人指定地点 </w:t>
      </w:r>
    </w:p>
    <w:p w14:paraId="35B2A398">
      <w:pPr>
        <w:keepNext w:val="0"/>
        <w:tabs>
          <w:tab w:val="left" w:pos="1103"/>
        </w:tabs>
        <w:kinsoku/>
        <w:wordWrap/>
        <w:overflowPunct/>
        <w:topLinePunct w:val="0"/>
        <w:autoSpaceDE/>
        <w:autoSpaceDN/>
        <w:bidi w:val="0"/>
        <w:adjustRightInd/>
        <w:snapToGrid/>
        <w:spacing w:line="400" w:lineRule="exact"/>
        <w:ind w:firstLine="482" w:firstLineChars="201"/>
        <w:textAlignment w:val="auto"/>
        <w:rPr>
          <w:rFonts w:ascii="宋体" w:hAnsi="宋体" w:cs="宋体"/>
          <w:color w:val="auto"/>
          <w:kern w:val="0"/>
          <w:sz w:val="24"/>
          <w:szCs w:val="24"/>
          <w:lang w:bidi="ar"/>
        </w:rPr>
      </w:pPr>
      <w:r>
        <w:rPr>
          <w:rFonts w:hint="eastAsia" w:ascii="宋体" w:hAnsi="宋体" w:cs="宋体"/>
          <w:color w:val="auto"/>
          <w:kern w:val="0"/>
          <w:sz w:val="24"/>
          <w:szCs w:val="24"/>
          <w:lang w:bidi="ar"/>
        </w:rPr>
        <w:t>（</w:t>
      </w:r>
      <w:r>
        <w:rPr>
          <w:rFonts w:ascii="宋体" w:hAnsi="宋体" w:cs="宋体"/>
          <w:color w:val="auto"/>
          <w:kern w:val="0"/>
          <w:sz w:val="24"/>
          <w:szCs w:val="24"/>
          <w:lang w:bidi="ar"/>
        </w:rPr>
        <w:t>2</w:t>
      </w:r>
      <w:r>
        <w:rPr>
          <w:rFonts w:hint="eastAsia" w:ascii="宋体" w:hAnsi="宋体" w:cs="宋体"/>
          <w:color w:val="auto"/>
          <w:kern w:val="0"/>
          <w:sz w:val="24"/>
          <w:szCs w:val="24"/>
          <w:lang w:bidi="ar"/>
        </w:rPr>
        <w:t>）</w:t>
      </w:r>
      <w:r>
        <w:rPr>
          <w:rFonts w:hint="eastAsia" w:ascii="宋体" w:hAnsi="宋体" w:cs="宋体"/>
          <w:color w:val="auto"/>
          <w:kern w:val="0"/>
          <w:sz w:val="24"/>
          <w:szCs w:val="24"/>
          <w:lang w:val="en-US" w:eastAsia="zh-CN" w:bidi="ar"/>
        </w:rPr>
        <w:t>工</w:t>
      </w:r>
      <w:r>
        <w:rPr>
          <w:rFonts w:hint="eastAsia" w:ascii="宋体" w:hAnsi="宋体" w:cs="宋体"/>
          <w:color w:val="auto"/>
          <w:kern w:val="0"/>
          <w:sz w:val="24"/>
          <w:szCs w:val="24"/>
          <w:lang w:bidi="ar"/>
        </w:rPr>
        <w:t>期：自合同签订之日起</w:t>
      </w:r>
      <w:r>
        <w:rPr>
          <w:rFonts w:hint="eastAsia" w:ascii="宋体" w:hAnsi="宋体" w:cs="宋体"/>
          <w:color w:val="auto"/>
          <w:kern w:val="0"/>
          <w:sz w:val="24"/>
          <w:szCs w:val="24"/>
          <w:lang w:val="en-US" w:eastAsia="zh-CN" w:bidi="ar"/>
        </w:rPr>
        <w:t>45</w:t>
      </w:r>
      <w:r>
        <w:rPr>
          <w:rFonts w:hint="eastAsia" w:ascii="宋体" w:hAnsi="宋体" w:cs="宋体"/>
          <w:color w:val="auto"/>
          <w:kern w:val="0"/>
          <w:sz w:val="24"/>
          <w:szCs w:val="24"/>
          <w:lang w:bidi="ar"/>
        </w:rPr>
        <w:t>日历天。</w:t>
      </w:r>
    </w:p>
    <w:p w14:paraId="55D1CD6E">
      <w:pPr>
        <w:keepNext w:val="0"/>
        <w:widowControl/>
        <w:kinsoku/>
        <w:wordWrap/>
        <w:overflowPunct/>
        <w:topLinePunct w:val="0"/>
        <w:autoSpaceDE/>
        <w:autoSpaceDN/>
        <w:bidi w:val="0"/>
        <w:adjustRightInd/>
        <w:snapToGrid/>
        <w:spacing w:line="400" w:lineRule="exact"/>
        <w:ind w:firstLine="484" w:firstLineChars="201"/>
        <w:jc w:val="left"/>
        <w:textAlignment w:val="auto"/>
        <w:rPr>
          <w:rFonts w:ascii="宋体" w:hAnsi="宋体"/>
          <w:color w:val="auto"/>
          <w:sz w:val="24"/>
          <w:szCs w:val="24"/>
        </w:rPr>
      </w:pPr>
      <w:r>
        <w:rPr>
          <w:rFonts w:hint="eastAsia" w:ascii="宋体" w:hAnsi="宋体" w:cs="宋体"/>
          <w:b/>
          <w:bCs/>
          <w:color w:val="auto"/>
          <w:kern w:val="0"/>
          <w:sz w:val="24"/>
          <w:szCs w:val="24"/>
          <w:lang w:bidi="ar"/>
        </w:rPr>
        <w:t>2、结算方式：</w:t>
      </w:r>
    </w:p>
    <w:p w14:paraId="6A0BB584">
      <w:pPr>
        <w:keepNext w:val="0"/>
        <w:widowControl/>
        <w:kinsoku/>
        <w:wordWrap/>
        <w:overflowPunct/>
        <w:topLinePunct w:val="0"/>
        <w:autoSpaceDE/>
        <w:autoSpaceDN/>
        <w:bidi w:val="0"/>
        <w:adjustRightInd/>
        <w:snapToGrid/>
        <w:spacing w:line="400" w:lineRule="exact"/>
        <w:ind w:firstLine="482" w:firstLineChars="201"/>
        <w:jc w:val="left"/>
        <w:textAlignment w:val="auto"/>
        <w:rPr>
          <w:rFonts w:ascii="宋体" w:hAnsi="宋体"/>
          <w:color w:val="auto"/>
          <w:sz w:val="24"/>
          <w:szCs w:val="24"/>
        </w:rPr>
      </w:pPr>
      <w:r>
        <w:rPr>
          <w:rFonts w:hint="eastAsia" w:ascii="宋体" w:hAnsi="宋体" w:cs="宋体"/>
          <w:color w:val="auto"/>
          <w:kern w:val="0"/>
          <w:sz w:val="24"/>
          <w:szCs w:val="24"/>
          <w:lang w:bidi="ar"/>
        </w:rPr>
        <w:t xml:space="preserve">（1）结算单位：银行转账，由采购人以人民币负责结算。 </w:t>
      </w:r>
    </w:p>
    <w:p w14:paraId="28F5FD64">
      <w:pPr>
        <w:keepNext w:val="0"/>
        <w:kinsoku/>
        <w:wordWrap/>
        <w:overflowPunct/>
        <w:topLinePunct w:val="0"/>
        <w:autoSpaceDE/>
        <w:autoSpaceDN/>
        <w:bidi w:val="0"/>
        <w:adjustRightInd/>
        <w:snapToGrid/>
        <w:spacing w:line="400" w:lineRule="exact"/>
        <w:textAlignment w:val="auto"/>
      </w:pPr>
      <w:r>
        <w:rPr>
          <w:rFonts w:hint="eastAsia" w:ascii="宋体" w:hAnsi="宋体" w:cs="宋体"/>
          <w:color w:val="auto"/>
          <w:kern w:val="0"/>
          <w:sz w:val="24"/>
          <w:szCs w:val="24"/>
          <w:lang w:bidi="ar"/>
        </w:rPr>
        <w:t>（2）付款方式：①乙方在本合同约定期限内将合同约定的地表土清理及拉运施工项目全部完成后，经甲方验收合格后，甲方一次性转账支付验收合格部分的工</w:t>
      </w:r>
      <w:r>
        <w:rPr>
          <w:rFonts w:hint="eastAsia" w:ascii="宋体" w:hAnsi="宋体" w:eastAsia="宋体" w:cs="宋体"/>
          <w:color w:val="auto"/>
          <w:kern w:val="0"/>
          <w:sz w:val="24"/>
          <w:szCs w:val="24"/>
          <w:lang w:bidi="ar"/>
        </w:rPr>
        <w:t>程款。</w:t>
      </w:r>
      <w:r>
        <w:rPr>
          <w:rFonts w:hint="eastAsia" w:ascii="宋体" w:hAnsi="宋体" w:eastAsia="宋体" w:cs="宋体"/>
          <w:color w:val="auto"/>
          <w:kern w:val="0"/>
          <w:sz w:val="24"/>
          <w:szCs w:val="24"/>
          <w:lang w:bidi="ar"/>
        </w:rPr>
        <w:fldChar w:fldCharType="begin"/>
      </w:r>
      <w:r>
        <w:rPr>
          <w:rFonts w:hint="eastAsia" w:ascii="宋体" w:hAnsi="宋体" w:eastAsia="宋体" w:cs="宋体"/>
          <w:color w:val="auto"/>
          <w:kern w:val="0"/>
          <w:sz w:val="24"/>
          <w:szCs w:val="24"/>
          <w:lang w:bidi="ar"/>
        </w:rPr>
        <w:instrText xml:space="preserve"> = 2 \* GB3 \* MERGEFORMAT </w:instrText>
      </w:r>
      <w:r>
        <w:rPr>
          <w:rFonts w:hint="eastAsia" w:ascii="宋体" w:hAnsi="宋体" w:eastAsia="宋体" w:cs="宋体"/>
          <w:color w:val="auto"/>
          <w:kern w:val="0"/>
          <w:sz w:val="24"/>
          <w:szCs w:val="24"/>
          <w:lang w:bidi="ar"/>
        </w:rPr>
        <w:fldChar w:fldCharType="separate"/>
      </w:r>
      <w:r>
        <w:rPr>
          <w:rFonts w:hint="eastAsia" w:ascii="宋体" w:hAnsi="宋体" w:eastAsia="宋体" w:cs="宋体"/>
          <w:color w:val="auto"/>
          <w:kern w:val="0"/>
          <w:sz w:val="24"/>
          <w:szCs w:val="24"/>
          <w:lang w:bidi="ar"/>
        </w:rPr>
        <w:t>②</w:t>
      </w:r>
      <w:r>
        <w:rPr>
          <w:rFonts w:hint="eastAsia" w:ascii="宋体" w:hAnsi="宋体" w:eastAsia="宋体" w:cs="宋体"/>
          <w:color w:val="auto"/>
          <w:kern w:val="0"/>
          <w:sz w:val="24"/>
          <w:szCs w:val="24"/>
          <w:lang w:bidi="ar"/>
        </w:rPr>
        <w:fldChar w:fldCharType="end"/>
      </w:r>
      <w:r>
        <w:rPr>
          <w:rFonts w:hint="eastAsia" w:ascii="宋体" w:hAnsi="宋体" w:eastAsia="宋体" w:cs="宋体"/>
          <w:color w:val="auto"/>
          <w:kern w:val="0"/>
          <w:sz w:val="24"/>
          <w:szCs w:val="24"/>
          <w:lang w:bidi="ar"/>
        </w:rPr>
        <w:t>甲方向乙方支付工程款前，乙方应提供合法合规的增值税普通发票，否则甲方有权暂停支付相应款项且无需承担任何责任，同时不免除乙方所应履行的合同义务。乙方应对其所提供发票的合法合规性负责，否则应赔偿因此个甲方造成的损失。合同后附中小企业声明函（</w:t>
      </w:r>
      <w:r>
        <w:rPr>
          <w:rFonts w:hint="eastAsia" w:ascii="宋体" w:hAnsi="宋体" w:eastAsia="宋体" w:cs="宋体"/>
          <w:color w:val="auto"/>
          <w:kern w:val="0"/>
          <w:sz w:val="24"/>
          <w:szCs w:val="24"/>
          <w:lang w:val="en-US" w:eastAsia="zh-CN" w:bidi="ar"/>
        </w:rPr>
        <w:t>工程</w:t>
      </w:r>
      <w:r>
        <w:rPr>
          <w:rFonts w:hint="eastAsia" w:ascii="宋体" w:hAnsi="宋体" w:eastAsia="宋体" w:cs="宋体"/>
          <w:color w:val="auto"/>
          <w:kern w:val="0"/>
          <w:sz w:val="24"/>
          <w:szCs w:val="24"/>
          <w:lang w:bidi="ar"/>
        </w:rPr>
        <w:t>）的证明资料。</w:t>
      </w:r>
    </w:p>
    <w:sectPr>
      <w:pgSz w:w="11906" w:h="16838"/>
      <w:pgMar w:top="1440" w:right="1247" w:bottom="1440" w:left="1247"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0B150D"/>
    <w:rsid w:val="460B15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pPr>
      <w:spacing w:line="324" w:lineRule="auto"/>
    </w:pPr>
    <w:rPr>
      <w:rFonts w:ascii="宋体" w:hAnsi="Courier New" w:cs="黑体"/>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2026-10-21T07:12:00Z</dcterms:created>
  <dc:creator>燕子</dc:creator>
  <cp:lastModifiedBy>燕子</cp:lastModifiedBy>
  <dcterms:modified xsi:type="dcterms:W3CDTF">2026-10-21T07:13:41Z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BF7B077A64614ABCAE854CA9F5A08AF8_11</vt:lpwstr>
  </property>
  <property fmtid="{D5CDD505-2E9C-101B-9397-08002B2CF9AE}" pid="4" name="KSOTemplateDocerSaveRecord">
    <vt:lpwstr>eyJoZGlkIjoiYjMwZGU0MTRkNDY2ZTZiMjQ1YTE0M2NiYTViN2JmM2YiLCJ1c2VySWQiOiI5MTIwMzg4MjQifQ==</vt:lpwstr>
  </property>
</Properties>
</file>