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版本号：SZT2026-SN-XC-ZC-FW-0521.1B120260701001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2026年度民警健康体检服务采购项目(二次)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SZT2026-SN-XC-ZC-FW-0521.1B1</w:t>
      </w:r>
      <w:r>
        <w:br/>
      </w:r>
      <w:r>
        <w:br/>
      </w:r>
      <w:r>
        <w:br/>
      </w:r>
    </w:p>
    <w:p>
      <w:pPr>
        <w:pStyle w:val="null3"/>
        <w:jc w:val="center"/>
        <w:outlineLvl w:val="2"/>
      </w:pPr>
      <w:r>
        <w:rPr>
          <w:rFonts w:ascii="仿宋_GB2312" w:hAnsi="仿宋_GB2312" w:cs="仿宋_GB2312" w:eastAsia="仿宋_GB2312"/>
          <w:sz w:val="28"/>
          <w:b/>
        </w:rPr>
        <w:t>西安市公安局公交轨道公安局</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西安市公安局公交轨道公安局</w:t>
      </w:r>
      <w:r>
        <w:rPr>
          <w:rFonts w:ascii="仿宋_GB2312" w:hAnsi="仿宋_GB2312" w:cs="仿宋_GB2312" w:eastAsia="仿宋_GB2312"/>
        </w:rPr>
        <w:t>委托，拟对</w:t>
      </w:r>
      <w:r>
        <w:rPr>
          <w:rFonts w:ascii="仿宋_GB2312" w:hAnsi="仿宋_GB2312" w:cs="仿宋_GB2312" w:eastAsia="仿宋_GB2312"/>
        </w:rPr>
        <w:t>2026年度民警健康体检服务采购项目(二次)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SZT2026-SN-XC-ZC-FW-0521.1B1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2026年度民警健康体检服务采购项目(二次)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为切实关心关爱民警身心健康，保障民警以良好的身体状态投入到各项警务工作中，及时排查健康隐患、预防各类疾病，进一步增强队伍凝聚力和战斗力，结合实际情况，拟组织全局民警开展2026年度体检工作。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1、法定代表人授权书：法定代表人授权书：法定代表人授权代表参加磋商的，须出具法定代表人授权书及授权代表身份证（法定代表人直接参加磋商的，须出具法定代表人身份证）。</w:t>
      </w:r>
    </w:p>
    <w:p>
      <w:pPr>
        <w:pStyle w:val="null3"/>
      </w:pPr>
      <w:r>
        <w:rPr>
          <w:rFonts w:ascii="仿宋_GB2312" w:hAnsi="仿宋_GB2312" w:cs="仿宋_GB2312" w:eastAsia="仿宋_GB2312"/>
        </w:rPr>
        <w:t>2、供应商要求：供应商须具备卫生主管部门颁发的有效期内的《医疗机构执业许可证》及《放射诊疗许可证》。</w:t>
      </w:r>
    </w:p>
    <w:p>
      <w:pPr>
        <w:pStyle w:val="null3"/>
      </w:pPr>
      <w:r>
        <w:rPr>
          <w:rFonts w:ascii="仿宋_GB2312" w:hAnsi="仿宋_GB2312" w:cs="仿宋_GB2312" w:eastAsia="仿宋_GB2312"/>
        </w:rPr>
        <w:t>3、供应商承诺：单位负责人为同一人或者存在直接控股、管理关系的不同供应商，不得参加同一合同项下的政府采购活动。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4、关于联合体磋商要求：本项目不接受联合体磋商。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西安市公安局公交轨道公安局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029-86321089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崔敬、赵倩、李娜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采购包1：928,500.00元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应向采购代理机构交纳招标代理服务费。招标代理服务费的收取参见国家计委颁布的《招标代理服务收费管理暂行办法》（计价格[2002]1980号）中服务类收费标准收取（按成交金额计取）。在领取成交通知书时向采购代理机构一次性交纳。开户名称：陕西中技招标有限公司 开户银行：招商银行西安分行营业部 银行账号：1299 1681 2810 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西安市公安局公交轨道公安局</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西安市公安局公交轨道公安局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西安市公安局公交轨道公安局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地址：西安市莲湖区高新四路1号高科广场A座1001室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为切实关心关爱民警身心健康，保障民警以良好的身体状态投入到各项警务工作中，及时排查健康隐患、预防各类疾病，进一步增强队伍凝聚力和战斗力，结合实际情况，拟组织全局民警开展2026年度体检工作。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928,500.00</w:t>
      </w:r>
    </w:p>
    <w:p>
      <w:pPr>
        <w:pStyle w:val="null3"/>
      </w:pPr>
      <w:r>
        <w:rPr>
          <w:rFonts w:ascii="仿宋_GB2312" w:hAnsi="仿宋_GB2312" w:cs="仿宋_GB2312" w:eastAsia="仿宋_GB2312"/>
        </w:rPr>
        <w:t>采购包最高限价（元）: 928,500.00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2026年度民警健康体检服务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928,500.00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标的名称：2026年度民警健康体检服务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一、体检项目</w:t>
            </w:r>
          </w:p>
          <w:p>
            <w:pPr>
              <w:pStyle w:val="null3"/>
              <w:jc w:val="both"/>
            </w:pPr>
            <w:r>
              <w:rPr>
                <w:rFonts w:ascii="仿宋_GB2312" w:hAnsi="仿宋_GB2312" w:cs="仿宋_GB2312" w:eastAsia="仿宋_GB2312"/>
                <w:sz w:val="24"/>
              </w:rPr>
              <w:t>40岁以上检查：</w:t>
            </w:r>
          </w:p>
          <w:p>
            <w:pPr>
              <w:pStyle w:val="null3"/>
              <w:jc w:val="both"/>
            </w:pPr>
            <w:r>
              <w:rPr>
                <w:rFonts w:ascii="仿宋_GB2312" w:hAnsi="仿宋_GB2312" w:cs="仿宋_GB2312" w:eastAsia="仿宋_GB2312"/>
                <w:sz w:val="24"/>
              </w:rPr>
              <w:t>男性：</w:t>
            </w:r>
            <w:r>
              <w:rPr>
                <w:rFonts w:ascii="仿宋_GB2312" w:hAnsi="仿宋_GB2312" w:cs="仿宋_GB2312" w:eastAsia="仿宋_GB2312"/>
                <w:sz w:val="24"/>
              </w:rPr>
              <w:t>身高、体重、血压、内科、视力，色觉、裂隙灯显微镜、眼底镜检查、心电图、肺部CT、心脏冠状动脉CT、上腹部B超、下腹部彩超、甲状腺超声、肝脏瞬时弹性检测、颈动脉彩超检查、血常规、血脂六项、空腹血糖、糖化血红蛋白、血尿酸检测、肾功两项、肝功八项、C14胃部检查、同型半胱氨酸HCY、AFP定量、CEA、CA199、前列腺肿瘤组合筛查、FER检测、尿常规、头颅磁共振平扫、电子胶片、营养早餐、报告解读；</w:t>
            </w:r>
          </w:p>
          <w:p>
            <w:pPr>
              <w:pStyle w:val="null3"/>
            </w:pPr>
            <w:r>
              <w:rPr>
                <w:rFonts w:ascii="仿宋_GB2312" w:hAnsi="仿宋_GB2312" w:cs="仿宋_GB2312" w:eastAsia="仿宋_GB2312"/>
                <w:sz w:val="24"/>
              </w:rPr>
              <w:t>女性：身高、体重、血压、内科、视力，色觉、裂隙灯显微镜、眼底镜检查、心电图、肺部CT、心脏冠状动脉CT、上腹部B超、下腹部彩超、甲状腺超声、肝脏瞬时弹性检测、颈动脉彩超检查、血常规、血脂六项、空腹血糖、糖化血红蛋白（未婚女性）、血尿酸检测、肾功两项、肝功八项、C14胃部检查、AFP定量、CEA、CA199、CA125定量、CA153、FER检测、尿常规、头颅磁共振平扫、电子胶片、营养早餐、报告解读；（已婚女性增加：妇科常规、白带常规、液基细胞学检测、HPV检测、乳腺钼靶）。</w:t>
            </w:r>
          </w:p>
          <w:p>
            <w:pPr>
              <w:pStyle w:val="null3"/>
            </w:pPr>
            <w:r>
              <w:rPr>
                <w:rFonts w:ascii="仿宋_GB2312" w:hAnsi="仿宋_GB2312" w:cs="仿宋_GB2312" w:eastAsia="仿宋_GB2312"/>
                <w:sz w:val="24"/>
              </w:rPr>
              <w:t>40岁以下检查：</w:t>
            </w:r>
          </w:p>
          <w:p>
            <w:pPr>
              <w:pStyle w:val="null3"/>
            </w:pPr>
            <w:r>
              <w:rPr>
                <w:rFonts w:ascii="仿宋_GB2312" w:hAnsi="仿宋_GB2312" w:cs="仿宋_GB2312" w:eastAsia="仿宋_GB2312"/>
                <w:sz w:val="24"/>
              </w:rPr>
              <w:t>男性：身高、体重、血压、内科、视力，色觉、裂隙灯显微镜、眼底镜检查、心电图、肺部CT、心脏冠状动脉CT、上腹部B超、下腹部彩超、甲状腺超声、肝脏瞬时弹性检测、颈动脉彩超检查、血常规、血脂六项、空腹血糖、糖化血红蛋白、血尿酸检测、肾功两项、肝功八项、C14胃部检查、同型半胱氨酸HCY、AFP定量、CEA、CA199、前列腺肿瘤组合筛查、FER检测、尿常规、头颅磁共振平扫、电子胶片、营养早餐、报告解读；</w:t>
            </w:r>
          </w:p>
          <w:p>
            <w:pPr>
              <w:pStyle w:val="null3"/>
            </w:pPr>
            <w:r>
              <w:rPr>
                <w:rFonts w:ascii="仿宋_GB2312" w:hAnsi="仿宋_GB2312" w:cs="仿宋_GB2312" w:eastAsia="仿宋_GB2312"/>
                <w:sz w:val="24"/>
              </w:rPr>
              <w:t>女性：身高、体重、血压、内科、视力，色觉、裂隙灯显微镜、眼底镜检查、心电图、肺部CT、心脏冠状动脉CT、上腹部B超、下腹部彩超、甲状腺超声、肝脏瞬时弹性检测、颈动脉彩超检查、血常规、血脂六项、空腹血糖、糖化血红蛋白（未婚女性）、血尿酸检测、肾功两项、肝功八项、C14胃部检查、AFP定量、CEA、CA199、CA125定量、CA153、FER检测、尿常规、头颅磁共振平扫、电子胶片、营养早餐、报告解读；（已婚女性增加：妇科常规、白带常规、液基细胞学检测、HPV检测、乳腺钼靶）。</w:t>
            </w:r>
          </w:p>
          <w:p>
            <w:pPr>
              <w:pStyle w:val="null3"/>
            </w:pPr>
            <w:r>
              <w:rPr>
                <w:rFonts w:ascii="仿宋_GB2312" w:hAnsi="仿宋_GB2312" w:cs="仿宋_GB2312" w:eastAsia="仿宋_GB2312"/>
                <w:sz w:val="24"/>
              </w:rPr>
              <w:t>以上体检项目为必检项目，漏项将导致响应文件无效。</w:t>
            </w:r>
          </w:p>
          <w:p>
            <w:pPr>
              <w:pStyle w:val="null3"/>
            </w:pPr>
            <w:r>
              <w:rPr>
                <w:rFonts w:ascii="仿宋_GB2312" w:hAnsi="仿宋_GB2312" w:cs="仿宋_GB2312" w:eastAsia="仿宋_GB2312"/>
                <w:sz w:val="24"/>
              </w:rPr>
              <w:t>参检民警如有个人特殊健康需求，可在统一套餐外自愿增加专项检查，相关费用自行承担。</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服务要求</w:t>
            </w:r>
          </w:p>
          <w:p>
            <w:pPr>
              <w:pStyle w:val="null3"/>
            </w:pPr>
            <w:r>
              <w:rPr>
                <w:rFonts w:ascii="仿宋_GB2312" w:hAnsi="仿宋_GB2312" w:cs="仿宋_GB2312" w:eastAsia="仿宋_GB2312"/>
                <w:sz w:val="21"/>
              </w:rPr>
              <w:t>1、体检位置：供应商距离采购单位地理位置接近，交通便捷（西安市城区内）、设施齐全、服务优良。</w:t>
            </w:r>
          </w:p>
          <w:p>
            <w:pPr>
              <w:pStyle w:val="null3"/>
            </w:pPr>
            <w:r>
              <w:rPr>
                <w:rFonts w:ascii="仿宋_GB2312" w:hAnsi="仿宋_GB2312" w:cs="仿宋_GB2312" w:eastAsia="仿宋_GB2312"/>
                <w:sz w:val="21"/>
              </w:rPr>
              <w:t>2、要求供应商提供团检专场、检后汇总采购单位团体报告，提供医院绿色就医通道等服务。体检后安排专业医生对体检报告进行解读，可通过现场咨询、电话咨询或线上咨询等方式，为职工解答疑问，提供健康指导。</w:t>
            </w:r>
          </w:p>
          <w:p>
            <w:pPr>
              <w:pStyle w:val="null3"/>
            </w:pPr>
            <w:r>
              <w:rPr>
                <w:rFonts w:ascii="仿宋_GB2312" w:hAnsi="仿宋_GB2312" w:cs="仿宋_GB2312" w:eastAsia="仿宋_GB2312"/>
                <w:sz w:val="21"/>
              </w:rPr>
              <w:t>3、要求供应商在体检过程中提供智能化电子导检和人工导检结合的引导服务，确保能够满足各年龄段职工的服务需求。</w:t>
            </w:r>
          </w:p>
          <w:p>
            <w:pPr>
              <w:pStyle w:val="null3"/>
            </w:pPr>
            <w:r>
              <w:rPr>
                <w:rFonts w:ascii="仿宋_GB2312" w:hAnsi="仿宋_GB2312" w:cs="仿宋_GB2312" w:eastAsia="仿宋_GB2312"/>
                <w:sz w:val="21"/>
              </w:rPr>
              <w:t>4、要求供应商提供经校验合格的体检设备，门店有独立完</w:t>
            </w:r>
            <w:r>
              <w:rPr>
                <w:rFonts w:ascii="仿宋_GB2312" w:hAnsi="仿宋_GB2312" w:cs="仿宋_GB2312" w:eastAsia="仿宋_GB2312"/>
              </w:rPr>
              <w:t>成全部体检项目的能力，要求供应商拥有CT、核磁共振、超声等设备，并综合考虑设备的先进程度、数量和接待人数。</w:t>
            </w:r>
          </w:p>
          <w:p>
            <w:pPr>
              <w:pStyle w:val="null3"/>
            </w:pPr>
            <w:r>
              <w:rPr>
                <w:rFonts w:ascii="仿宋_GB2312" w:hAnsi="仿宋_GB2312" w:cs="仿宋_GB2312" w:eastAsia="仿宋_GB2312"/>
                <w:sz w:val="21"/>
              </w:rPr>
              <w:t>5、所有体检项目由具有相应资质在册的医护人员负责。根据本项目体检总人数、体检周期、体检场次，足额配备执业医师、护士、检验人员、导检人员、前台登记人员等全套服务团队，保证体检流程顺畅，不得出现人员缺岗、岗位空转、排队拥堵等情况。</w:t>
            </w:r>
          </w:p>
          <w:p>
            <w:pPr>
              <w:pStyle w:val="null3"/>
            </w:pPr>
            <w:r>
              <w:rPr>
                <w:rFonts w:ascii="仿宋_GB2312" w:hAnsi="仿宋_GB2312" w:cs="仿宋_GB2312" w:eastAsia="仿宋_GB2312"/>
                <w:sz w:val="21"/>
              </w:rPr>
              <w:t>6、在职+退休民警：预计参检在职民警608人、退休民警169人。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进度款，合同签订后，支付合同价款50%，达到付款条件起10个工作日内，支付合同总金额的50.0%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进度款，2026年12月支付合同价款50%（据实结算），达到付款条件起10个工作日内，支付合同总金额的50.0%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陕西省中小企业政府采购信用融资办法》（陕财办采〔2018〕23号）、《陕西省财政厅关于加快推进我省中小企业政府采购信用融资工作的通知》《陕财办采〔2020〕15号》、西安市财政局关于印发《关于调整西安市政府采购信用担保及信用融资合作机构联系名单的通知》（市财发 〔2015〕4号）的有关规定，有融资需求的供应商可根据自身情况，在陕西省政府采购信用融资平台（含各市分平台）自主选择金融机构及其融资产品，凭政府采购中标（成交）通知书或政府采购合同向金融机构提出融资申请。 2.本项目根据《中小企业划型标准规定》标的类型划分为其他未列明行业。根据《中小企业划型标准规定》其他未列明行业。从业人员300人以下的为中小微型企业。其中，从业人员100人及以上的为中型企业;从业人员10人及以上的为小型企业;从业人员10人以下的为微型企业。 3.中标（成交）结果发布后，中标（成交）供应商在2个工作日内向采购代理机构提供3套（和上传文件保持一致的）纸质磋商（响应）文件用于备案及档案保存。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 ： 1、有效的主体资格证明：提供合法有效的统一社会信用代码营业执照（事业单位提供事业单位法人证书，自然人应提供身份证）； 2、税收缴纳证明：提供2025年6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6月1日以来任意时间段的社会保障资金缴存单据或社保机构开具的社会保险参保缴费情况证明。依法不需要缴纳社会保障资金的供应商应提供相关文件证明；4、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法定代表人授权书：法定代表人授权代表参加磋商的，须出具法定代表人授权书及授权代表身份证（法定代表人直接参加磋商的，须出具法定代表人身份证）。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供应商须具备卫生主管部门颁发的有效期内的《医疗机构执业许可证》及《放射诊疗许可证》。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开标记录表.docx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服务期限符合磋商文件要求</w:t>
            </w:r>
          </w:p>
        </w:tc>
        <w:tc>
          <w:tcPr>
            <w:tcW w:type="dxa" w:w="1661"/>
          </w:tcPr>
          <w:p>
            <w:pPr>
              <w:pStyle w:val="null3"/>
            </w:pPr>
            <w:r>
              <w:rPr>
                <w:rFonts w:ascii="仿宋_GB2312" w:hAnsi="仿宋_GB2312" w:cs="仿宋_GB2312" w:eastAsia="仿宋_GB2312"/>
              </w:rPr>
              <w:t>响应文件封面 开标记录表.docx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付款方式符合磋商文件要求</w:t>
            </w:r>
          </w:p>
        </w:tc>
        <w:tc>
          <w:tcPr>
            <w:tcW w:type="dxa" w:w="1661"/>
          </w:tcPr>
          <w:p>
            <w:pPr>
              <w:pStyle w:val="null3"/>
            </w:pPr>
            <w:r>
              <w:rPr>
                <w:rFonts w:ascii="仿宋_GB2312" w:hAnsi="仿宋_GB2312" w:cs="仿宋_GB2312" w:eastAsia="仿宋_GB2312"/>
              </w:rPr>
              <w:t>响应文件封面 开标记录表.docx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响应文件有效期合格</w:t>
            </w:r>
          </w:p>
        </w:tc>
        <w:tc>
          <w:tcPr>
            <w:tcW w:type="dxa" w:w="1661"/>
          </w:tcPr>
          <w:p>
            <w:pPr>
              <w:pStyle w:val="null3"/>
            </w:pPr>
            <w:r>
              <w:rPr>
                <w:rFonts w:ascii="仿宋_GB2312" w:hAnsi="仿宋_GB2312" w:cs="仿宋_GB2312" w:eastAsia="仿宋_GB2312"/>
              </w:rPr>
              <w:t>响应文件封面 开标记录表.docx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响应文件封面 开标记录表.docx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供应商报价未超出采购预算及最高限价</w:t>
            </w:r>
          </w:p>
        </w:tc>
        <w:tc>
          <w:tcPr>
            <w:tcW w:type="dxa" w:w="1661"/>
          </w:tcPr>
          <w:p>
            <w:pPr>
              <w:pStyle w:val="null3"/>
            </w:pPr>
            <w:r>
              <w:rPr>
                <w:rFonts w:ascii="仿宋_GB2312" w:hAnsi="仿宋_GB2312" w:cs="仿宋_GB2312" w:eastAsia="仿宋_GB2312"/>
              </w:rPr>
              <w:t>响应文件封面 开标记录表.docx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参加体检的安排方案，包含：①人员组织安排；②体检批次安排；③接待能力；④应急措施；⑤体检流程及服务标准。每项内容全⾯详细、阐述条理清晰详尽、符合本项⽬采购需求得2分，满分10分，评审内容每存在⼀处缺陷扣1分，扣完为⽌；未提供不得分。（说明：存在下列情形之⼀的属于内容缺陷：①内容与项⽬需求不吻合、层次未细化的；②阐述未从实际出发，不切合项⽬背景、项⽬需求的；③存在抄袭或套⽤其他地区内容或与本项⽬⽆关的；④前后逻辑错误的；⑤⽆具体详细的阐述、实施性不强的；⑥科学原理或常识错误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拟投入体检设备情况</w:t>
            </w:r>
          </w:p>
        </w:tc>
        <w:tc>
          <w:tcPr>
            <w:tcW w:type="dxa" w:w="2492"/>
          </w:tcPr>
          <w:p>
            <w:pPr>
              <w:pStyle w:val="null3"/>
            </w:pPr>
            <w:r>
              <w:rPr>
                <w:rFonts w:ascii="仿宋_GB2312" w:hAnsi="仿宋_GB2312" w:cs="仿宋_GB2312" w:eastAsia="仿宋_GB2312"/>
              </w:rPr>
              <w:t>为保障项目质量，供应商须提供①本项目实施过程中所必须的检测仪器（如CT、核磁共振、超声等）、试剂耗材设备设施的清单、②数量、③功能描述等情况的书面介绍、④设备年检、校准、维保合规情况、⑤试剂耗材质量管控确保检验结果精准的方案。每项内容全⾯详细、阐述条理清晰详尽、符合本项⽬采购需求得2分，满分10分，评审内容每存在⼀处缺陷扣1分，扣完为⽌；未提供不得分。（说明：存在下列情形之⼀的属于内容缺陷：①内容与项⽬需求不吻合、层次未细化的；②阐述未从实际出发，不切合项⽬背景、项⽬需求的；③存在抄袭或套⽤其他地区内容或与本项⽬⽆关的；④前后逻辑错误的；⑤⽆具体详细的阐述、实施性不强的；⑥科学原理或常识错误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拟投入医务人员情况</w:t>
            </w:r>
          </w:p>
        </w:tc>
        <w:tc>
          <w:tcPr>
            <w:tcW w:type="dxa" w:w="2492"/>
          </w:tcPr>
          <w:p>
            <w:pPr>
              <w:pStyle w:val="null3"/>
            </w:pPr>
            <w:r>
              <w:rPr>
                <w:rFonts w:ascii="仿宋_GB2312" w:hAnsi="仿宋_GB2312" w:cs="仿宋_GB2312" w:eastAsia="仿宋_GB2312"/>
              </w:rPr>
              <w:t>提供满足体检要求的人员配备表和医师资格证明材料，根据配备的医护人员的数量的多少、配置级别的高低及整体配比的协调程度做出评审，每个体检科室须由以上配备的医护人员为采购单位职工提供体检服务，满分20分。 结合本项目要求，提供专业的服务团队，人员岗位设置专业、合理、充足，配备满足体检需求且具备相关服务资格、责任心强的医护人员。 ①针对本项目的检查团队，提供≥15名中级及以上职称的医护人员，满足以上条件计20分； ②针对本项目的检查团队提供8-15名中级及以上职称的医护人员，满足以上条件计16分； ③针对本项目的检查团队提供5-8名中级及以上职称的医护人员，满足以上条件计8分； 以上情况之外不得分。（备注:提供人员资格证书或职称证书，资料不齐全的人员不计分。）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引导服务承诺</w:t>
            </w:r>
          </w:p>
        </w:tc>
        <w:tc>
          <w:tcPr>
            <w:tcW w:type="dxa" w:w="2492"/>
          </w:tcPr>
          <w:p>
            <w:pPr>
              <w:pStyle w:val="null3"/>
            </w:pPr>
            <w:r>
              <w:rPr>
                <w:rFonts w:ascii="仿宋_GB2312" w:hAnsi="仿宋_GB2312" w:cs="仿宋_GB2312" w:eastAsia="仿宋_GB2312"/>
              </w:rPr>
              <w:t>供应商提供承诺函，内容包含在体检过程中能提供智能化电子导检和人工导检结合的引导服务，能确保能够满足各年龄段职工的服务需求。内容不全面或者未提供不得分。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承诺函.docx</w:t>
            </w:r>
          </w:p>
        </w:tc>
      </w:tr>
      <w:tr>
        <w:tc>
          <w:tcPr>
            <w:tcW w:type="dxa" w:w="831"/>
            <w:vMerge/>
          </w:tcPr>
          <w:p/>
        </w:tc>
        <w:tc>
          <w:tcPr>
            <w:tcW w:type="dxa" w:w="1661"/>
          </w:tcPr>
          <w:p>
            <w:pPr>
              <w:pStyle w:val="null3"/>
            </w:pPr>
            <w:r>
              <w:rPr>
                <w:rFonts w:ascii="仿宋_GB2312" w:hAnsi="仿宋_GB2312" w:cs="仿宋_GB2312" w:eastAsia="仿宋_GB2312"/>
              </w:rPr>
              <w:t>体检专场、绿色就医通道承诺</w:t>
            </w:r>
          </w:p>
        </w:tc>
        <w:tc>
          <w:tcPr>
            <w:tcW w:type="dxa" w:w="2492"/>
          </w:tcPr>
          <w:p>
            <w:pPr>
              <w:pStyle w:val="null3"/>
            </w:pPr>
            <w:r>
              <w:rPr>
                <w:rFonts w:ascii="仿宋_GB2312" w:hAnsi="仿宋_GB2312" w:cs="仿宋_GB2312" w:eastAsia="仿宋_GB2312"/>
              </w:rPr>
              <w:t>供应商提供承诺函，内容包含针对采购人有专门的团检专场、提供医院绿色就医通道等服务。内容不全面或者未提供不得分。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承诺函.docx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提供针对本项目其他增值服务或合理化建议。切实可行得2分，建议空泛不得分。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体检便利性</w:t>
            </w:r>
          </w:p>
        </w:tc>
        <w:tc>
          <w:tcPr>
            <w:tcW w:type="dxa" w:w="2492"/>
          </w:tcPr>
          <w:p>
            <w:pPr>
              <w:pStyle w:val="null3"/>
            </w:pPr>
            <w:r>
              <w:rPr>
                <w:rFonts w:ascii="仿宋_GB2312" w:hAnsi="仿宋_GB2312" w:cs="仿宋_GB2312" w:eastAsia="仿宋_GB2312"/>
              </w:rPr>
              <w:t>供应商距离采购单位地理位置接近，交通便捷，提供高效、合理组织接送体检人员的方案。①交通便捷、人员组织有序、合理可行得3分；②交通便捷、人员组织基本合理得2分；③交通不便、方案简单得1分，其他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体检场所</w:t>
            </w:r>
          </w:p>
        </w:tc>
        <w:tc>
          <w:tcPr>
            <w:tcW w:type="dxa" w:w="2492"/>
          </w:tcPr>
          <w:p>
            <w:pPr>
              <w:pStyle w:val="null3"/>
            </w:pPr>
            <w:r>
              <w:rPr>
                <w:rFonts w:ascii="仿宋_GB2312" w:hAnsi="仿宋_GB2312" w:cs="仿宋_GB2312" w:eastAsia="仿宋_GB2312"/>
              </w:rPr>
              <w:t>提供男女体检空间的划分方案。①方案设置科学合理，体检场独立宽敞所得5分；②体检划分方案较合理、体检场所较小得3分；③体检划分方案模糊，或未提供不得分。（提供证明材料不限于体检场所实体彩色照片、体检场所租赁合同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检后报告指导</w:t>
            </w:r>
          </w:p>
        </w:tc>
        <w:tc>
          <w:tcPr>
            <w:tcW w:type="dxa" w:w="2492"/>
          </w:tcPr>
          <w:p>
            <w:pPr>
              <w:pStyle w:val="null3"/>
            </w:pPr>
            <w:r>
              <w:rPr>
                <w:rFonts w:ascii="仿宋_GB2312" w:hAnsi="仿宋_GB2312" w:cs="仿宋_GB2312" w:eastAsia="仿宋_GB2312"/>
              </w:rPr>
              <w:t>提供体检后专业医生对体检报告解读方案，可通过多方式提供咨询服务，如（现场咨询、电话咨询或线上咨询等方式），有专业医生为职工解答疑问，全面提供健康指导。 ①提供咨询服务方式多样，健康指导全面细致、合理可行得5分；②提供咨询服务方式单一，健康指导全粗略得3分；③提供咨询服务方案简单得1分。未提供不得分。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体检资料</w:t>
            </w:r>
          </w:p>
        </w:tc>
        <w:tc>
          <w:tcPr>
            <w:tcW w:type="dxa" w:w="2492"/>
          </w:tcPr>
          <w:p>
            <w:pPr>
              <w:pStyle w:val="null3"/>
            </w:pPr>
            <w:r>
              <w:rPr>
                <w:rFonts w:ascii="仿宋_GB2312" w:hAnsi="仿宋_GB2312" w:cs="仿宋_GB2312" w:eastAsia="仿宋_GB2312"/>
              </w:rPr>
              <w:t>供应商提供体检资料承诺函，包含以下资料：全体人员体检完成后须向采购人提供以下资料:①密封纸质体检报告、②电子化体检报告、③单位团体报告、④健康风险评估报告。上述体检资料每提供1项得1分，共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体检报告时效</w:t>
            </w:r>
          </w:p>
        </w:tc>
        <w:tc>
          <w:tcPr>
            <w:tcW w:type="dxa" w:w="2492"/>
          </w:tcPr>
          <w:p>
            <w:pPr>
              <w:pStyle w:val="null3"/>
            </w:pPr>
            <w:r>
              <w:rPr>
                <w:rFonts w:ascii="仿宋_GB2312" w:hAnsi="仿宋_GB2312" w:cs="仿宋_GB2312" w:eastAsia="仿宋_GB2312"/>
              </w:rPr>
              <w:t>供应商承诺5个工作日内提供体检报告得2分，未提供得0分。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承诺函.docx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供应商须承诺保证参检人员所有信息数据不得外泄，做好保密工作，承诺函有具体的保密措施。未提供不得分。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承诺函.docx</w:t>
            </w:r>
          </w:p>
        </w:tc>
      </w:tr>
      <w:tr>
        <w:tc>
          <w:tcPr>
            <w:tcW w:type="dxa" w:w="831"/>
            <w:vMerge/>
          </w:tcPr>
          <w:p/>
        </w:tc>
        <w:tc>
          <w:tcPr>
            <w:tcW w:type="dxa" w:w="1661"/>
          </w:tcPr>
          <w:p>
            <w:pPr>
              <w:pStyle w:val="null3"/>
            </w:pPr>
            <w:r>
              <w:rPr>
                <w:rFonts w:ascii="仿宋_GB2312" w:hAnsi="仿宋_GB2312" w:cs="仿宋_GB2312" w:eastAsia="仿宋_GB2312"/>
              </w:rPr>
              <w:t>检后饮食</w:t>
            </w:r>
          </w:p>
        </w:tc>
        <w:tc>
          <w:tcPr>
            <w:tcW w:type="dxa" w:w="2492"/>
          </w:tcPr>
          <w:p>
            <w:pPr>
              <w:pStyle w:val="null3"/>
            </w:pPr>
            <w:r>
              <w:rPr>
                <w:rFonts w:ascii="仿宋_GB2312" w:hAnsi="仿宋_GB2312" w:cs="仿宋_GB2312" w:eastAsia="仿宋_GB2312"/>
              </w:rPr>
              <w:t>提供相应检后饮食安排。①餐品营养、种类多样、均衡得5分；②餐饮较为简单得3分。不提供餐饮不得分。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供应商提供2023年1月1日以来同类体检项目业绩证明,每个得2分，最高得10分。注：以合同签订时间为准。（附合同复印件并加盖公章）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1.满足磋商文件实质性要求且最后报价最低的供应商价格为磋商基准价，其价格分为满分15分。 2.磋商报价得分=（磋商基准价/最后报价）×15。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详见附件：开标记录表.docx</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