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版本号：DX2026-13520260519001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2026年“先语学堂”西安市网信研修班活动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DX2026-135</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2026年“先语学堂”西安市网信研修班活动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2026年“先语学堂”西安市网信研修班活动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2026年“先语学堂”西安市网信研修班活动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采购包1（2026年“先语学堂”西安市网信研修班活动）：属于专门面向中小企业采购。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4、承诺函：本项目不接受联合体投标，不得转包、分包或以其它联营挂靠形式分包给其他单位或个人，提供承诺函（格式自拟）。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6000元的，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2026年“先语学堂”西安市网信研修班活动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2026年先语学堂西安市网信研修班活动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标的名称：2026年先语学堂西安市网信研修班活动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一、活动目的</w:t>
            </w:r>
          </w:p>
          <w:p>
            <w:pPr>
              <w:pStyle w:val="null3"/>
              <w:ind w:firstLine="420"/>
              <w:jc w:val="both"/>
            </w:pPr>
            <w:r>
              <w:rPr>
                <w:rFonts w:ascii="仿宋_GB2312" w:hAnsi="仿宋_GB2312" w:cs="仿宋_GB2312" w:eastAsia="仿宋_GB2312"/>
                <w:sz w:val="21"/>
              </w:rPr>
              <w:t>为切实提升全市网信工作质效，坚持</w:t>
            </w:r>
            <w:r>
              <w:rPr>
                <w:rFonts w:ascii="仿宋_GB2312" w:hAnsi="仿宋_GB2312" w:cs="仿宋_GB2312" w:eastAsia="仿宋_GB2312"/>
                <w:sz w:val="21"/>
              </w:rPr>
              <w:t>“以服务大局为宗旨，以实训实战为导向，以改革提质为目标”的工作思路，扩大“先语学堂”网信研修品牌影响力，全链条赋能网信队伍建设，牢牢掌握网络意识形态工作领导权、管理权、话语权，高水平</w:t>
            </w:r>
            <w:r>
              <w:rPr>
                <w:rFonts w:ascii="仿宋_GB2312" w:hAnsi="仿宋_GB2312" w:cs="仿宋_GB2312" w:eastAsia="仿宋_GB2312"/>
                <w:sz w:val="21"/>
              </w:rPr>
              <w:t>疏导</w:t>
            </w:r>
            <w:r>
              <w:rPr>
                <w:rFonts w:ascii="仿宋_GB2312" w:hAnsi="仿宋_GB2312" w:cs="仿宋_GB2312" w:eastAsia="仿宋_GB2312"/>
                <w:sz w:val="21"/>
              </w:rPr>
              <w:t>社情民意</w:t>
            </w:r>
            <w:r>
              <w:rPr>
                <w:rFonts w:ascii="仿宋_GB2312" w:hAnsi="仿宋_GB2312" w:cs="仿宋_GB2312" w:eastAsia="仿宋_GB2312"/>
                <w:sz w:val="21"/>
              </w:rPr>
              <w:t>、</w:t>
            </w:r>
            <w:r>
              <w:rPr>
                <w:rFonts w:ascii="仿宋_GB2312" w:hAnsi="仿宋_GB2312" w:cs="仿宋_GB2312" w:eastAsia="仿宋_GB2312"/>
                <w:sz w:val="21"/>
              </w:rPr>
              <w:t>护航城市高质量发展。</w:t>
            </w:r>
          </w:p>
          <w:p>
            <w:pPr>
              <w:pStyle w:val="null3"/>
              <w:jc w:val="both"/>
            </w:pPr>
            <w:r>
              <w:rPr>
                <w:rFonts w:ascii="仿宋_GB2312" w:hAnsi="仿宋_GB2312" w:cs="仿宋_GB2312" w:eastAsia="仿宋_GB2312"/>
                <w:sz w:val="21"/>
                <w:b/>
              </w:rPr>
              <w:t>二、活动规格</w:t>
            </w:r>
          </w:p>
          <w:p>
            <w:pPr>
              <w:pStyle w:val="null3"/>
              <w:ind w:firstLine="420"/>
              <w:jc w:val="both"/>
            </w:pPr>
            <w:r>
              <w:rPr>
                <w:rFonts w:ascii="仿宋_GB2312" w:hAnsi="仿宋_GB2312" w:cs="仿宋_GB2312" w:eastAsia="仿宋_GB2312"/>
                <w:sz w:val="21"/>
              </w:rPr>
              <w:t>面向全市开展系列研修活动，活动以线上授课、线下研习，分级、分类、分行业专题学习、专项研修和座谈交流等形式相结合。年度计划开展活动不少于</w:t>
            </w:r>
            <w:r>
              <w:rPr>
                <w:rFonts w:ascii="仿宋_GB2312" w:hAnsi="仿宋_GB2312" w:cs="仿宋_GB2312" w:eastAsia="仿宋_GB2312"/>
                <w:sz w:val="21"/>
              </w:rPr>
              <w:t>12次，覆盖效果达5000人次以上。</w:t>
            </w:r>
          </w:p>
          <w:p>
            <w:pPr>
              <w:pStyle w:val="null3"/>
              <w:jc w:val="both"/>
            </w:pPr>
            <w:r>
              <w:rPr>
                <w:rFonts w:ascii="仿宋_GB2312" w:hAnsi="仿宋_GB2312" w:cs="仿宋_GB2312" w:eastAsia="仿宋_GB2312"/>
                <w:sz w:val="21"/>
                <w:b/>
              </w:rPr>
              <w:t>三、主要内容及要求</w:t>
            </w:r>
          </w:p>
          <w:p>
            <w:pPr>
              <w:pStyle w:val="null3"/>
              <w:jc w:val="both"/>
            </w:pPr>
            <w:r>
              <w:rPr>
                <w:rFonts w:ascii="仿宋_GB2312" w:hAnsi="仿宋_GB2312" w:cs="仿宋_GB2312" w:eastAsia="仿宋_GB2312"/>
                <w:sz w:val="21"/>
                <w:b/>
              </w:rPr>
              <w:t>（一）主要内容</w:t>
            </w:r>
          </w:p>
          <w:p>
            <w:pPr>
              <w:pStyle w:val="null3"/>
              <w:ind w:firstLine="420"/>
              <w:jc w:val="both"/>
            </w:pPr>
            <w:r>
              <w:rPr>
                <w:rFonts w:ascii="仿宋_GB2312" w:hAnsi="仿宋_GB2312" w:cs="仿宋_GB2312" w:eastAsia="仿宋_GB2312"/>
                <w:sz w:val="21"/>
              </w:rPr>
              <w:t>1.紧扣形势任务，实施分期分类线上学习。聚焦网络公众诉求回应工作面临的新形势、新技术与新要求，科学规划授课主题，建立线上集中学习体系。</w:t>
            </w:r>
          </w:p>
          <w:p>
            <w:pPr>
              <w:pStyle w:val="null3"/>
              <w:ind w:firstLine="420"/>
              <w:jc w:val="both"/>
            </w:pPr>
            <w:r>
              <w:rPr>
                <w:rFonts w:ascii="仿宋_GB2312" w:hAnsi="仿宋_GB2312" w:cs="仿宋_GB2312" w:eastAsia="仿宋_GB2312"/>
                <w:sz w:val="21"/>
              </w:rPr>
              <w:t>2.聚焦关键节点，构建线下协同研修格局。针对重要时间节点，关注公众诉求背后的民生实事，组织相关责任单位负责人及区县网信骨干开展专项研修。</w:t>
            </w:r>
          </w:p>
          <w:p>
            <w:pPr>
              <w:pStyle w:val="null3"/>
              <w:ind w:firstLine="420"/>
              <w:jc w:val="both"/>
            </w:pPr>
            <w:r>
              <w:rPr>
                <w:rFonts w:ascii="仿宋_GB2312" w:hAnsi="仿宋_GB2312" w:cs="仿宋_GB2312" w:eastAsia="仿宋_GB2312"/>
                <w:sz w:val="21"/>
              </w:rPr>
              <w:t>3.坚持送教上门，开展精准化专题实训。面向市级部门、重点单位负责人及系统内关键岗位一线人员，上门组织开展专题学习，强化案例剖析与经验互鉴。</w:t>
            </w:r>
          </w:p>
          <w:p>
            <w:pPr>
              <w:pStyle w:val="null3"/>
              <w:ind w:firstLine="420"/>
              <w:jc w:val="both"/>
            </w:pPr>
            <w:r>
              <w:rPr>
                <w:rFonts w:ascii="仿宋_GB2312" w:hAnsi="仿宋_GB2312" w:cs="仿宋_GB2312" w:eastAsia="仿宋_GB2312"/>
                <w:sz w:val="21"/>
              </w:rPr>
              <w:t>4.强化成果转化，锤炼实战处置硬本领。依托多元化载体推动学用深度融合，将学习成效转化为实战效能，锻造网信队伍</w:t>
            </w:r>
            <w:r>
              <w:rPr>
                <w:rFonts w:ascii="仿宋_GB2312" w:hAnsi="仿宋_GB2312" w:cs="仿宋_GB2312" w:eastAsia="仿宋_GB2312"/>
                <w:sz w:val="21"/>
              </w:rPr>
              <w:t>风险</w:t>
            </w:r>
            <w:r>
              <w:rPr>
                <w:rFonts w:ascii="仿宋_GB2312" w:hAnsi="仿宋_GB2312" w:cs="仿宋_GB2312" w:eastAsia="仿宋_GB2312"/>
                <w:sz w:val="21"/>
              </w:rPr>
              <w:t>研判、应对及处置能力。</w:t>
            </w:r>
          </w:p>
          <w:p>
            <w:pPr>
              <w:pStyle w:val="null3"/>
              <w:jc w:val="both"/>
            </w:pPr>
            <w:r>
              <w:rPr>
                <w:rFonts w:ascii="仿宋_GB2312" w:hAnsi="仿宋_GB2312" w:cs="仿宋_GB2312" w:eastAsia="仿宋_GB2312"/>
                <w:sz w:val="21"/>
                <w:b/>
              </w:rPr>
              <w:t>（二）工作要求</w:t>
            </w:r>
          </w:p>
          <w:p>
            <w:pPr>
              <w:pStyle w:val="null3"/>
              <w:ind w:firstLine="420"/>
              <w:jc w:val="both"/>
            </w:pPr>
            <w:r>
              <w:rPr>
                <w:rFonts w:ascii="仿宋_GB2312" w:hAnsi="仿宋_GB2312" w:cs="仿宋_GB2312" w:eastAsia="仿宋_GB2312"/>
                <w:sz w:val="21"/>
              </w:rPr>
              <w:t>1.遵循“以服务大局为宗旨，以实训实战为导向，以改革提质为目标”的工作思路，推动优质学习资源持续下沉基层。</w:t>
            </w:r>
          </w:p>
          <w:p>
            <w:pPr>
              <w:pStyle w:val="null3"/>
              <w:ind w:firstLine="420"/>
              <w:jc w:val="both"/>
            </w:pPr>
            <w:r>
              <w:rPr>
                <w:rFonts w:ascii="仿宋_GB2312" w:hAnsi="仿宋_GB2312" w:cs="仿宋_GB2312" w:eastAsia="仿宋_GB2312"/>
                <w:sz w:val="21"/>
              </w:rPr>
              <w:t>2.增设前沿技术课程，打破思维局限、拓展认知边界，持续强化活动的前瞻引领、精准施策与务实成效。</w:t>
            </w:r>
          </w:p>
          <w:p>
            <w:pPr>
              <w:pStyle w:val="null3"/>
              <w:ind w:firstLine="420"/>
              <w:jc w:val="both"/>
            </w:pPr>
            <w:r>
              <w:rPr>
                <w:rFonts w:ascii="仿宋_GB2312" w:hAnsi="仿宋_GB2312" w:cs="仿宋_GB2312" w:eastAsia="仿宋_GB2312"/>
                <w:sz w:val="21"/>
              </w:rPr>
              <w:t>3.坚持形式多元与需求精准相统一，弘扬学以致用的务实作风，全面推动各行业从业人员风险应对素养提档升级。</w:t>
            </w:r>
          </w:p>
          <w:p>
            <w:pPr>
              <w:pStyle w:val="null3"/>
              <w:ind w:firstLine="420"/>
              <w:jc w:val="both"/>
            </w:pPr>
            <w:r>
              <w:rPr>
                <w:rFonts w:ascii="仿宋_GB2312" w:hAnsi="仿宋_GB2312" w:cs="仿宋_GB2312" w:eastAsia="仿宋_GB2312"/>
                <w:sz w:val="21"/>
              </w:rPr>
              <w:t>4.深化专家智库建设与运用，全面提升活动效能，为构建“网下解决带动网上化解”的治理格局提供坚实智力支持。</w:t>
            </w:r>
          </w:p>
          <w:p>
            <w:pPr>
              <w:pStyle w:val="null3"/>
              <w:jc w:val="both"/>
            </w:pPr>
            <w:r>
              <w:rPr>
                <w:rFonts w:ascii="仿宋_GB2312" w:hAnsi="仿宋_GB2312" w:cs="仿宋_GB2312" w:eastAsia="仿宋_GB2312"/>
                <w:sz w:val="21"/>
                <w:b/>
              </w:rPr>
              <w:t>四、活动</w:t>
            </w:r>
            <w:r>
              <w:rPr>
                <w:rFonts w:ascii="仿宋_GB2312" w:hAnsi="仿宋_GB2312" w:cs="仿宋_GB2312" w:eastAsia="仿宋_GB2312"/>
                <w:sz w:val="21"/>
                <w:b/>
              </w:rPr>
              <w:t>明细</w:t>
            </w:r>
          </w:p>
          <w:tbl>
            <w:tblPr>
              <w:tblBorders>
                <w:top w:val="none" w:color="000000" w:sz="4"/>
                <w:left w:val="none" w:color="000000" w:sz="4"/>
                <w:bottom w:val="none" w:color="000000" w:sz="4"/>
                <w:right w:val="none" w:color="000000" w:sz="4"/>
                <w:insideH w:val="none"/>
                <w:insideV w:val="none"/>
              </w:tblBorders>
            </w:tblPr>
            <w:tblGrid>
              <w:gridCol w:w="490"/>
              <w:gridCol w:w="1781"/>
            </w:tblGrid>
            <w:tr>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1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线上课堂</w:t>
                  </w: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线上专业平台全年使用及系统扩容；课前调试、课堂搭建、技术保障、流程引导、信息收集；作业整理、分类筛选，学习资料整理。</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专家劳务</w:t>
                  </w: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先语线上课授课专家课时；先语专题学习授课专家课时；先语专项研修参会专家咨询；开班及总结集中学习专家课时。</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线下场地</w:t>
                  </w: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开班、结业集中学习场地及设备使用；其余全年线下活动场地及设备使用。</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活动执行</w:t>
                  </w: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全年线下活动场地布置、活动组织、资料打印、课堂保障等；全年线下活动拍摄；活动总结短视频剪辑制作等。</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交通住宿</w:t>
                  </w: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全年外地专家往返交通、住宿等。</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配套保障</w:t>
                  </w: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问卷系统使用、需求分析报告撰写、重点单位访谈执行等。</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成果总结</w:t>
                  </w: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全年活动产出资料整理、编辑校对；总结册设计制作等。</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活动按计划完成，达到预期效果。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进度款，项目验收合格之日起，达到付款条件起30个工作日内，支付合同总金额的50.0%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本项目不接受联合体投标，不得转包、分包或以其它联营挂靠形式分包给其他单位或个人，提供承诺函（格式自拟）。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①对项目的理解及重难点分析； ②线上平台搭建方案； ③专家授课方案； ④线下活动开展方案； ⑤配套保障方案； ⑥成果总结资料整理方案。 二、评审标准 1、完善性：方案必须全面，对评审内容中的各项要求有详细阐述； 2、可实施性：切合本项目实际情况，提出步骤清晰、合理的方案； 3、针对性：方案能够紧扣项目实际情况，内容科学合理。 上述六项评审内容全部满足评审标准得30分，每有一个评审内容缺项扣5分，评审内容每存在一处缺陷扣1分，扣完为止。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①项目质量保障措施； ②进度计划安排； ③响应时效保障措施； ④外地专家交通、住宿安排保障； ⑤安全保障措施； ⑥针对本项目提供应急预案（不限于技术故障、活动延期、人员变动、项目风险、极端天气等各类特殊情况）。 二、评审标准 1、完善性：方案必须全面，对评审内容中的各项要求有详细阐述； 2、可实施性：切合本项目实际情况，提出步骤清晰、合理的方案； 3、针对性：方案能够紧扣项目实际情况，内容科学合理。 上述六项评审内容全部满足评审标准得24分，每有一个评审内容缺项扣4分，评审内容每存在一处缺陷扣1分，扣完为止。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一、评审内容 提供针对本项目实施过程中拟采用的设备设施。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①有专业的运营团队，团队人员数量、分工合理，岗位职责明确； ②人员管理制度。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针对本项目提供详细的服务承诺，包括但不限于： ①制定完善的各项规章制度等内容; ②针对本项目的服务质量保证承诺。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