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EACA80">
      <w:pPr>
        <w:bidi w:val="0"/>
        <w:jc w:val="center"/>
        <w:rPr>
          <w:rFonts w:hint="eastAsia" w:ascii="仿宋" w:hAnsi="仿宋" w:eastAsia="仿宋" w:cs="仿宋"/>
          <w:b/>
          <w:sz w:val="48"/>
          <w:szCs w:val="48"/>
          <w:highlight w:val="none"/>
          <w:lang w:val="en-US" w:eastAsia="zh-CN"/>
        </w:rPr>
      </w:pPr>
      <w:r>
        <w:rPr>
          <w:rFonts w:hint="eastAsia" w:ascii="仿宋" w:hAnsi="仿宋" w:eastAsia="仿宋" w:cs="仿宋"/>
          <w:b/>
          <w:sz w:val="48"/>
          <w:szCs w:val="48"/>
          <w:highlight w:val="none"/>
          <w:lang w:val="en-US" w:eastAsia="zh-CN"/>
        </w:rPr>
        <w:t>合同条款及格式</w:t>
      </w:r>
    </w:p>
    <w:p w14:paraId="0E257E5A">
      <w:pPr>
        <w:spacing w:line="440" w:lineRule="exact"/>
        <w:ind w:firstLine="480" w:firstLineChars="200"/>
        <w:rPr>
          <w:rFonts w:hint="eastAsia" w:ascii="仿宋" w:hAnsi="仿宋" w:eastAsia="仿宋" w:cs="仿宋"/>
          <w:sz w:val="24"/>
          <w:highlight w:val="none"/>
        </w:rPr>
      </w:pPr>
    </w:p>
    <w:p w14:paraId="173759C7">
      <w:pPr>
        <w:pStyle w:val="4"/>
        <w:rPr>
          <w:rFonts w:hint="eastAsia" w:ascii="仿宋" w:hAnsi="仿宋" w:eastAsia="仿宋" w:cs="仿宋"/>
          <w:highlight w:val="none"/>
        </w:rPr>
      </w:pPr>
    </w:p>
    <w:p w14:paraId="6F0B56B7">
      <w:pPr>
        <w:rPr>
          <w:rFonts w:hint="eastAsia" w:ascii="仿宋" w:hAnsi="仿宋" w:eastAsia="仿宋" w:cs="仿宋"/>
          <w:highlight w:val="none"/>
        </w:rPr>
      </w:pPr>
    </w:p>
    <w:p w14:paraId="1BAAE6E1">
      <w:pPr>
        <w:pStyle w:val="4"/>
        <w:rPr>
          <w:rFonts w:hint="eastAsia" w:ascii="仿宋" w:hAnsi="仿宋" w:eastAsia="仿宋" w:cs="仿宋"/>
          <w:highlight w:val="none"/>
        </w:rPr>
      </w:pPr>
    </w:p>
    <w:p w14:paraId="65BC0D24">
      <w:pPr>
        <w:rPr>
          <w:rFonts w:hint="eastAsia" w:ascii="仿宋" w:hAnsi="仿宋" w:eastAsia="仿宋" w:cs="仿宋"/>
          <w:highlight w:val="none"/>
        </w:rPr>
      </w:pPr>
    </w:p>
    <w:p w14:paraId="6DA92939">
      <w:pPr>
        <w:bidi w:val="0"/>
        <w:jc w:val="center"/>
        <w:rPr>
          <w:rFonts w:hint="eastAsia" w:ascii="仿宋" w:hAnsi="仿宋" w:eastAsia="仿宋" w:cs="仿宋"/>
          <w:b/>
          <w:sz w:val="48"/>
          <w:szCs w:val="48"/>
          <w:highlight w:val="none"/>
          <w:lang w:val="en-US" w:eastAsia="zh-CN"/>
        </w:rPr>
      </w:pPr>
    </w:p>
    <w:p w14:paraId="4857AC31">
      <w:pPr>
        <w:bidi w:val="0"/>
        <w:jc w:val="center"/>
        <w:rPr>
          <w:rFonts w:hint="eastAsia" w:ascii="仿宋" w:hAnsi="仿宋" w:eastAsia="仿宋" w:cs="仿宋"/>
          <w:b/>
          <w:bCs/>
          <w:sz w:val="44"/>
          <w:szCs w:val="44"/>
          <w:highlight w:val="none"/>
          <w:lang w:eastAsia="zh-CN"/>
        </w:rPr>
      </w:pPr>
      <w:r>
        <w:rPr>
          <w:rFonts w:hint="eastAsia" w:ascii="仿宋" w:hAnsi="仿宋" w:eastAsia="仿宋" w:cs="仿宋"/>
          <w:b/>
          <w:sz w:val="48"/>
          <w:szCs w:val="48"/>
          <w:highlight w:val="none"/>
          <w:lang w:val="en-US" w:eastAsia="zh-CN"/>
        </w:rPr>
        <w:t>2026年“先语学堂”西安市网信研修班活动</w:t>
      </w:r>
    </w:p>
    <w:p w14:paraId="17F99935">
      <w:pPr>
        <w:pStyle w:val="4"/>
        <w:rPr>
          <w:rFonts w:hint="eastAsia" w:ascii="仿宋" w:hAnsi="仿宋" w:eastAsia="仿宋" w:cs="仿宋"/>
          <w:b/>
          <w:bCs/>
          <w:sz w:val="44"/>
          <w:szCs w:val="44"/>
          <w:highlight w:val="none"/>
          <w:lang w:eastAsia="zh-CN"/>
        </w:rPr>
      </w:pPr>
    </w:p>
    <w:p w14:paraId="47FC6F67">
      <w:pPr>
        <w:pStyle w:val="4"/>
        <w:rPr>
          <w:rFonts w:hint="eastAsia" w:ascii="仿宋" w:hAnsi="仿宋" w:eastAsia="仿宋" w:cs="仿宋"/>
          <w:b/>
          <w:bCs/>
          <w:sz w:val="44"/>
          <w:szCs w:val="44"/>
          <w:highlight w:val="none"/>
          <w:lang w:eastAsia="zh-CN"/>
        </w:rPr>
      </w:pPr>
    </w:p>
    <w:p w14:paraId="7C6E942C">
      <w:pPr>
        <w:rPr>
          <w:rFonts w:hint="eastAsia" w:ascii="仿宋" w:hAnsi="仿宋" w:eastAsia="仿宋" w:cs="仿宋"/>
          <w:b/>
          <w:bCs/>
          <w:sz w:val="44"/>
          <w:szCs w:val="44"/>
          <w:highlight w:val="none"/>
          <w:lang w:eastAsia="zh-CN"/>
        </w:rPr>
      </w:pPr>
    </w:p>
    <w:p w14:paraId="7588CDE5">
      <w:pPr>
        <w:pStyle w:val="4"/>
        <w:rPr>
          <w:rFonts w:hint="eastAsia" w:ascii="仿宋" w:hAnsi="仿宋" w:eastAsia="仿宋" w:cs="仿宋"/>
          <w:b/>
          <w:bCs/>
          <w:sz w:val="44"/>
          <w:szCs w:val="44"/>
          <w:highlight w:val="none"/>
          <w:lang w:eastAsia="zh-CN"/>
        </w:rPr>
      </w:pPr>
    </w:p>
    <w:p w14:paraId="7AFB4362">
      <w:pPr>
        <w:jc w:val="center"/>
        <w:rPr>
          <w:rFonts w:hint="eastAsia" w:ascii="仿宋" w:hAnsi="仿宋" w:eastAsia="仿宋" w:cs="仿宋"/>
          <w:b/>
          <w:bCs/>
          <w:sz w:val="44"/>
          <w:szCs w:val="44"/>
          <w:highlight w:val="none"/>
          <w:lang w:val="en-US" w:eastAsia="zh-CN"/>
        </w:rPr>
      </w:pPr>
      <w:r>
        <w:rPr>
          <w:rFonts w:hint="eastAsia" w:ascii="仿宋" w:hAnsi="仿宋" w:eastAsia="仿宋" w:cs="仿宋"/>
          <w:b/>
          <w:bCs/>
          <w:sz w:val="44"/>
          <w:szCs w:val="44"/>
          <w:highlight w:val="none"/>
          <w:lang w:val="en-US" w:eastAsia="zh-CN"/>
        </w:rPr>
        <w:t>服务合同</w:t>
      </w:r>
    </w:p>
    <w:p w14:paraId="0E7E8D1A">
      <w:pPr>
        <w:pStyle w:val="4"/>
        <w:rPr>
          <w:rFonts w:hint="eastAsia" w:ascii="仿宋" w:hAnsi="仿宋" w:eastAsia="仿宋" w:cs="仿宋"/>
          <w:b/>
          <w:bCs/>
          <w:sz w:val="44"/>
          <w:szCs w:val="44"/>
          <w:highlight w:val="none"/>
          <w:lang w:val="en-US" w:eastAsia="zh-CN"/>
        </w:rPr>
      </w:pPr>
    </w:p>
    <w:p w14:paraId="5D8642A6">
      <w:pPr>
        <w:rPr>
          <w:rFonts w:hint="eastAsia" w:ascii="仿宋" w:hAnsi="仿宋" w:eastAsia="仿宋" w:cs="仿宋"/>
          <w:b/>
          <w:bCs/>
          <w:sz w:val="44"/>
          <w:szCs w:val="44"/>
          <w:highlight w:val="none"/>
          <w:lang w:val="en-US" w:eastAsia="zh-CN"/>
        </w:rPr>
      </w:pPr>
    </w:p>
    <w:p w14:paraId="253D1BA0">
      <w:pPr>
        <w:pStyle w:val="4"/>
        <w:rPr>
          <w:rFonts w:hint="eastAsia" w:ascii="仿宋" w:hAnsi="仿宋" w:eastAsia="仿宋" w:cs="仿宋"/>
          <w:b/>
          <w:bCs/>
          <w:sz w:val="44"/>
          <w:szCs w:val="44"/>
          <w:highlight w:val="none"/>
          <w:lang w:val="en-US" w:eastAsia="zh-CN"/>
        </w:rPr>
      </w:pPr>
    </w:p>
    <w:p w14:paraId="30787233">
      <w:pPr>
        <w:rPr>
          <w:rFonts w:hint="eastAsia" w:ascii="仿宋" w:hAnsi="仿宋" w:eastAsia="仿宋" w:cs="仿宋"/>
          <w:highlight w:val="none"/>
          <w:lang w:val="en-US" w:eastAsia="zh-CN"/>
        </w:rPr>
      </w:pPr>
      <w:bookmarkStart w:id="52" w:name="_GoBack"/>
      <w:bookmarkEnd w:id="52"/>
    </w:p>
    <w:p w14:paraId="678EBD81">
      <w:pPr>
        <w:pStyle w:val="4"/>
        <w:rPr>
          <w:rFonts w:hint="eastAsia" w:ascii="仿宋" w:hAnsi="仿宋" w:eastAsia="仿宋" w:cs="仿宋"/>
          <w:b/>
          <w:bCs/>
          <w:sz w:val="44"/>
          <w:szCs w:val="44"/>
          <w:highlight w:val="none"/>
          <w:lang w:val="en-US" w:eastAsia="zh-CN"/>
        </w:rPr>
      </w:pPr>
    </w:p>
    <w:p w14:paraId="0A83A32C">
      <w:pPr>
        <w:spacing w:line="500" w:lineRule="exact"/>
        <w:ind w:firstLine="1120" w:firstLineChars="4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合  同  编  号：</w:t>
      </w:r>
    </w:p>
    <w:p w14:paraId="0DEBFF6C">
      <w:pPr>
        <w:spacing w:line="500" w:lineRule="exact"/>
        <w:ind w:firstLine="1120" w:firstLineChars="4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项  目  名  称：</w:t>
      </w:r>
    </w:p>
    <w:p w14:paraId="17D64598">
      <w:pPr>
        <w:spacing w:line="500" w:lineRule="exact"/>
        <w:ind w:firstLine="1120" w:firstLineChars="400"/>
        <w:rPr>
          <w:rFonts w:hint="eastAsia" w:ascii="仿宋" w:hAnsi="仿宋" w:eastAsia="仿宋" w:cs="仿宋"/>
          <w:sz w:val="28"/>
          <w:szCs w:val="28"/>
          <w:highlight w:val="none"/>
        </w:rPr>
      </w:pPr>
      <w:r>
        <w:rPr>
          <w:rFonts w:hint="eastAsia" w:ascii="仿宋" w:hAnsi="仿宋" w:eastAsia="仿宋" w:cs="仿宋"/>
          <w:sz w:val="28"/>
          <w:szCs w:val="28"/>
          <w:highlight w:val="none"/>
        </w:rPr>
        <w:t>采购人（</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w:t>
      </w:r>
    </w:p>
    <w:p w14:paraId="78A84087">
      <w:pPr>
        <w:spacing w:line="500" w:lineRule="exact"/>
        <w:ind w:firstLine="1120" w:firstLineChars="400"/>
        <w:rPr>
          <w:rFonts w:hint="eastAsia" w:ascii="仿宋" w:hAnsi="仿宋" w:eastAsia="仿宋" w:cs="仿宋"/>
          <w:sz w:val="28"/>
          <w:szCs w:val="28"/>
          <w:highlight w:val="none"/>
        </w:rPr>
      </w:pPr>
      <w:r>
        <w:rPr>
          <w:rFonts w:hint="eastAsia" w:ascii="仿宋" w:hAnsi="仿宋" w:eastAsia="仿宋" w:cs="仿宋"/>
          <w:sz w:val="28"/>
          <w:szCs w:val="28"/>
          <w:highlight w:val="none"/>
        </w:rPr>
        <w:t>成交人（</w:t>
      </w:r>
      <w:r>
        <w:rPr>
          <w:rFonts w:hint="eastAsia" w:ascii="仿宋" w:hAnsi="仿宋" w:eastAsia="仿宋" w:cs="仿宋"/>
          <w:sz w:val="28"/>
          <w:szCs w:val="28"/>
          <w:highlight w:val="none"/>
          <w:lang w:val="en-US" w:eastAsia="zh-CN"/>
        </w:rPr>
        <w:t>乙</w:t>
      </w:r>
      <w:r>
        <w:rPr>
          <w:rFonts w:hint="eastAsia" w:ascii="仿宋" w:hAnsi="仿宋" w:eastAsia="仿宋" w:cs="仿宋"/>
          <w:sz w:val="28"/>
          <w:szCs w:val="28"/>
          <w:highlight w:val="none"/>
        </w:rPr>
        <w:t>方）：</w:t>
      </w:r>
    </w:p>
    <w:p w14:paraId="0BB1D78B">
      <w:pPr>
        <w:spacing w:line="500" w:lineRule="exact"/>
        <w:ind w:firstLine="1120" w:firstLineChars="400"/>
        <w:rPr>
          <w:rFonts w:hint="eastAsia" w:ascii="仿宋" w:hAnsi="仿宋" w:eastAsia="仿宋" w:cs="仿宋"/>
          <w:sz w:val="28"/>
          <w:szCs w:val="28"/>
          <w:highlight w:val="none"/>
        </w:rPr>
      </w:pPr>
      <w:r>
        <w:rPr>
          <w:rFonts w:hint="eastAsia" w:ascii="仿宋" w:hAnsi="仿宋" w:eastAsia="仿宋" w:cs="仿宋"/>
          <w:sz w:val="28"/>
          <w:szCs w:val="28"/>
          <w:highlight w:val="none"/>
        </w:rPr>
        <w:t>签</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订</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地</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 xml:space="preserve">点： </w:t>
      </w:r>
    </w:p>
    <w:p w14:paraId="1C513ADF">
      <w:pPr>
        <w:spacing w:line="500" w:lineRule="exact"/>
        <w:ind w:firstLine="1120" w:firstLineChars="400"/>
        <w:rPr>
          <w:rFonts w:hint="eastAsia" w:ascii="仿宋" w:hAnsi="仿宋" w:eastAsia="仿宋" w:cs="仿宋"/>
          <w:color w:val="000000"/>
          <w:sz w:val="28"/>
          <w:szCs w:val="28"/>
          <w:highlight w:val="none"/>
        </w:rPr>
      </w:pPr>
      <w:r>
        <w:rPr>
          <w:rFonts w:hint="eastAsia" w:ascii="仿宋" w:hAnsi="仿宋" w:eastAsia="仿宋" w:cs="仿宋"/>
          <w:sz w:val="28"/>
          <w:szCs w:val="28"/>
          <w:highlight w:val="none"/>
        </w:rPr>
        <w:t>签</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订</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时</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间：</w:t>
      </w:r>
    </w:p>
    <w:p w14:paraId="078C9FFC">
      <w:pPr>
        <w:pStyle w:val="4"/>
        <w:rPr>
          <w:rFonts w:hint="eastAsia" w:ascii="仿宋" w:hAnsi="仿宋" w:eastAsia="仿宋" w:cs="仿宋"/>
          <w:highlight w:val="none"/>
        </w:rPr>
        <w:sectPr>
          <w:footerReference r:id="rId3" w:type="default"/>
          <w:pgSz w:w="11907" w:h="16840"/>
          <w:pgMar w:top="1418" w:right="1417" w:bottom="1417" w:left="1417" w:header="907" w:footer="654" w:gutter="0"/>
          <w:cols w:space="720" w:num="1"/>
          <w:titlePg/>
          <w:docGrid w:linePitch="312" w:charSpace="0"/>
        </w:sectPr>
      </w:pPr>
    </w:p>
    <w:p w14:paraId="0D2974D8">
      <w:pPr>
        <w:pStyle w:val="5"/>
        <w:keepNext w:val="0"/>
        <w:keepLines w:val="0"/>
        <w:pageBreakBefore w:val="0"/>
        <w:kinsoku/>
        <w:wordWrap/>
        <w:overflowPunct/>
        <w:topLinePunct w:val="0"/>
        <w:autoSpaceDE/>
        <w:autoSpaceDN/>
        <w:bidi w:val="0"/>
        <w:adjustRightInd w:val="0"/>
        <w:snapToGrid w:val="0"/>
        <w:spacing w:line="360" w:lineRule="auto"/>
        <w:ind w:firstLine="210"/>
        <w:jc w:val="center"/>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14:textFill>
            <w14:solidFill>
              <w14:schemeClr w14:val="tx1"/>
            </w14:solidFill>
          </w14:textFill>
        </w:rPr>
        <w:t>（本格式条款供双方签订合同参考，采购人可根据项目的实际情况增减条款和内容（实质性条款除外））</w:t>
      </w:r>
    </w:p>
    <w:p w14:paraId="4403A2C1">
      <w:pPr>
        <w:pStyle w:val="9"/>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根据《中华人民共和国政府采购法》及实施条例、《中华人民共和国民法典》和</w:t>
      </w:r>
      <w:r>
        <w:rPr>
          <w:rFonts w:hint="eastAsia" w:ascii="仿宋" w:hAnsi="仿宋" w:eastAsia="仿宋" w:cs="仿宋"/>
          <w:color w:val="000000"/>
          <w:sz w:val="24"/>
          <w:szCs w:val="24"/>
          <w:highlight w:val="none"/>
          <w:u w:val="single"/>
          <w:lang w:val="en-US" w:eastAsia="zh-CN"/>
        </w:rPr>
        <w:t>2026年“先语学堂”西安市网信研修班活动</w:t>
      </w:r>
      <w:r>
        <w:rPr>
          <w:rFonts w:hint="eastAsia" w:ascii="仿宋" w:hAnsi="仿宋" w:eastAsia="仿宋" w:cs="仿宋"/>
          <w:color w:val="000000"/>
          <w:sz w:val="24"/>
          <w:szCs w:val="24"/>
          <w:highlight w:val="none"/>
        </w:rPr>
        <w:t>（采购项目编号</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）的采购文件、响应文件等有关规定，为确保甲方采购项目的顺利实施，甲、乙双方在平等自愿原则下签订本合同，并共同遵守如下条款，其主要要求如下：</w:t>
      </w:r>
    </w:p>
    <w:p w14:paraId="467CAFFA">
      <w:pPr>
        <w:keepNext w:val="0"/>
        <w:keepLines w:val="0"/>
        <w:pageBreakBefore w:val="0"/>
        <w:kinsoku/>
        <w:wordWrap/>
        <w:overflowPunct/>
        <w:topLinePunct w:val="0"/>
        <w:autoSpaceDE/>
        <w:autoSpaceDN/>
        <w:bidi w:val="0"/>
        <w:adjustRightInd w:val="0"/>
        <w:snapToGrid w:val="0"/>
        <w:spacing w:line="360" w:lineRule="auto"/>
        <w:ind w:left="425"/>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第一条   合同标的及合同价</w:t>
      </w:r>
    </w:p>
    <w:p w14:paraId="6742859A">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1、合同标的及标的物</w:t>
      </w:r>
    </w:p>
    <w:p w14:paraId="11E972C8">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lang w:val="en-US" w:eastAsia="zh-CN"/>
        </w:rPr>
        <w:t>项目名称：</w:t>
      </w:r>
      <w:r>
        <w:rPr>
          <w:rFonts w:hint="eastAsia" w:ascii="仿宋" w:hAnsi="仿宋" w:eastAsia="仿宋" w:cs="仿宋"/>
          <w:color w:val="000000"/>
          <w:sz w:val="24"/>
          <w:szCs w:val="24"/>
          <w:highlight w:val="none"/>
          <w:u w:val="single"/>
          <w:lang w:val="en-US" w:eastAsia="zh-CN"/>
        </w:rPr>
        <w:t xml:space="preserve">               </w:t>
      </w:r>
    </w:p>
    <w:p w14:paraId="444C066A">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2、合同价</w:t>
      </w:r>
    </w:p>
    <w:p w14:paraId="5F717459">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人民币大写：</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none"/>
        </w:rPr>
        <w:t>，人民币小写：</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none"/>
        </w:rPr>
        <w:t>。</w:t>
      </w:r>
    </w:p>
    <w:p w14:paraId="7CC970C7">
      <w:pPr>
        <w:keepNext w:val="0"/>
        <w:keepLines w:val="0"/>
        <w:pageBreakBefore w:val="0"/>
        <w:numPr>
          <w:ilvl w:val="0"/>
          <w:numId w:val="1"/>
        </w:numPr>
        <w:kinsoku/>
        <w:wordWrap/>
        <w:overflowPunct/>
        <w:topLinePunct w:val="0"/>
        <w:autoSpaceDE/>
        <w:autoSpaceDN/>
        <w:bidi w:val="0"/>
        <w:adjustRightInd w:val="0"/>
        <w:snapToGrid w:val="0"/>
        <w:spacing w:line="360" w:lineRule="auto"/>
        <w:ind w:left="425"/>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 xml:space="preserve">  服务期限</w:t>
      </w:r>
    </w:p>
    <w:p w14:paraId="33AA7271">
      <w:pPr>
        <w:keepNext w:val="0"/>
        <w:keepLines w:val="0"/>
        <w:pageBreakBefore w:val="0"/>
        <w:kinsoku/>
        <w:wordWrap/>
        <w:overflowPunct/>
        <w:topLinePunct w:val="0"/>
        <w:autoSpaceDE/>
        <w:autoSpaceDN/>
        <w:bidi w:val="0"/>
        <w:adjustRightInd w:val="0"/>
        <w:snapToGrid w:val="0"/>
        <w:spacing w:line="360" w:lineRule="auto"/>
        <w:ind w:left="425"/>
        <w:rPr>
          <w:rFonts w:hint="eastAsia" w:ascii="仿宋" w:hAnsi="仿宋" w:eastAsia="仿宋" w:cs="仿宋"/>
          <w:b/>
          <w:color w:val="000000"/>
          <w:sz w:val="24"/>
          <w:szCs w:val="24"/>
          <w:highlight w:val="none"/>
        </w:rPr>
      </w:pPr>
      <w:bookmarkStart w:id="0" w:name="_Toc286993786"/>
      <w:bookmarkStart w:id="1" w:name="_Toc211854449"/>
      <w:bookmarkStart w:id="2" w:name="_Toc225244852"/>
      <w:bookmarkStart w:id="3" w:name="_Toc241833903"/>
      <w:bookmarkStart w:id="4" w:name="_Toc239568418"/>
      <w:bookmarkStart w:id="5" w:name="_Toc185395249"/>
      <w:bookmarkStart w:id="6" w:name="_Toc283019214"/>
      <w:bookmarkStart w:id="7" w:name="_Toc212019594"/>
      <w:bookmarkStart w:id="8" w:name="_Toc247334841"/>
      <w:bookmarkStart w:id="9" w:name="_Toc225670751"/>
      <w:bookmarkStart w:id="10" w:name="_Toc237145406"/>
      <w:bookmarkStart w:id="11" w:name="_Toc282696226"/>
      <w:bookmarkStart w:id="12" w:name="_Toc225654644"/>
      <w:bookmarkStart w:id="13" w:name="_Toc251768862"/>
      <w:bookmarkStart w:id="14" w:name="_Toc211911348"/>
      <w:bookmarkStart w:id="15" w:name="_Toc232492928"/>
      <w:bookmarkStart w:id="16" w:name="_Toc239233914"/>
      <w:bookmarkStart w:id="17" w:name="_Toc238984975"/>
      <w:r>
        <w:rPr>
          <w:rFonts w:hint="eastAsia" w:ascii="仿宋" w:hAnsi="仿宋" w:eastAsia="仿宋" w:cs="仿宋"/>
          <w:color w:val="000000"/>
          <w:sz w:val="24"/>
          <w:szCs w:val="24"/>
          <w:highlight w:val="none"/>
          <w:u w:val="single"/>
          <w:lang w:val="en-US" w:eastAsia="zh-CN"/>
        </w:rPr>
        <w:t xml:space="preserve">            </w:t>
      </w:r>
    </w:p>
    <w:p w14:paraId="44BFFBD2">
      <w:pPr>
        <w:keepNext w:val="0"/>
        <w:keepLines w:val="0"/>
        <w:pageBreakBefore w:val="0"/>
        <w:kinsoku/>
        <w:wordWrap/>
        <w:overflowPunct/>
        <w:topLinePunct w:val="0"/>
        <w:autoSpaceDE/>
        <w:autoSpaceDN/>
        <w:bidi w:val="0"/>
        <w:adjustRightInd w:val="0"/>
        <w:snapToGrid w:val="0"/>
        <w:spacing w:line="360" w:lineRule="auto"/>
        <w:ind w:left="425"/>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第三条   服务内容</w:t>
      </w:r>
    </w:p>
    <w:p w14:paraId="663C8C72">
      <w:pPr>
        <w:keepNext w:val="0"/>
        <w:keepLines w:val="0"/>
        <w:pageBreakBefore w:val="0"/>
        <w:kinsoku/>
        <w:wordWrap/>
        <w:overflowPunct/>
        <w:topLinePunct w:val="0"/>
        <w:autoSpaceDE/>
        <w:autoSpaceDN/>
        <w:bidi w:val="0"/>
        <w:adjustRightInd w:val="0"/>
        <w:snapToGrid w:val="0"/>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具体内容以磋商文件“第三章 磋商项目技术、服务、商务及其他要求”以及成交供应商“磋商响应文件”为准。</w:t>
      </w:r>
    </w:p>
    <w:p w14:paraId="7B2D676B">
      <w:pPr>
        <w:keepNext w:val="0"/>
        <w:keepLines w:val="0"/>
        <w:pageBreakBefore w:val="0"/>
        <w:kinsoku/>
        <w:wordWrap/>
        <w:overflowPunct/>
        <w:topLinePunct w:val="0"/>
        <w:autoSpaceDE/>
        <w:autoSpaceDN/>
        <w:bidi w:val="0"/>
        <w:adjustRightInd w:val="0"/>
        <w:snapToGrid w:val="0"/>
        <w:spacing w:line="360" w:lineRule="auto"/>
        <w:ind w:left="425"/>
        <w:rPr>
          <w:rFonts w:hint="eastAsia" w:ascii="仿宋" w:hAnsi="仿宋" w:eastAsia="仿宋" w:cs="仿宋"/>
          <w:b/>
          <w:sz w:val="24"/>
          <w:szCs w:val="24"/>
          <w:highlight w:val="none"/>
        </w:rPr>
      </w:pPr>
      <w:r>
        <w:rPr>
          <w:rFonts w:hint="eastAsia" w:ascii="仿宋" w:hAnsi="仿宋" w:eastAsia="仿宋" w:cs="仿宋"/>
          <w:b/>
          <w:sz w:val="24"/>
          <w:szCs w:val="24"/>
          <w:highlight w:val="none"/>
        </w:rPr>
        <w:t>第四条   付款方式和程序</w:t>
      </w:r>
    </w:p>
    <w:p w14:paraId="14137E7F">
      <w:pPr>
        <w:keepNext w:val="0"/>
        <w:keepLines w:val="0"/>
        <w:pageBreakBefore w:val="0"/>
        <w:tabs>
          <w:tab w:val="left" w:pos="669"/>
        </w:tabs>
        <w:kinsoku/>
        <w:wordWrap/>
        <w:overflowPunct/>
        <w:topLinePunct w:val="0"/>
        <w:autoSpaceDE/>
        <w:autoSpaceDN/>
        <w:bidi w:val="0"/>
        <w:adjustRightInd w:val="0"/>
        <w:snapToGrid w:val="0"/>
        <w:spacing w:line="360" w:lineRule="auto"/>
        <w:ind w:left="-426" w:firstLine="960" w:firstLineChars="400"/>
        <w:rPr>
          <w:rFonts w:hint="eastAsia" w:ascii="仿宋" w:hAnsi="仿宋" w:eastAsia="仿宋" w:cs="仿宋"/>
          <w:bCs/>
          <w:sz w:val="24"/>
          <w:szCs w:val="24"/>
          <w:highlight w:val="none"/>
        </w:rPr>
      </w:pPr>
      <w:r>
        <w:rPr>
          <w:rFonts w:hint="eastAsia" w:ascii="仿宋" w:hAnsi="仿宋" w:eastAsia="仿宋" w:cs="仿宋"/>
          <w:bCs/>
          <w:sz w:val="24"/>
          <w:szCs w:val="24"/>
          <w:highlight w:val="none"/>
        </w:rPr>
        <w:t>1、按下列比例支付价款：</w:t>
      </w:r>
    </w:p>
    <w:p w14:paraId="332888A7">
      <w:pPr>
        <w:keepNext w:val="0"/>
        <w:keepLines w:val="0"/>
        <w:pageBreakBefore w:val="0"/>
        <w:tabs>
          <w:tab w:val="left" w:pos="669"/>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t>合同签订之日起30个日历日，支付合同总价款的</w:t>
      </w:r>
      <w:r>
        <w:rPr>
          <w:rFonts w:hint="eastAsia" w:ascii="仿宋" w:hAnsi="仿宋" w:eastAsia="仿宋" w:cs="仿宋"/>
          <w:bCs/>
          <w:sz w:val="24"/>
          <w:szCs w:val="24"/>
          <w:highlight w:val="none"/>
          <w:lang w:val="en-US" w:eastAsia="zh-CN"/>
        </w:rPr>
        <w:t>5</w:t>
      </w:r>
      <w:r>
        <w:rPr>
          <w:rFonts w:hint="eastAsia" w:ascii="仿宋" w:hAnsi="仿宋" w:eastAsia="仿宋" w:cs="仿宋"/>
          <w:bCs/>
          <w:sz w:val="24"/>
          <w:szCs w:val="24"/>
          <w:highlight w:val="none"/>
          <w:lang w:eastAsia="zh-CN"/>
        </w:rPr>
        <w:t>0％</w:t>
      </w:r>
      <w:r>
        <w:rPr>
          <w:rFonts w:hint="eastAsia" w:ascii="仿宋" w:hAnsi="仿宋" w:eastAsia="仿宋" w:cs="仿宋"/>
          <w:bCs/>
          <w:sz w:val="24"/>
          <w:szCs w:val="24"/>
          <w:highlight w:val="none"/>
          <w:lang w:eastAsia="zh-CN"/>
        </w:rPr>
        <w:t>；项目验收合格之日起30个日历日，支付合同总价款的</w:t>
      </w:r>
      <w:r>
        <w:rPr>
          <w:rFonts w:hint="eastAsia" w:ascii="仿宋" w:hAnsi="仿宋" w:eastAsia="仿宋" w:cs="仿宋"/>
          <w:bCs/>
          <w:sz w:val="24"/>
          <w:szCs w:val="24"/>
          <w:highlight w:val="none"/>
          <w:lang w:val="en-US" w:eastAsia="zh-CN"/>
        </w:rPr>
        <w:t>5</w:t>
      </w:r>
      <w:r>
        <w:rPr>
          <w:rFonts w:hint="eastAsia" w:ascii="仿宋" w:hAnsi="仿宋" w:eastAsia="仿宋" w:cs="仿宋"/>
          <w:bCs/>
          <w:sz w:val="24"/>
          <w:szCs w:val="24"/>
          <w:highlight w:val="none"/>
          <w:lang w:eastAsia="zh-CN"/>
        </w:rPr>
        <w:t>0％</w:t>
      </w:r>
      <w:r>
        <w:rPr>
          <w:rFonts w:hint="eastAsia" w:ascii="仿宋" w:hAnsi="仿宋" w:eastAsia="仿宋" w:cs="仿宋"/>
          <w:bCs/>
          <w:sz w:val="24"/>
          <w:szCs w:val="24"/>
          <w:highlight w:val="none"/>
          <w:lang w:eastAsia="zh-CN"/>
        </w:rPr>
        <w:t>。</w:t>
      </w:r>
    </w:p>
    <w:p w14:paraId="0B342CC4">
      <w:pPr>
        <w:keepNext w:val="0"/>
        <w:keepLines w:val="0"/>
        <w:pageBreakBefore w:val="0"/>
        <w:tabs>
          <w:tab w:val="left" w:pos="669"/>
        </w:tabs>
        <w:kinsoku/>
        <w:wordWrap/>
        <w:overflowPunct/>
        <w:topLinePunct w:val="0"/>
        <w:autoSpaceDE/>
        <w:autoSpaceDN/>
        <w:bidi w:val="0"/>
        <w:adjustRightInd w:val="0"/>
        <w:snapToGrid w:val="0"/>
        <w:spacing w:line="360" w:lineRule="auto"/>
        <w:ind w:left="468" w:leftChars="223" w:firstLine="0" w:firstLineChars="0"/>
        <w:rPr>
          <w:rFonts w:hint="eastAsia" w:ascii="仿宋" w:hAnsi="仿宋" w:eastAsia="仿宋" w:cs="仿宋"/>
          <w:bCs/>
          <w:sz w:val="24"/>
          <w:szCs w:val="24"/>
          <w:highlight w:val="none"/>
        </w:rPr>
      </w:pPr>
      <w:r>
        <w:rPr>
          <w:rFonts w:hint="eastAsia" w:ascii="仿宋" w:hAnsi="仿宋" w:eastAsia="仿宋" w:cs="仿宋"/>
          <w:bCs/>
          <w:sz w:val="24"/>
          <w:szCs w:val="24"/>
          <w:highlight w:val="none"/>
        </w:rPr>
        <w:t>2、支付方式：银行转账。</w:t>
      </w:r>
    </w:p>
    <w:p w14:paraId="28F59C70">
      <w:pPr>
        <w:pStyle w:val="9"/>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bCs/>
          <w:sz w:val="24"/>
          <w:szCs w:val="24"/>
          <w:highlight w:val="none"/>
        </w:rPr>
      </w:pPr>
      <w:r>
        <w:rPr>
          <w:rFonts w:hint="eastAsia" w:ascii="仿宋" w:hAnsi="仿宋" w:eastAsia="仿宋" w:cs="仿宋"/>
          <w:sz w:val="24"/>
          <w:szCs w:val="24"/>
          <w:highlight w:val="none"/>
        </w:rPr>
        <w:t>3、结算方式：供应商持成交通知书、发票、合同</w:t>
      </w:r>
      <w:r>
        <w:rPr>
          <w:rFonts w:hint="eastAsia" w:ascii="仿宋" w:hAnsi="仿宋" w:eastAsia="仿宋" w:cs="仿宋"/>
          <w:sz w:val="24"/>
          <w:szCs w:val="24"/>
          <w:highlight w:val="none"/>
          <w:lang w:val="en-US" w:eastAsia="zh-CN"/>
        </w:rPr>
        <w:t>等</w:t>
      </w:r>
      <w:r>
        <w:rPr>
          <w:rFonts w:hint="eastAsia" w:ascii="仿宋" w:hAnsi="仿宋" w:eastAsia="仿宋" w:cs="仿宋"/>
          <w:sz w:val="24"/>
          <w:szCs w:val="24"/>
          <w:highlight w:val="none"/>
        </w:rPr>
        <w:t>，与采购人结算。</w:t>
      </w:r>
    </w:p>
    <w:p w14:paraId="344064A7">
      <w:pPr>
        <w:keepNext w:val="0"/>
        <w:keepLines w:val="0"/>
        <w:pageBreakBefore w:val="0"/>
        <w:kinsoku/>
        <w:wordWrap/>
        <w:overflowPunct/>
        <w:topLinePunct w:val="0"/>
        <w:autoSpaceDE/>
        <w:autoSpaceDN/>
        <w:bidi w:val="0"/>
        <w:adjustRightInd w:val="0"/>
        <w:snapToGrid w:val="0"/>
        <w:spacing w:line="360" w:lineRule="auto"/>
        <w:ind w:left="425"/>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第五条   知识产权（若有）</w:t>
      </w:r>
    </w:p>
    <w:p w14:paraId="014ABFB0">
      <w:pPr>
        <w:keepNext w:val="0"/>
        <w:keepLines w:val="0"/>
        <w:pageBreakBefore w:val="0"/>
        <w:tabs>
          <w:tab w:val="left" w:pos="144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乙方应保证所提供的服务或其任何一部分均不会侵犯任何第三方的专利权、商标权或著作权。</w:t>
      </w:r>
    </w:p>
    <w:p w14:paraId="2EDB222F">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第六条  无产权瑕疵条款（如有）</w:t>
      </w:r>
    </w:p>
    <w:p w14:paraId="7BCE7844">
      <w:pPr>
        <w:keepNext w:val="0"/>
        <w:keepLines w:val="0"/>
        <w:pageBreakBefore w:val="0"/>
        <w:tabs>
          <w:tab w:val="left" w:pos="144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乙方保证所提供的服务的所有权完全属于乙方且无任何抵押、查封等产权瑕疵。如有产权瑕疵的，视为乙方违约。乙方应负担由此而产生的一切损失。</w:t>
      </w:r>
    </w:p>
    <w:p w14:paraId="5C19F29D">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第七条   履约保证金</w:t>
      </w:r>
    </w:p>
    <w:p w14:paraId="7B67982C">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不需要提供履约保证金。</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0013F282">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第八条  甲方的权利和义务</w:t>
      </w:r>
    </w:p>
    <w:p w14:paraId="316074DD">
      <w:pPr>
        <w:keepNext w:val="0"/>
        <w:keepLines w:val="0"/>
        <w:pageBreakBefore w:val="0"/>
        <w:tabs>
          <w:tab w:val="left" w:pos="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3603A496">
      <w:pPr>
        <w:keepNext w:val="0"/>
        <w:keepLines w:val="0"/>
        <w:pageBreakBefore w:val="0"/>
        <w:tabs>
          <w:tab w:val="left" w:pos="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2、负责检查监督乙方管理工作的实施及制度的执行情况。</w:t>
      </w:r>
    </w:p>
    <w:p w14:paraId="0F65ADA3">
      <w:pPr>
        <w:keepNext w:val="0"/>
        <w:keepLines w:val="0"/>
        <w:pageBreakBefore w:val="0"/>
        <w:tabs>
          <w:tab w:val="left" w:pos="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3、根据本合同规定，按时向乙方支付应付服务费用。</w:t>
      </w:r>
    </w:p>
    <w:p w14:paraId="3BA3BC38">
      <w:pPr>
        <w:keepNext w:val="0"/>
        <w:keepLines w:val="0"/>
        <w:pageBreakBefore w:val="0"/>
        <w:tabs>
          <w:tab w:val="left" w:pos="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4、国家法律、法规所规定由甲方承担的其它责任。</w:t>
      </w:r>
    </w:p>
    <w:p w14:paraId="172115C2">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第九条  乙方的权利和义务</w:t>
      </w:r>
    </w:p>
    <w:p w14:paraId="0C840D96">
      <w:pPr>
        <w:keepNext w:val="0"/>
        <w:keepLines w:val="0"/>
        <w:pageBreakBefore w:val="0"/>
        <w:tabs>
          <w:tab w:val="left" w:pos="144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1、对本合同规定的委托服务范围内的项目享有管理权及服务义务。</w:t>
      </w:r>
    </w:p>
    <w:p w14:paraId="0EE4A63E">
      <w:pPr>
        <w:keepNext w:val="0"/>
        <w:keepLines w:val="0"/>
        <w:pageBreakBefore w:val="0"/>
        <w:tabs>
          <w:tab w:val="left" w:pos="144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2、根据本合同的规定向甲方收取相关服务费用，并有权在本项目管理范围内管理及合理使用。</w:t>
      </w:r>
    </w:p>
    <w:p w14:paraId="58471135">
      <w:pPr>
        <w:keepNext w:val="0"/>
        <w:keepLines w:val="0"/>
        <w:pageBreakBefore w:val="0"/>
        <w:tabs>
          <w:tab w:val="left" w:pos="144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3、及时向甲方通告本项目服务范围内有关服务的重大事项，及时配合处理投诉。</w:t>
      </w:r>
    </w:p>
    <w:p w14:paraId="3A2A0BA4">
      <w:pPr>
        <w:keepNext w:val="0"/>
        <w:keepLines w:val="0"/>
        <w:pageBreakBefore w:val="0"/>
        <w:tabs>
          <w:tab w:val="left" w:pos="144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4、接受项目行业管理部门及政府有关部门的指导，接受甲方的监督。</w:t>
      </w:r>
    </w:p>
    <w:p w14:paraId="468F4476">
      <w:pPr>
        <w:keepNext w:val="0"/>
        <w:keepLines w:val="0"/>
        <w:pageBreakBefore w:val="0"/>
        <w:tabs>
          <w:tab w:val="left" w:pos="144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5、国家法律、法规所规定由乙方承担的其它责任。</w:t>
      </w:r>
    </w:p>
    <w:p w14:paraId="5B5DD123">
      <w:pPr>
        <w:keepNext w:val="0"/>
        <w:keepLines w:val="0"/>
        <w:pageBreakBefore w:val="0"/>
        <w:kinsoku/>
        <w:wordWrap/>
        <w:overflowPunct/>
        <w:topLinePunct w:val="0"/>
        <w:autoSpaceDE/>
        <w:autoSpaceDN/>
        <w:bidi w:val="0"/>
        <w:adjustRightInd w:val="0"/>
        <w:snapToGrid w:val="0"/>
        <w:spacing w:line="360" w:lineRule="auto"/>
        <w:ind w:left="426" w:firstLine="0" w:firstLineChars="0"/>
        <w:rPr>
          <w:rFonts w:hint="eastAsia" w:ascii="仿宋" w:hAnsi="仿宋" w:eastAsia="仿宋" w:cs="仿宋"/>
          <w:b w:val="0"/>
          <w:color w:val="000000"/>
          <w:sz w:val="24"/>
          <w:szCs w:val="24"/>
          <w:highlight w:val="none"/>
          <w:lang w:val="en-US" w:eastAsia="zh-CN"/>
        </w:rPr>
      </w:pPr>
      <w:r>
        <w:rPr>
          <w:rFonts w:hint="eastAsia" w:ascii="仿宋" w:hAnsi="仿宋" w:eastAsia="仿宋" w:cs="仿宋"/>
          <w:b/>
          <w:color w:val="000000"/>
          <w:sz w:val="24"/>
          <w:szCs w:val="24"/>
          <w:highlight w:val="none"/>
        </w:rPr>
        <w:t xml:space="preserve">第十条  </w:t>
      </w:r>
      <w:r>
        <w:rPr>
          <w:rFonts w:hint="eastAsia" w:ascii="仿宋" w:hAnsi="仿宋" w:eastAsia="仿宋" w:cs="仿宋"/>
          <w:b/>
          <w:color w:val="000000"/>
          <w:sz w:val="24"/>
          <w:szCs w:val="24"/>
          <w:highlight w:val="none"/>
          <w:lang w:eastAsia="zh-CN"/>
        </w:rPr>
        <w:t>保密、泄密条款</w:t>
      </w:r>
    </w:p>
    <w:p w14:paraId="6E1D2831">
      <w:pPr>
        <w:keepNext w:val="0"/>
        <w:keepLines w:val="0"/>
        <w:pageBreakBefore w:val="0"/>
        <w:tabs>
          <w:tab w:val="left" w:pos="1440"/>
        </w:tabs>
        <w:kinsoku/>
        <w:wordWrap/>
        <w:overflowPunct/>
        <w:topLinePunct w:val="0"/>
        <w:autoSpaceDE/>
        <w:autoSpaceDN/>
        <w:bidi w:val="0"/>
        <w:adjustRightInd w:val="0"/>
        <w:snapToGrid w:val="0"/>
        <w:spacing w:line="360" w:lineRule="auto"/>
        <w:ind w:left="0" w:firstLine="480" w:firstLineChars="200"/>
        <w:rPr>
          <w:rFonts w:hint="eastAsia"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lang w:val="en-US" w:eastAsia="zh-CN"/>
        </w:rPr>
        <w:t>1、</w:t>
      </w:r>
      <w:r>
        <w:rPr>
          <w:rFonts w:hint="eastAsia" w:ascii="仿宋" w:hAnsi="仿宋" w:eastAsia="仿宋" w:cs="仿宋"/>
          <w:b w:val="0"/>
          <w:color w:val="000000"/>
          <w:sz w:val="24"/>
          <w:szCs w:val="24"/>
          <w:highlight w:val="none"/>
        </w:rPr>
        <w:t>双方应当对本</w:t>
      </w:r>
      <w:r>
        <w:rPr>
          <w:rFonts w:hint="eastAsia" w:ascii="仿宋" w:hAnsi="仿宋" w:eastAsia="仿宋" w:cs="仿宋"/>
          <w:b w:val="0"/>
          <w:color w:val="000000"/>
          <w:sz w:val="24"/>
          <w:szCs w:val="24"/>
          <w:highlight w:val="none"/>
          <w:lang w:eastAsia="zh-CN"/>
        </w:rPr>
        <w:t>合同</w:t>
      </w:r>
      <w:r>
        <w:rPr>
          <w:rFonts w:hint="eastAsia" w:ascii="仿宋" w:hAnsi="仿宋" w:eastAsia="仿宋" w:cs="仿宋"/>
          <w:b w:val="0"/>
          <w:color w:val="000000"/>
          <w:sz w:val="24"/>
          <w:szCs w:val="24"/>
          <w:highlight w:val="none"/>
        </w:rPr>
        <w:t>的内容、因履行本</w:t>
      </w:r>
      <w:r>
        <w:rPr>
          <w:rFonts w:hint="eastAsia" w:ascii="仿宋" w:hAnsi="仿宋" w:eastAsia="仿宋" w:cs="仿宋"/>
          <w:b w:val="0"/>
          <w:color w:val="000000"/>
          <w:sz w:val="24"/>
          <w:szCs w:val="24"/>
          <w:highlight w:val="none"/>
          <w:lang w:eastAsia="zh-CN"/>
        </w:rPr>
        <w:t>合同</w:t>
      </w:r>
      <w:r>
        <w:rPr>
          <w:rFonts w:hint="eastAsia" w:ascii="仿宋" w:hAnsi="仿宋" w:eastAsia="仿宋" w:cs="仿宋"/>
          <w:b w:val="0"/>
          <w:color w:val="000000"/>
          <w:sz w:val="24"/>
          <w:szCs w:val="24"/>
          <w:highlight w:val="none"/>
        </w:rPr>
        <w:t>或在本</w:t>
      </w:r>
      <w:r>
        <w:rPr>
          <w:rFonts w:hint="eastAsia" w:ascii="仿宋" w:hAnsi="仿宋" w:eastAsia="仿宋" w:cs="仿宋"/>
          <w:b w:val="0"/>
          <w:color w:val="000000"/>
          <w:sz w:val="24"/>
          <w:szCs w:val="24"/>
          <w:highlight w:val="none"/>
          <w:lang w:eastAsia="zh-CN"/>
        </w:rPr>
        <w:t>合同</w:t>
      </w:r>
      <w:r>
        <w:rPr>
          <w:rFonts w:hint="eastAsia" w:ascii="仿宋" w:hAnsi="仿宋" w:eastAsia="仿宋" w:cs="仿宋"/>
          <w:b w:val="0"/>
          <w:color w:val="000000"/>
          <w:sz w:val="24"/>
          <w:szCs w:val="24"/>
          <w:highlight w:val="none"/>
        </w:rPr>
        <w:t>期间获得的或收到的对方的商务等信息保守秘密，未经信息披露方书面事先同意，不得向本</w:t>
      </w:r>
      <w:r>
        <w:rPr>
          <w:rFonts w:hint="eastAsia" w:ascii="仿宋" w:hAnsi="仿宋" w:eastAsia="仿宋" w:cs="仿宋"/>
          <w:b w:val="0"/>
          <w:color w:val="000000"/>
          <w:sz w:val="24"/>
          <w:szCs w:val="24"/>
          <w:highlight w:val="none"/>
          <w:lang w:eastAsia="zh-CN"/>
        </w:rPr>
        <w:t>合同</w:t>
      </w:r>
      <w:r>
        <w:rPr>
          <w:rFonts w:hint="eastAsia" w:ascii="仿宋" w:hAnsi="仿宋" w:eastAsia="仿宋" w:cs="仿宋"/>
          <w:b w:val="0"/>
          <w:color w:val="000000"/>
          <w:sz w:val="24"/>
          <w:szCs w:val="24"/>
          <w:highlight w:val="none"/>
        </w:rPr>
        <w:t>以外的任何第三方披露。</w:t>
      </w:r>
    </w:p>
    <w:p w14:paraId="4F9FC0FD">
      <w:pPr>
        <w:keepNext w:val="0"/>
        <w:keepLines w:val="0"/>
        <w:pageBreakBefore w:val="0"/>
        <w:tabs>
          <w:tab w:val="left" w:pos="1440"/>
        </w:tabs>
        <w:kinsoku/>
        <w:wordWrap/>
        <w:overflowPunct/>
        <w:topLinePunct w:val="0"/>
        <w:autoSpaceDE/>
        <w:autoSpaceDN/>
        <w:bidi w:val="0"/>
        <w:adjustRightInd w:val="0"/>
        <w:snapToGrid w:val="0"/>
        <w:spacing w:line="360" w:lineRule="auto"/>
        <w:ind w:left="0" w:firstLine="480" w:firstLineChars="200"/>
        <w:rPr>
          <w:rFonts w:hint="eastAsia"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lang w:val="en-US" w:eastAsia="zh-CN"/>
        </w:rPr>
        <w:t>2、</w:t>
      </w:r>
      <w:r>
        <w:rPr>
          <w:rFonts w:hint="eastAsia" w:ascii="仿宋" w:hAnsi="仿宋" w:eastAsia="仿宋" w:cs="仿宋"/>
          <w:b w:val="0"/>
          <w:color w:val="000000"/>
          <w:sz w:val="24"/>
          <w:szCs w:val="24"/>
          <w:highlight w:val="none"/>
        </w:rPr>
        <w:t>除非得到另一方的书面许可，甲乙双方均不得将本合同中的内容及在本合同执行过程中获得的对方的商业信息向任何第三方泄露</w:t>
      </w:r>
      <w:r>
        <w:rPr>
          <w:rFonts w:hint="eastAsia" w:ascii="仿宋" w:hAnsi="仿宋" w:eastAsia="仿宋" w:cs="仿宋"/>
          <w:b w:val="0"/>
          <w:color w:val="000000"/>
          <w:sz w:val="24"/>
          <w:szCs w:val="24"/>
          <w:highlight w:val="none"/>
          <w:lang w:eastAsia="zh-CN"/>
        </w:rPr>
        <w:t>。</w:t>
      </w:r>
    </w:p>
    <w:p w14:paraId="7011A8D8">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第十</w:t>
      </w:r>
      <w:r>
        <w:rPr>
          <w:rFonts w:hint="eastAsia" w:ascii="仿宋" w:hAnsi="仿宋" w:eastAsia="仿宋" w:cs="仿宋"/>
          <w:b/>
          <w:color w:val="000000"/>
          <w:sz w:val="24"/>
          <w:szCs w:val="24"/>
          <w:highlight w:val="none"/>
          <w:lang w:eastAsia="zh-CN"/>
        </w:rPr>
        <w:t>一</w:t>
      </w:r>
      <w:r>
        <w:rPr>
          <w:rFonts w:hint="eastAsia" w:ascii="仿宋" w:hAnsi="仿宋" w:eastAsia="仿宋" w:cs="仿宋"/>
          <w:b/>
          <w:color w:val="000000"/>
          <w:sz w:val="24"/>
          <w:szCs w:val="24"/>
          <w:highlight w:val="none"/>
        </w:rPr>
        <w:t>条  违约责任</w:t>
      </w:r>
    </w:p>
    <w:p w14:paraId="62F8F561">
      <w:pPr>
        <w:keepNext w:val="0"/>
        <w:keepLines w:val="0"/>
        <w:pageBreakBefore w:val="0"/>
        <w:kinsoku/>
        <w:wordWrap/>
        <w:overflowPunct/>
        <w:topLinePunct w:val="0"/>
        <w:autoSpaceDE/>
        <w:autoSpaceDN/>
        <w:bidi w:val="0"/>
        <w:adjustRightInd w:val="0"/>
        <w:snapToGrid w:val="0"/>
        <w:spacing w:line="360" w:lineRule="auto"/>
        <w:ind w:firstLine="480" w:firstLineChars="200"/>
        <w:jc w:val="left"/>
        <w:textAlignment w:val="baseline"/>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1、甲乙双方必须遵守本合同并执行合同中的各项规定，保证本合同的正常履行。</w:t>
      </w:r>
    </w:p>
    <w:p w14:paraId="4266A7AB">
      <w:pPr>
        <w:keepNext w:val="0"/>
        <w:keepLines w:val="0"/>
        <w:pageBreakBefore w:val="0"/>
        <w:kinsoku/>
        <w:wordWrap/>
        <w:overflowPunct/>
        <w:topLinePunct w:val="0"/>
        <w:autoSpaceDE/>
        <w:autoSpaceDN/>
        <w:bidi w:val="0"/>
        <w:adjustRightInd w:val="0"/>
        <w:snapToGrid w:val="0"/>
        <w:spacing w:line="360" w:lineRule="auto"/>
        <w:ind w:firstLine="480" w:firstLineChars="200"/>
        <w:jc w:val="left"/>
        <w:textAlignment w:val="baseline"/>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290AAE3E">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第十</w:t>
      </w:r>
      <w:r>
        <w:rPr>
          <w:rFonts w:hint="eastAsia" w:ascii="仿宋" w:hAnsi="仿宋" w:eastAsia="仿宋" w:cs="仿宋"/>
          <w:b/>
          <w:color w:val="000000"/>
          <w:sz w:val="24"/>
          <w:szCs w:val="24"/>
          <w:highlight w:val="none"/>
          <w:lang w:eastAsia="zh-CN"/>
        </w:rPr>
        <w:t>二</w:t>
      </w:r>
      <w:r>
        <w:rPr>
          <w:rFonts w:hint="eastAsia" w:ascii="仿宋" w:hAnsi="仿宋" w:eastAsia="仿宋" w:cs="仿宋"/>
          <w:b/>
          <w:color w:val="000000"/>
          <w:sz w:val="24"/>
          <w:szCs w:val="24"/>
          <w:highlight w:val="none"/>
        </w:rPr>
        <w:t>条  不可抗力事件处理</w:t>
      </w:r>
    </w:p>
    <w:p w14:paraId="6C73A4F3">
      <w:pPr>
        <w:keepNext w:val="0"/>
        <w:keepLines w:val="0"/>
        <w:pageBreakBefore w:val="0"/>
        <w:tabs>
          <w:tab w:val="left" w:pos="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1、在合同有效期内，任何一方因不可抗力事件导致不能履行合同，则合同履行期可延长，其延长期与不可抗力影响期相同。</w:t>
      </w:r>
    </w:p>
    <w:p w14:paraId="4AB7701C">
      <w:pPr>
        <w:keepNext w:val="0"/>
        <w:keepLines w:val="0"/>
        <w:pageBreakBefore w:val="0"/>
        <w:tabs>
          <w:tab w:val="left" w:pos="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2、不可抗力事件发生后，应立即通知对方，并寄送有关权威机构出具的证明。</w:t>
      </w:r>
    </w:p>
    <w:p w14:paraId="39802307">
      <w:pPr>
        <w:keepNext w:val="0"/>
        <w:keepLines w:val="0"/>
        <w:pageBreakBefore w:val="0"/>
        <w:tabs>
          <w:tab w:val="left" w:pos="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3、不可抗力事件延续XX天以上，双方应通过友好协商，确定是否继续履行合同。</w:t>
      </w:r>
    </w:p>
    <w:p w14:paraId="2D7B3254">
      <w:pPr>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left"/>
        <w:rPr>
          <w:rFonts w:hint="eastAsia" w:ascii="仿宋" w:hAnsi="仿宋" w:eastAsia="仿宋" w:cs="仿宋"/>
          <w:color w:val="000000"/>
          <w:sz w:val="24"/>
          <w:szCs w:val="24"/>
          <w:highlight w:val="none"/>
        </w:rPr>
      </w:pPr>
      <w:bookmarkStart w:id="18" w:name="_Toc232492933"/>
      <w:bookmarkStart w:id="19" w:name="_Toc247334846"/>
      <w:bookmarkStart w:id="20" w:name="_Toc225670756"/>
      <w:bookmarkStart w:id="21" w:name="_Toc241833908"/>
      <w:bookmarkStart w:id="22" w:name="_Toc239568423"/>
      <w:bookmarkStart w:id="23" w:name="_Toc237145411"/>
      <w:bookmarkStart w:id="24" w:name="_Toc211854454"/>
      <w:bookmarkStart w:id="25" w:name="_Toc185395254"/>
      <w:bookmarkStart w:id="26" w:name="_Toc212019599"/>
      <w:bookmarkStart w:id="27" w:name="_Toc238984980"/>
      <w:bookmarkStart w:id="28" w:name="_Toc286993792"/>
      <w:bookmarkStart w:id="29" w:name="_Toc251768867"/>
      <w:bookmarkStart w:id="30" w:name="_Toc239233919"/>
      <w:bookmarkStart w:id="31" w:name="_Toc225654649"/>
      <w:bookmarkStart w:id="32" w:name="_Toc225244857"/>
      <w:bookmarkStart w:id="33" w:name="_Toc211911353"/>
      <w:r>
        <w:rPr>
          <w:rFonts w:hint="eastAsia" w:ascii="仿宋" w:hAnsi="仿宋" w:eastAsia="仿宋" w:cs="仿宋"/>
          <w:b/>
          <w:color w:val="000000"/>
          <w:sz w:val="24"/>
          <w:szCs w:val="24"/>
          <w:highlight w:val="none"/>
        </w:rPr>
        <w:t>第十</w:t>
      </w:r>
      <w:r>
        <w:rPr>
          <w:rFonts w:hint="eastAsia" w:ascii="仿宋" w:hAnsi="仿宋" w:eastAsia="仿宋" w:cs="仿宋"/>
          <w:b/>
          <w:color w:val="000000"/>
          <w:sz w:val="24"/>
          <w:szCs w:val="24"/>
          <w:highlight w:val="none"/>
          <w:lang w:eastAsia="zh-CN"/>
        </w:rPr>
        <w:t>三</w:t>
      </w:r>
      <w:r>
        <w:rPr>
          <w:rFonts w:hint="eastAsia" w:ascii="仿宋" w:hAnsi="仿宋" w:eastAsia="仿宋" w:cs="仿宋"/>
          <w:b/>
          <w:color w:val="000000"/>
          <w:sz w:val="24"/>
          <w:szCs w:val="24"/>
          <w:highlight w:val="none"/>
        </w:rPr>
        <w:t>条  合同的变更和终止</w:t>
      </w:r>
    </w:p>
    <w:p w14:paraId="7AFFE15B">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除《中华人民共和国政府采购法》第49条、第50条第二款规定的情形外，本合同一经签订，甲乙双方不得擅自变更、中止或终止合同。</w:t>
      </w:r>
    </w:p>
    <w:p w14:paraId="03676674">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第十</w:t>
      </w:r>
      <w:r>
        <w:rPr>
          <w:rFonts w:hint="eastAsia" w:ascii="仿宋" w:hAnsi="仿宋" w:eastAsia="仿宋" w:cs="仿宋"/>
          <w:b/>
          <w:color w:val="000000"/>
          <w:sz w:val="24"/>
          <w:szCs w:val="24"/>
          <w:highlight w:val="none"/>
          <w:lang w:eastAsia="zh-CN"/>
        </w:rPr>
        <w:t>四</w:t>
      </w:r>
      <w:r>
        <w:rPr>
          <w:rFonts w:hint="eastAsia" w:ascii="仿宋" w:hAnsi="仿宋" w:eastAsia="仿宋" w:cs="仿宋"/>
          <w:b/>
          <w:color w:val="000000"/>
          <w:sz w:val="24"/>
          <w:szCs w:val="24"/>
          <w:highlight w:val="none"/>
        </w:rPr>
        <w:t>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E05B866">
      <w:pPr>
        <w:pStyle w:val="9"/>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1、在执行本合同中发生的或与本合同有关的争端，双方应通过友好协商解决，经协商在</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天内不能达成协议时，则采取以下第</w:t>
      </w:r>
      <w:r>
        <w:rPr>
          <w:rFonts w:hint="eastAsia" w:ascii="仿宋" w:hAnsi="仿宋" w:eastAsia="仿宋" w:cs="仿宋"/>
          <w:color w:val="000000"/>
          <w:sz w:val="24"/>
          <w:szCs w:val="24"/>
          <w:highlight w:val="none"/>
          <w:u w:val="single"/>
        </w:rPr>
        <w:t>1</w:t>
      </w:r>
      <w:r>
        <w:rPr>
          <w:rFonts w:hint="eastAsia" w:ascii="仿宋" w:hAnsi="仿宋" w:eastAsia="仿宋" w:cs="仿宋"/>
          <w:color w:val="000000"/>
          <w:sz w:val="24"/>
          <w:szCs w:val="24"/>
          <w:highlight w:val="none"/>
        </w:rPr>
        <w:t>种方式解决争议：</w:t>
      </w:r>
    </w:p>
    <w:p w14:paraId="5385883E">
      <w:pPr>
        <w:pStyle w:val="9"/>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（1）向甲方所在地有管辖权的人民法院提起诉讼；</w:t>
      </w:r>
    </w:p>
    <w:p w14:paraId="41E14D85">
      <w:pPr>
        <w:pStyle w:val="9"/>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（2）向</w:t>
      </w:r>
      <w:r>
        <w:rPr>
          <w:rFonts w:hint="eastAsia" w:ascii="仿宋" w:hAnsi="仿宋" w:eastAsia="仿宋" w:cs="仿宋"/>
          <w:color w:val="000000"/>
          <w:sz w:val="24"/>
          <w:szCs w:val="24"/>
          <w:highlight w:val="none"/>
          <w:u w:val="single"/>
        </w:rPr>
        <w:t>西安</w:t>
      </w:r>
      <w:r>
        <w:rPr>
          <w:rFonts w:hint="eastAsia" w:ascii="仿宋" w:hAnsi="仿宋" w:eastAsia="仿宋" w:cs="仿宋"/>
          <w:color w:val="000000"/>
          <w:sz w:val="24"/>
          <w:szCs w:val="24"/>
          <w:highlight w:val="none"/>
        </w:rPr>
        <w:t>仲裁委员会按其仲裁规则申请仲裁。</w:t>
      </w:r>
    </w:p>
    <w:p w14:paraId="220342E8">
      <w:pPr>
        <w:keepNext w:val="0"/>
        <w:keepLines w:val="0"/>
        <w:pageBreakBefore w:val="0"/>
        <w:tabs>
          <w:tab w:val="left" w:pos="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2、在仲裁期间，本合同应继续履行。</w:t>
      </w:r>
    </w:p>
    <w:p w14:paraId="08DB6273">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b/>
          <w:color w:val="000000"/>
          <w:sz w:val="24"/>
          <w:szCs w:val="24"/>
          <w:highlight w:val="none"/>
        </w:rPr>
      </w:pPr>
      <w:bookmarkStart w:id="34" w:name="_Toc225244858"/>
      <w:bookmarkStart w:id="35" w:name="_Toc283019219"/>
      <w:bookmarkStart w:id="36" w:name="_Toc239568424"/>
      <w:bookmarkStart w:id="37" w:name="_Toc239233920"/>
      <w:bookmarkStart w:id="38" w:name="_Toc238984981"/>
      <w:bookmarkStart w:id="39" w:name="_Toc211911354"/>
      <w:bookmarkStart w:id="40" w:name="_Toc212019600"/>
      <w:bookmarkStart w:id="41" w:name="_Toc241833909"/>
      <w:bookmarkStart w:id="42" w:name="_Toc251768868"/>
      <w:bookmarkStart w:id="43" w:name="_Toc225654650"/>
      <w:bookmarkStart w:id="44" w:name="_Toc232492934"/>
      <w:bookmarkStart w:id="45" w:name="_Toc282696231"/>
      <w:bookmarkStart w:id="46" w:name="_Toc286993793"/>
      <w:bookmarkStart w:id="47" w:name="_Toc237145412"/>
      <w:bookmarkStart w:id="48" w:name="_Toc225670757"/>
      <w:bookmarkStart w:id="49" w:name="_Toc185395255"/>
      <w:bookmarkStart w:id="50" w:name="_Toc211854455"/>
      <w:bookmarkStart w:id="51" w:name="_Toc247334847"/>
      <w:r>
        <w:rPr>
          <w:rFonts w:hint="eastAsia" w:ascii="仿宋" w:hAnsi="仿宋" w:eastAsia="仿宋" w:cs="仿宋"/>
          <w:b/>
          <w:color w:val="000000"/>
          <w:sz w:val="24"/>
          <w:szCs w:val="24"/>
          <w:highlight w:val="none"/>
        </w:rPr>
        <w:t>第十</w:t>
      </w:r>
      <w:r>
        <w:rPr>
          <w:rFonts w:hint="eastAsia" w:ascii="仿宋" w:hAnsi="仿宋" w:eastAsia="仿宋" w:cs="仿宋"/>
          <w:b/>
          <w:color w:val="000000"/>
          <w:sz w:val="24"/>
          <w:szCs w:val="24"/>
          <w:highlight w:val="none"/>
          <w:lang w:eastAsia="zh-CN"/>
        </w:rPr>
        <w:t>五</w:t>
      </w:r>
      <w:r>
        <w:rPr>
          <w:rFonts w:hint="eastAsia" w:ascii="仿宋" w:hAnsi="仿宋" w:eastAsia="仿宋" w:cs="仿宋"/>
          <w:b/>
          <w:color w:val="000000"/>
          <w:sz w:val="24"/>
          <w:szCs w:val="24"/>
          <w:highlight w:val="none"/>
        </w:rPr>
        <w:t>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仿宋" w:hAnsi="仿宋" w:eastAsia="仿宋" w:cs="仿宋"/>
          <w:b/>
          <w:color w:val="000000"/>
          <w:sz w:val="24"/>
          <w:szCs w:val="24"/>
          <w:highlight w:val="none"/>
        </w:rPr>
        <w:t>生效及其他</w:t>
      </w:r>
    </w:p>
    <w:p w14:paraId="7C3A519A">
      <w:pPr>
        <w:pStyle w:val="10"/>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1、合同经双方法定代表人（单位负责人）或授权委托代理人签字并加盖单位公章后生效。</w:t>
      </w:r>
    </w:p>
    <w:p w14:paraId="7DA7107C">
      <w:pPr>
        <w:pStyle w:val="10"/>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2、合同执行中涉及采购资金和采购内容修改或补充的，须经政府采购监管部门审批，并签书面补充协议报政府采购监督管理部门备案，方可作为主合同不可分割的一部分。</w:t>
      </w:r>
    </w:p>
    <w:p w14:paraId="5F5A9FBE">
      <w:pPr>
        <w:pStyle w:val="10"/>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3、本合同一式陆份，自双方签章之日起</w:t>
      </w:r>
      <w:r>
        <w:rPr>
          <w:rFonts w:hint="eastAsia" w:ascii="仿宋" w:hAnsi="仿宋" w:eastAsia="仿宋" w:cs="仿宋"/>
          <w:color w:val="000000"/>
          <w:sz w:val="24"/>
          <w:szCs w:val="24"/>
          <w:highlight w:val="none"/>
          <w:lang w:val="en-US" w:eastAsia="zh-CN"/>
        </w:rPr>
        <w:t>生</w:t>
      </w:r>
      <w:r>
        <w:rPr>
          <w:rFonts w:hint="eastAsia" w:ascii="仿宋" w:hAnsi="仿宋" w:eastAsia="仿宋" w:cs="仿宋"/>
          <w:color w:val="000000"/>
          <w:sz w:val="24"/>
          <w:szCs w:val="24"/>
          <w:highlight w:val="none"/>
        </w:rPr>
        <w:t>效。甲方</w:t>
      </w:r>
      <w:r>
        <w:rPr>
          <w:rFonts w:hint="eastAsia" w:ascii="仿宋" w:hAnsi="仿宋" w:eastAsia="仿宋" w:cs="仿宋"/>
          <w:color w:val="000000"/>
          <w:sz w:val="24"/>
          <w:szCs w:val="24"/>
          <w:highlight w:val="none"/>
          <w:lang w:val="en-US" w:eastAsia="zh-CN"/>
        </w:rPr>
        <w:t>叁</w:t>
      </w:r>
      <w:r>
        <w:rPr>
          <w:rFonts w:hint="eastAsia" w:ascii="仿宋" w:hAnsi="仿宋" w:eastAsia="仿宋" w:cs="仿宋"/>
          <w:color w:val="000000"/>
          <w:sz w:val="24"/>
          <w:szCs w:val="24"/>
          <w:highlight w:val="none"/>
        </w:rPr>
        <w:t>份，乙方贰份，同级财政部门备案壹份，具有同等法律效力。</w:t>
      </w:r>
    </w:p>
    <w:p w14:paraId="2079E38A">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第十</w:t>
      </w:r>
      <w:r>
        <w:rPr>
          <w:rFonts w:hint="eastAsia" w:ascii="仿宋" w:hAnsi="仿宋" w:eastAsia="仿宋" w:cs="仿宋"/>
          <w:b/>
          <w:color w:val="000000"/>
          <w:sz w:val="24"/>
          <w:szCs w:val="24"/>
          <w:highlight w:val="none"/>
          <w:lang w:eastAsia="zh-CN"/>
        </w:rPr>
        <w:t>六</w:t>
      </w:r>
      <w:r>
        <w:rPr>
          <w:rFonts w:hint="eastAsia" w:ascii="仿宋" w:hAnsi="仿宋" w:eastAsia="仿宋" w:cs="仿宋"/>
          <w:b/>
          <w:color w:val="000000"/>
          <w:sz w:val="24"/>
          <w:szCs w:val="24"/>
          <w:highlight w:val="none"/>
        </w:rPr>
        <w:t>条  附件</w:t>
      </w:r>
    </w:p>
    <w:p w14:paraId="2AD5FBFE">
      <w:pPr>
        <w:pStyle w:val="10"/>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r>
        <w:rPr>
          <w:rFonts w:hint="eastAsia" w:ascii="仿宋" w:hAnsi="仿宋" w:eastAsia="仿宋" w:cs="仿宋"/>
          <w:color w:val="000000"/>
          <w:sz w:val="24"/>
          <w:szCs w:val="24"/>
          <w:highlight w:val="none"/>
          <w:lang w:val="en-US" w:eastAsia="zh-CN"/>
        </w:rPr>
        <w:t>竞争性磋商</w:t>
      </w:r>
      <w:r>
        <w:rPr>
          <w:rFonts w:hint="eastAsia" w:ascii="仿宋" w:hAnsi="仿宋" w:eastAsia="仿宋" w:cs="仿宋"/>
          <w:color w:val="000000"/>
          <w:sz w:val="24"/>
          <w:szCs w:val="24"/>
          <w:highlight w:val="none"/>
        </w:rPr>
        <w:t>文件</w:t>
      </w:r>
    </w:p>
    <w:p w14:paraId="7D5428DA">
      <w:pPr>
        <w:pStyle w:val="10"/>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2、澄清文件</w:t>
      </w:r>
    </w:p>
    <w:p w14:paraId="5C3DCA88">
      <w:pPr>
        <w:pStyle w:val="10"/>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3、响应文件</w:t>
      </w:r>
    </w:p>
    <w:p w14:paraId="5C1EB4D8">
      <w:pPr>
        <w:pStyle w:val="10"/>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4、成交通知书</w:t>
      </w:r>
    </w:p>
    <w:p w14:paraId="2595DD22">
      <w:pPr>
        <w:pStyle w:val="10"/>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5、其他</w:t>
      </w:r>
    </w:p>
    <w:p w14:paraId="57C607E7">
      <w:pP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br w:type="page"/>
      </w:r>
    </w:p>
    <w:p w14:paraId="42D43928">
      <w:pPr>
        <w:pStyle w:val="10"/>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p>
    <w:tbl>
      <w:tblPr>
        <w:tblStyle w:val="7"/>
        <w:tblW w:w="847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54"/>
        <w:gridCol w:w="3825"/>
      </w:tblGrid>
      <w:tr w14:paraId="70F79B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4" w:hRule="atLeast"/>
        </w:trPr>
        <w:tc>
          <w:tcPr>
            <w:tcW w:w="4654" w:type="dxa"/>
            <w:vAlign w:val="center"/>
          </w:tcPr>
          <w:p w14:paraId="49D23145">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 xml:space="preserve">甲方：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 （盖章）</w:t>
            </w:r>
          </w:p>
        </w:tc>
        <w:tc>
          <w:tcPr>
            <w:tcW w:w="3825" w:type="dxa"/>
            <w:vAlign w:val="center"/>
          </w:tcPr>
          <w:p w14:paraId="3E3DA15C">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 xml:space="preserve">乙方：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  （盖章）</w:t>
            </w:r>
          </w:p>
        </w:tc>
      </w:tr>
      <w:tr w14:paraId="652018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4654" w:type="dxa"/>
            <w:vAlign w:val="center"/>
          </w:tcPr>
          <w:p w14:paraId="1F40DB77">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法定代表人（单位负责人）（授权代表）：</w:t>
            </w:r>
          </w:p>
        </w:tc>
        <w:tc>
          <w:tcPr>
            <w:tcW w:w="3825" w:type="dxa"/>
            <w:vAlign w:val="center"/>
          </w:tcPr>
          <w:p w14:paraId="22059469">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法定代表人（授权代表）：</w:t>
            </w:r>
          </w:p>
        </w:tc>
      </w:tr>
      <w:tr w14:paraId="344A94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4" w:hRule="atLeast"/>
        </w:trPr>
        <w:tc>
          <w:tcPr>
            <w:tcW w:w="4654" w:type="dxa"/>
            <w:vAlign w:val="center"/>
          </w:tcPr>
          <w:p w14:paraId="7CBB4DD6">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地    址：</w:t>
            </w:r>
          </w:p>
        </w:tc>
        <w:tc>
          <w:tcPr>
            <w:tcW w:w="3825" w:type="dxa"/>
            <w:vAlign w:val="center"/>
          </w:tcPr>
          <w:p w14:paraId="6DC6B427">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地    址：</w:t>
            </w:r>
          </w:p>
        </w:tc>
      </w:tr>
      <w:tr w14:paraId="32641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4" w:hRule="atLeast"/>
        </w:trPr>
        <w:tc>
          <w:tcPr>
            <w:tcW w:w="4654" w:type="dxa"/>
            <w:vAlign w:val="center"/>
          </w:tcPr>
          <w:p w14:paraId="303C09D3">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开户银行：</w:t>
            </w:r>
          </w:p>
        </w:tc>
        <w:tc>
          <w:tcPr>
            <w:tcW w:w="3825" w:type="dxa"/>
            <w:vAlign w:val="center"/>
          </w:tcPr>
          <w:p w14:paraId="38473EF8">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开户银行：</w:t>
            </w:r>
          </w:p>
        </w:tc>
      </w:tr>
      <w:tr w14:paraId="2A54A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4" w:hRule="atLeast"/>
        </w:trPr>
        <w:tc>
          <w:tcPr>
            <w:tcW w:w="4654" w:type="dxa"/>
            <w:vAlign w:val="center"/>
          </w:tcPr>
          <w:p w14:paraId="70EAE486">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账</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号：</w:t>
            </w:r>
          </w:p>
        </w:tc>
        <w:tc>
          <w:tcPr>
            <w:tcW w:w="3825" w:type="dxa"/>
            <w:vAlign w:val="center"/>
          </w:tcPr>
          <w:p w14:paraId="2608A711">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账</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号：</w:t>
            </w:r>
          </w:p>
        </w:tc>
      </w:tr>
      <w:tr w14:paraId="4F60A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4" w:hRule="atLeast"/>
        </w:trPr>
        <w:tc>
          <w:tcPr>
            <w:tcW w:w="4654" w:type="dxa"/>
            <w:vAlign w:val="center"/>
          </w:tcPr>
          <w:p w14:paraId="392B784D">
            <w:pPr>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    话：</w:t>
            </w:r>
          </w:p>
        </w:tc>
        <w:tc>
          <w:tcPr>
            <w:tcW w:w="3825" w:type="dxa"/>
            <w:vAlign w:val="center"/>
          </w:tcPr>
          <w:p w14:paraId="2BBD2E64">
            <w:pPr>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    话：</w:t>
            </w:r>
          </w:p>
        </w:tc>
      </w:tr>
      <w:tr w14:paraId="5F7BF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4" w:hRule="atLeast"/>
        </w:trPr>
        <w:tc>
          <w:tcPr>
            <w:tcW w:w="4654" w:type="dxa"/>
            <w:vAlign w:val="center"/>
          </w:tcPr>
          <w:p w14:paraId="3C522BE2">
            <w:pPr>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传    真：</w:t>
            </w:r>
          </w:p>
        </w:tc>
        <w:tc>
          <w:tcPr>
            <w:tcW w:w="3825" w:type="dxa"/>
            <w:vAlign w:val="center"/>
          </w:tcPr>
          <w:p w14:paraId="10C414B8">
            <w:pPr>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传    真：</w:t>
            </w:r>
          </w:p>
        </w:tc>
      </w:tr>
      <w:tr w14:paraId="7AD1E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5" w:hRule="atLeast"/>
        </w:trPr>
        <w:tc>
          <w:tcPr>
            <w:tcW w:w="4654" w:type="dxa"/>
            <w:vAlign w:val="center"/>
          </w:tcPr>
          <w:p w14:paraId="7B5D16E2">
            <w:pPr>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签订</w:t>
            </w:r>
            <w:r>
              <w:rPr>
                <w:rFonts w:hint="eastAsia" w:ascii="仿宋" w:hAnsi="仿宋" w:eastAsia="仿宋" w:cs="仿宋"/>
                <w:color w:val="000000"/>
                <w:sz w:val="24"/>
                <w:szCs w:val="24"/>
                <w:highlight w:val="none"/>
              </w:rPr>
              <w:t>日期：  年   月  日</w:t>
            </w:r>
          </w:p>
        </w:tc>
        <w:tc>
          <w:tcPr>
            <w:tcW w:w="3825" w:type="dxa"/>
            <w:vAlign w:val="center"/>
          </w:tcPr>
          <w:p w14:paraId="6F336640">
            <w:pPr>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签订</w:t>
            </w:r>
            <w:r>
              <w:rPr>
                <w:rFonts w:hint="eastAsia" w:ascii="仿宋" w:hAnsi="仿宋" w:eastAsia="仿宋" w:cs="仿宋"/>
                <w:color w:val="000000"/>
                <w:sz w:val="24"/>
                <w:szCs w:val="24"/>
                <w:highlight w:val="none"/>
              </w:rPr>
              <w:t>日期：  年   月  日</w:t>
            </w:r>
          </w:p>
        </w:tc>
      </w:tr>
    </w:tbl>
    <w:p w14:paraId="68C50DC9">
      <w:pPr>
        <w:pStyle w:val="11"/>
        <w:bidi w:val="0"/>
        <w:spacing w:line="300" w:lineRule="auto"/>
        <w:rPr>
          <w:rFonts w:hint="eastAsia" w:ascii="仿宋" w:hAnsi="仿宋" w:eastAsia="仿宋" w:cs="仿宋"/>
          <w:highlight w:val="none"/>
          <w:lang w:val="en-US" w:eastAsia="zh-Hans"/>
        </w:rPr>
      </w:pPr>
    </w:p>
    <w:p w14:paraId="18DCE6CD">
      <w:pPr>
        <w:rPr>
          <w:highlight w:val="none"/>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70543">
    <w:pPr>
      <w:pStyle w:val="3"/>
      <w:tabs>
        <w:tab w:val="right" w:pos="8925"/>
        <w:tab w:val="clear" w:pos="8306"/>
      </w:tabs>
      <w:ind w:right="4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BED57F">
                          <w:pPr>
                            <w:pStyle w:val="3"/>
                          </w:pPr>
                          <w:r>
                            <w:t xml:space="preserve">第 </w:t>
                          </w:r>
                          <w:r>
                            <w:fldChar w:fldCharType="begin"/>
                          </w:r>
                          <w:r>
                            <w:instrText xml:space="preserve"> PAGE  \* MERGEFORMAT </w:instrText>
                          </w:r>
                          <w:r>
                            <w:fldChar w:fldCharType="separate"/>
                          </w:r>
                          <w:r>
                            <w:t>60</w:t>
                          </w:r>
                          <w:r>
                            <w:fldChar w:fldCharType="end"/>
                          </w:r>
                          <w:r>
                            <w:t xml:space="preserve"> 页 共 </w:t>
                          </w:r>
                          <w:r>
                            <w:fldChar w:fldCharType="begin"/>
                          </w:r>
                          <w:r>
                            <w:instrText xml:space="preserve"> NUMPAGES  \* MERGEFORMAT </w:instrText>
                          </w:r>
                          <w:r>
                            <w:fldChar w:fldCharType="separate"/>
                          </w:r>
                          <w:r>
                            <w:t>76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6BBED57F">
                    <w:pPr>
                      <w:pStyle w:val="3"/>
                    </w:pPr>
                    <w:r>
                      <w:t xml:space="preserve">第 </w:t>
                    </w:r>
                    <w:r>
                      <w:fldChar w:fldCharType="begin"/>
                    </w:r>
                    <w:r>
                      <w:instrText xml:space="preserve"> PAGE  \* MERGEFORMAT </w:instrText>
                    </w:r>
                    <w:r>
                      <w:fldChar w:fldCharType="separate"/>
                    </w:r>
                    <w:r>
                      <w:t>60</w:t>
                    </w:r>
                    <w:r>
                      <w:fldChar w:fldCharType="end"/>
                    </w:r>
                    <w:r>
                      <w:t xml:space="preserve"> 页 共 </w:t>
                    </w:r>
                    <w:r>
                      <w:fldChar w:fldCharType="begin"/>
                    </w:r>
                    <w:r>
                      <w:instrText xml:space="preserve"> NUMPAGES  \* MERGEFORMAT </w:instrText>
                    </w:r>
                    <w:r>
                      <w:fldChar w:fldCharType="separate"/>
                    </w:r>
                    <w:r>
                      <w:t>76</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EF262E"/>
    <w:multiLevelType w:val="singleLevel"/>
    <w:tmpl w:val="FDEF262E"/>
    <w:lvl w:ilvl="0" w:tentative="0">
      <w:start w:val="2"/>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5182C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宋体" w:hAnsi="宋体" w:eastAsia="宋体" w:cs="宋体"/>
      <w:sz w:val="20"/>
      <w:szCs w:val="20"/>
      <w:lang w:val="en-US" w:eastAsia="en-US" w:bidi="ar-SA"/>
    </w:rPr>
  </w:style>
  <w:style w:type="paragraph" w:styleId="3">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4">
    <w:name w:val="toc 1"/>
    <w:basedOn w:val="1"/>
    <w:next w:val="1"/>
    <w:qFormat/>
    <w:uiPriority w:val="39"/>
  </w:style>
  <w:style w:type="paragraph" w:styleId="5">
    <w:name w:val="Body Text First Indent"/>
    <w:basedOn w:val="2"/>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样式 首行缩进:  2 字符"/>
    <w:basedOn w:val="1"/>
    <w:qFormat/>
    <w:uiPriority w:val="0"/>
    <w:pPr>
      <w:spacing w:line="400" w:lineRule="exact"/>
      <w:ind w:firstLine="200" w:firstLineChars="200"/>
    </w:pPr>
    <w:rPr>
      <w:rFonts w:cs="宋体"/>
      <w:sz w:val="24"/>
    </w:rPr>
  </w:style>
  <w:style w:type="paragraph" w:styleId="10">
    <w:name w:val="List Paragraph"/>
    <w:basedOn w:val="1"/>
    <w:qFormat/>
    <w:uiPriority w:val="99"/>
    <w:pPr>
      <w:ind w:firstLine="420" w:firstLineChars="200"/>
    </w:p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2026-05-19T03:27:24Z</dcterms:created>
  <dc:creator>Administrator</dc:creator>
  <cp:lastModifiedBy>陕西笃信招标有限公司</cp:lastModifiedBy>
  <dcterms:modified xsi:type="dcterms:W3CDTF">2026-05-19T03:27:30Z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D15EE68857564591AA615F237458D7AF_12</vt:lpwstr>
  </property>
</Properties>
</file>