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8F90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商务条款响应偏差表</w:t>
      </w:r>
    </w:p>
    <w:p w14:paraId="16793E8E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7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24EC09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5E9C704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1E000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5FD147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5342E9C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751E50A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57DC91D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4B4ED7D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FDA88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187E4B5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F91D39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C9A8E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48155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4CE92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354BD8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99E223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49BE23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F66D3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F73C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6DD7467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1B123B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650231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8F288F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3B1B1A9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144D6B2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2A2E2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629BCC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36430E9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614884D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3917F21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0F673E0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1DE5A0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613B71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E65CDE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570D5EC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8F4848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6B501C8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537F860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0DD6B0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D1F00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1AA5CA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E2495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07FDB9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73A947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506B538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3EDC21E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5933F80C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14222B8F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770735CB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77575B82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E7440DC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03E51A0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FAB495F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24F698FA">
      <w:pPr>
        <w:bidi w:val="0"/>
        <w:spacing w:line="30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</w:p>
    <w:p w14:paraId="0E20F1A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A13BC"/>
    <w:rsid w:val="42205A95"/>
    <w:rsid w:val="4AA8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7CF3322C15B047449E5F1433FB42BF09_13</vt:lpwstr>
  </property>
</Properties>
</file>