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D289C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0"/>
          <w:rFonts w:hint="eastAsia" w:ascii="仿宋" w:hAnsi="仿宋" w:eastAsia="仿宋" w:cs="仿宋"/>
          <w:szCs w:val="21"/>
          <w:highlight w:val="none"/>
        </w:rPr>
      </w:pPr>
      <w:r>
        <w:rPr>
          <w:rStyle w:val="10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E7DA6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0C34BAF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16D4F96E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5D8BA9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7BD7B83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79FBA118">
      <w:pPr>
        <w:rPr>
          <w:rFonts w:hint="eastAsia" w:ascii="仿宋" w:hAnsi="仿宋" w:eastAsia="仿宋" w:cs="仿宋"/>
          <w:highlight w:val="none"/>
        </w:rPr>
      </w:pPr>
    </w:p>
    <w:p w14:paraId="217584CF">
      <w:pPr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C3FE4"/>
    <w:rsid w:val="42205A95"/>
    <w:rsid w:val="77BA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AAE984DF5E9948B3A39BDBA2B656E83F_13</vt:lpwstr>
  </property>
</Properties>
</file>