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351A9D">
      <w:pPr>
        <w:jc w:val="center"/>
        <w:rPr>
          <w:rFonts w:ascii="仿宋" w:hAnsi="仿宋" w:eastAsia="仿宋" w:cs="Times New Roman"/>
          <w:b/>
          <w:color w:val="auto"/>
          <w:sz w:val="32"/>
          <w:szCs w:val="32"/>
        </w:rPr>
      </w:pPr>
      <w:r>
        <w:rPr>
          <w:rFonts w:hint="eastAsia" w:ascii="仿宋" w:hAnsi="仿宋" w:eastAsia="仿宋" w:cs="Times New Roman"/>
          <w:b/>
          <w:color w:val="auto"/>
          <w:sz w:val="32"/>
          <w:szCs w:val="32"/>
          <w:lang w:val="en-US" w:eastAsia="zh-CN"/>
        </w:rPr>
        <w:t>磋商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52CB259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b/>
          <w:bCs w:val="0"/>
          <w:sz w:val="28"/>
          <w:szCs w:val="28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一、项目概况</w:t>
      </w:r>
    </w:p>
    <w:p w14:paraId="6FC910ED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本项目为陕西省神木市看守所、拘留所被监管人员食堂保障采购项目，服务范围包含看守所在押人员食堂、拘留所被拘留人员食堂专属餐饮保障服务，不含干警食堂，用餐人数：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看守所500人左右，拘留所120人左右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项目严格遵循《看守所执法细则》《拘留所执法细则》《食品安全法》《监狱、看守所、拘留所食品安全管理规范》等法律法规及公安监管场所管理规定，实行封闭式、标准化、规范化餐饮运营管理，保障被监管人员饮食安全、卫生、合规、足量，满足监管场所安全稳定运行要求。</w:t>
      </w:r>
    </w:p>
    <w:p w14:paraId="01AC2A0D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二、服务范围及内容</w:t>
      </w:r>
    </w:p>
    <w:p w14:paraId="5C77784C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（一）</w:t>
      </w:r>
      <w:r>
        <w:rPr>
          <w:rFonts w:hint="eastAsia" w:ascii="仿宋" w:hAnsi="仿宋" w:eastAsia="仿宋" w:cs="仿宋"/>
          <w:sz w:val="28"/>
          <w:szCs w:val="28"/>
        </w:rPr>
        <w:t>服务形式</w:t>
      </w:r>
    </w:p>
    <w:p w14:paraId="49308B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供应商根据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被监管人员</w:t>
      </w:r>
      <w:r>
        <w:rPr>
          <w:rFonts w:hint="eastAsia" w:ascii="仿宋" w:hAnsi="仿宋" w:eastAsia="仿宋" w:cs="仿宋"/>
          <w:sz w:val="28"/>
          <w:szCs w:val="28"/>
        </w:rPr>
        <w:t>实际就餐需求，委派合格厨师、面点师、帮厨等餐饮服务人员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食品加工制作、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分餐配送</w:t>
      </w:r>
      <w:r>
        <w:rPr>
          <w:rFonts w:hint="eastAsia" w:ascii="仿宋" w:hAnsi="仿宋" w:eastAsia="仿宋" w:cs="仿宋"/>
          <w:sz w:val="28"/>
          <w:szCs w:val="28"/>
        </w:rPr>
        <w:t>、厨房卫生清洁、食品安全管理等工作。供应商负责所派人员的招聘、培训、工资发放、社保缴纳、劳动纠纷处理等全部人事管理事务。</w:t>
      </w:r>
    </w:p>
    <w:p w14:paraId="51880FE3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供餐保障范围</w:t>
      </w:r>
    </w:p>
    <w:p w14:paraId="3D3D190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严格按照公安监管场所伙食标准、每日食谱，为在押人员、被拘留人员提供一日三餐常态化供餐服务，按需保障节假日、特殊天气、临时加餐需求：</w:t>
      </w:r>
    </w:p>
    <w:p w14:paraId="479DE01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餐食标准：严格执行公安监管统一伙食定额标准，分量充足、荤素均衡、熟制彻底、口味适中，杜绝生冷、夹生、变质饭菜。</w:t>
      </w:r>
    </w:p>
    <w:p w14:paraId="6297E25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分餐配送：实行后厨封闭式制作，专人专属配送至监区就餐点，全程闭环无接触，严格遵守监所管理规定，杜绝违规接触。</w:t>
      </w:r>
    </w:p>
    <w:p w14:paraId="3EE3363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特殊餐保障：针对患病、体弱、特殊体质被监管人员，凭医护及监管民警书面通知，提供低盐、清淡、易消化等定制特殊餐食，做好专项登记台账。</w:t>
      </w:r>
    </w:p>
    <w:p w14:paraId="73D65B8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食谱管理：每周提前公示合规食谱，做到营养均衡、品类轮换，严禁长期单一餐食，食谱需经采购人审核备案后方可执行。</w:t>
      </w:r>
    </w:p>
    <w:p w14:paraId="37DF4854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特殊情况保障</w:t>
      </w:r>
    </w:p>
    <w:p w14:paraId="4070D67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特殊餐保障：针对患病、体弱、特殊体质被监管人员，凭医护及监管民警书面通知，提供低盐、清淡、易消化等定制特殊餐食，做好专项登记台账。</w:t>
      </w:r>
    </w:p>
    <w:p w14:paraId="4A8229DE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三、服务标准及要求</w:t>
      </w:r>
    </w:p>
    <w:p w14:paraId="528E5D1C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后厨场地及设备运维服务</w:t>
      </w:r>
    </w:p>
    <w:p w14:paraId="063449F1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/>
          <w:sz w:val="28"/>
          <w:szCs w:val="28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</w:rPr>
        <w:t>场地保洁消杀：负责食堂操作间、储物间、清洗区、配餐区、通道等全域日常清洁、深度消杀、垃圾分类处理，每日清扫、每周大扫除、每月全面消杀，保持后厨干净整洁、无油污、无积水、无异味、无卫生死角。</w:t>
      </w:r>
    </w:p>
    <w:p w14:paraId="61BE4CBC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/>
          <w:sz w:val="28"/>
          <w:szCs w:val="28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</w:rPr>
        <w:t>厨具设备管护：全权负责食堂所有厨具、灶具、冰箱、冰柜、消毒柜、蒸饭设备、清洗设备、储物货架等设施设备的日常使用、清洁、保养、小型维修，发现故障第一时间报备并配合维修，保障设备24小时正常运行。</w:t>
      </w:r>
    </w:p>
    <w:p w14:paraId="7B6BE1D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/>
          <w:sz w:val="28"/>
          <w:szCs w:val="28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</w:rPr>
        <w:t>仓储管理：规范食材分区分类存放，生熟分离、荤素分离、干湿分离，冷藏冷冻设备温度实时管控，食材先进先出，杜绝食材积压过期，做好仓储防潮、防鼠、防蝇、防虫、防霉工作。</w:t>
      </w:r>
    </w:p>
    <w:p w14:paraId="083BFD31">
      <w:pPr>
        <w:ind w:firstLine="562" w:firstLineChars="200"/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  <w:t>（二）台账与合规管理服务</w:t>
      </w:r>
    </w:p>
    <w:p w14:paraId="14F846BC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全程落实监管场所标准化台账管理，所有资料真实、完整、可溯源、可备查，随时接受公安、市场监管、卫健部门检查：</w:t>
      </w:r>
    </w:p>
    <w:p w14:paraId="704AA229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消杀台账：每日场地消杀、厨具消杀、餐具消毒记录，消杀药品使用台账。</w:t>
      </w:r>
    </w:p>
    <w:p w14:paraId="13338C72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人员台账：后厨工作人员健康证、考勤、岗前培训、背景审查记录。</w:t>
      </w:r>
    </w:p>
    <w:p w14:paraId="438D219C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餐饮台账：每日食谱、供餐人数、餐食留样、特殊餐供应记录、食材损耗记录。</w:t>
      </w:r>
    </w:p>
    <w:p w14:paraId="60160B29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安全台账：食品安全自查、隐患整改、应急处置、培训演练台账。</w:t>
      </w:r>
    </w:p>
    <w:p w14:paraId="0555CFE6">
      <w:pPr>
        <w:ind w:firstLine="562" w:firstLineChars="200"/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  <w:t>四、食品安全与安全管理要求</w:t>
      </w:r>
    </w:p>
    <w:p w14:paraId="0DFD25F0">
      <w:pPr>
        <w:ind w:firstLine="562" w:firstLineChars="200"/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  <w:t>（一）食品留样制度</w:t>
      </w:r>
    </w:p>
    <w:p w14:paraId="354B9B80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每日每餐所有品类餐食必须规范留样，每份留样不少于125g，标注日期、餐次、品类，冷藏保存48小时以上，留样台账完整规范，留存备查。</w:t>
      </w:r>
    </w:p>
    <w:p w14:paraId="65D9EB27">
      <w:pPr>
        <w:ind w:firstLine="562" w:firstLineChars="200"/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  <w:t>（二）全程闭环管控</w:t>
      </w:r>
    </w:p>
    <w:p w14:paraId="7AF1D03C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食材进场验收、储存、加工、烹饪、分餐、配送全程闭环管理，生熟工具、容器严格区分，厨具餐具一客一消、一餐一消，杜绝交叉污染。</w:t>
      </w:r>
    </w:p>
    <w:p w14:paraId="7097552E">
      <w:pPr>
        <w:ind w:firstLine="562" w:firstLineChars="200"/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  <w:t>（三）安全保密要求</w:t>
      </w:r>
    </w:p>
    <w:p w14:paraId="5E0B723F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严格落实监管场所安全保密规定，后厨区域实行门禁管理，无关人员禁止进入；工作人员禁止携带手机、违禁物品进入作业区域，禁止拍摄、传播场所内部影像、信息。</w:t>
      </w:r>
    </w:p>
    <w:p w14:paraId="4CC51A4B">
      <w:pPr>
        <w:ind w:firstLine="562" w:firstLineChars="200"/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  <w:t>（四）应急处置要求</w:t>
      </w:r>
    </w:p>
    <w:p w14:paraId="77B080BA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制定食品安全突发事件、食材断供、设备故障、突发公共卫生事件应急预案，定期开展演练，出现食材变质、就餐异常、安全隐患立即停止供餐，第一时间上报并处置，杜绝食品安全事故。</w:t>
      </w:r>
    </w:p>
    <w:p w14:paraId="66D0F70D">
      <w:pPr>
        <w:ind w:firstLine="562" w:firstLineChars="200"/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  <w:t>（五）卫生防疫要求</w:t>
      </w:r>
    </w:p>
    <w:p w14:paraId="790B8B6C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常态化落实防疫、消杀制度，作业区域每日通风消杀，工作人员定期健康检查、卫生自查，严格落实食品卫生、环境卫生、个人卫生三项达标要求。</w:t>
      </w:r>
    </w:p>
    <w:p w14:paraId="419BAD1E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五、</w:t>
      </w:r>
      <w:r>
        <w:rPr>
          <w:rFonts w:hint="eastAsia" w:ascii="仿宋" w:hAnsi="仿宋" w:eastAsia="仿宋" w:cs="仿宋"/>
          <w:sz w:val="28"/>
          <w:szCs w:val="28"/>
        </w:rPr>
        <w:t>人员管理规定</w:t>
      </w:r>
    </w:p>
    <w:p w14:paraId="5AA7853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/>
          <w:sz w:val="28"/>
          <w:szCs w:val="28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</w:rPr>
        <w:t>工作人员实行封闭式管理，严格遵守看守所、拘留所警务管理制度、保密制度，严禁私传物品、严禁与被监管人员违规接触、严禁泄露场所信息。</w:t>
      </w:r>
    </w:p>
    <w:p w14:paraId="537B9849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/>
          <w:sz w:val="28"/>
          <w:szCs w:val="28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</w:rPr>
        <w:t>统一着装、持证上岗，遵守作息制度、考勤制度，服从监管民警日常管理、调度、检查。</w:t>
      </w:r>
    </w:p>
    <w:p w14:paraId="3C82B6B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/>
          <w:sz w:val="28"/>
          <w:szCs w:val="28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</w:rPr>
        <w:t>人员更换必须提前报备，经</w:t>
      </w: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</w:rPr>
        <w:t>采购人</w:t>
      </w:r>
      <w:r>
        <w:rPr>
          <w:rFonts w:hint="eastAsia" w:ascii="仿宋" w:hAnsi="仿宋" w:eastAsia="仿宋" w:cs="仿宋"/>
          <w:b w:val="0"/>
          <w:bCs/>
          <w:sz w:val="28"/>
          <w:szCs w:val="28"/>
        </w:rPr>
        <w:t>审核、政审合格后方可更换，严禁私自调换工作人员。</w:t>
      </w:r>
    </w:p>
    <w:p w14:paraId="704E8439">
      <w:pPr>
        <w:ind w:firstLine="562" w:firstLineChars="200"/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kern w:val="2"/>
          <w:sz w:val="28"/>
          <w:szCs w:val="28"/>
          <w:lang w:val="en-US" w:eastAsia="zh-CN" w:bidi="ar-SA"/>
        </w:rPr>
        <w:t>六、服务履约与运维要求</w:t>
      </w:r>
    </w:p>
    <w:p w14:paraId="40F8FAB8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不间断保障：全年365天无间断供餐，节假日、周末、封闭管控期间正常保障，不得无故停餐、减餐、拖延供餐。</w:t>
      </w:r>
    </w:p>
    <w:p w14:paraId="4644D22A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动态适配：根据场所羁押人员增减动态调整食材采购量、供餐规模，杜绝大量浪费，同时保障全员足额就餐。</w:t>
      </w:r>
    </w:p>
    <w:p w14:paraId="3C8B1307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设备维保：定期对后厨水电、厨具、制冷、消毒设备进行检修保养，月度自查、季度巡检，确保设备完好率100%，小故障2小时内处置，大故障及时报备整改。</w:t>
      </w:r>
    </w:p>
    <w:p w14:paraId="37E4AD30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垃圾处置：餐厨垃圾分类收集、密封存放，定点合规清运，日产日清，杜绝堆积、异味、滋生蚊虫细菌。</w:t>
      </w:r>
    </w:p>
    <w:p w14:paraId="5DBF1337">
      <w:pPr>
        <w:ind w:firstLine="560" w:firstLineChars="200"/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28"/>
          <w:szCs w:val="28"/>
          <w:lang w:val="en-US" w:eastAsia="zh-CN" w:bidi="ar-SA"/>
        </w:rPr>
        <w:t>整改响应：对采购人、市场监管部门、卫健部门提出的卫生、食材、服务问题，2小时内响应、24小时内完成整改，闭环落实到位。</w:t>
      </w:r>
    </w:p>
    <w:p w14:paraId="37ACA80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b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000000"/>
          <w:sz w:val="28"/>
          <w:szCs w:val="28"/>
          <w:lang w:val="en-US" w:eastAsia="zh-CN"/>
        </w:rPr>
        <w:t>七、人员配置</w:t>
      </w:r>
    </w:p>
    <w:tbl>
      <w:tblPr>
        <w:tblStyle w:val="4"/>
        <w:tblW w:w="967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50"/>
        <w:gridCol w:w="1815"/>
        <w:gridCol w:w="4808"/>
      </w:tblGrid>
      <w:tr w14:paraId="679EE5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3050" w:type="dxa"/>
            <w:vAlign w:val="center"/>
          </w:tcPr>
          <w:p w14:paraId="1E016B5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岗位设置</w:t>
            </w:r>
          </w:p>
        </w:tc>
        <w:tc>
          <w:tcPr>
            <w:tcW w:w="1815" w:type="dxa"/>
            <w:vAlign w:val="center"/>
          </w:tcPr>
          <w:p w14:paraId="5EF05A1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人数</w:t>
            </w:r>
          </w:p>
        </w:tc>
        <w:tc>
          <w:tcPr>
            <w:tcW w:w="4808" w:type="dxa"/>
            <w:vAlign w:val="center"/>
          </w:tcPr>
          <w:p w14:paraId="2EF750E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职责要求</w:t>
            </w:r>
          </w:p>
        </w:tc>
      </w:tr>
      <w:tr w14:paraId="50FA94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3050" w:type="dxa"/>
            <w:vAlign w:val="center"/>
          </w:tcPr>
          <w:p w14:paraId="3372E8B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主厨</w:t>
            </w:r>
          </w:p>
        </w:tc>
        <w:tc>
          <w:tcPr>
            <w:tcW w:w="1815" w:type="dxa"/>
            <w:vAlign w:val="center"/>
          </w:tcPr>
          <w:p w14:paraId="02EA296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1 人</w:t>
            </w:r>
          </w:p>
        </w:tc>
        <w:tc>
          <w:tcPr>
            <w:tcW w:w="4808" w:type="dxa"/>
            <w:vAlign w:val="center"/>
          </w:tcPr>
          <w:p w14:paraId="59ACB49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55周岁以下（提供身份证），有较强的组织协调能力，责任心强，品行端正，具有疾病预防控制中心颁发的《健康证》。</w:t>
            </w:r>
          </w:p>
        </w:tc>
      </w:tr>
      <w:tr w14:paraId="124C5B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3050" w:type="dxa"/>
            <w:vAlign w:val="center"/>
          </w:tcPr>
          <w:p w14:paraId="1868A56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厨师</w:t>
            </w:r>
          </w:p>
        </w:tc>
        <w:tc>
          <w:tcPr>
            <w:tcW w:w="1815" w:type="dxa"/>
            <w:vAlign w:val="center"/>
          </w:tcPr>
          <w:p w14:paraId="508281D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4 人</w:t>
            </w:r>
          </w:p>
        </w:tc>
        <w:tc>
          <w:tcPr>
            <w:tcW w:w="4808" w:type="dxa"/>
            <w:vAlign w:val="center"/>
          </w:tcPr>
          <w:p w14:paraId="13596C4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55周岁以下（提供身份证），具有疾病预防控制中心颁发的《健康证》。</w:t>
            </w:r>
          </w:p>
        </w:tc>
      </w:tr>
      <w:tr w14:paraId="123205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3050" w:type="dxa"/>
            <w:vAlign w:val="center"/>
          </w:tcPr>
          <w:p w14:paraId="7E5EDC2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面点师</w:t>
            </w:r>
          </w:p>
        </w:tc>
        <w:tc>
          <w:tcPr>
            <w:tcW w:w="1815" w:type="dxa"/>
            <w:vAlign w:val="center"/>
          </w:tcPr>
          <w:p w14:paraId="44D53F4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4 人</w:t>
            </w:r>
          </w:p>
        </w:tc>
        <w:tc>
          <w:tcPr>
            <w:tcW w:w="4808" w:type="dxa"/>
            <w:vAlign w:val="center"/>
          </w:tcPr>
          <w:p w14:paraId="54EE787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55周岁以下（提供身份证），具有疾病预防控制中心颁发的《健康证》。</w:t>
            </w:r>
          </w:p>
        </w:tc>
      </w:tr>
      <w:tr w14:paraId="085674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3050" w:type="dxa"/>
            <w:vAlign w:val="center"/>
          </w:tcPr>
          <w:p w14:paraId="708202E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配菜师</w:t>
            </w:r>
          </w:p>
        </w:tc>
        <w:tc>
          <w:tcPr>
            <w:tcW w:w="1815" w:type="dxa"/>
            <w:vAlign w:val="center"/>
          </w:tcPr>
          <w:p w14:paraId="5CC72EC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4人</w:t>
            </w:r>
          </w:p>
        </w:tc>
        <w:tc>
          <w:tcPr>
            <w:tcW w:w="4808" w:type="dxa"/>
            <w:vAlign w:val="center"/>
          </w:tcPr>
          <w:p w14:paraId="4CCC360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55周岁以下（提供身份证），具有疾病预防控制中心颁发的《健康证》。</w:t>
            </w:r>
          </w:p>
        </w:tc>
      </w:tr>
      <w:tr w14:paraId="40DE18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  <w:jc w:val="center"/>
        </w:trPr>
        <w:tc>
          <w:tcPr>
            <w:tcW w:w="3050" w:type="dxa"/>
            <w:vAlign w:val="center"/>
          </w:tcPr>
          <w:p w14:paraId="6158D8A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帮厨</w:t>
            </w:r>
          </w:p>
        </w:tc>
        <w:tc>
          <w:tcPr>
            <w:tcW w:w="1815" w:type="dxa"/>
            <w:vAlign w:val="center"/>
          </w:tcPr>
          <w:p w14:paraId="515DE92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2人</w:t>
            </w:r>
          </w:p>
        </w:tc>
        <w:tc>
          <w:tcPr>
            <w:tcW w:w="4808" w:type="dxa"/>
            <w:vAlign w:val="center"/>
          </w:tcPr>
          <w:p w14:paraId="4B94A2F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55周岁以下（提供身份证），具有疾病预防控制中心颁发的《健康证》。</w:t>
            </w:r>
          </w:p>
        </w:tc>
      </w:tr>
      <w:tr w14:paraId="1C5022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9673" w:type="dxa"/>
            <w:gridSpan w:val="3"/>
            <w:vAlign w:val="center"/>
          </w:tcPr>
          <w:p w14:paraId="6C362DE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80" w:lineRule="exact"/>
              <w:ind w:left="0" w:leftChars="0" w:right="0" w:rightChars="0" w:firstLine="560" w:firstLineChars="200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以上15人的人工工资、服装、加班、管理、培训、体检、人员的福利、社会保险等全部由成交供应商承担（各项社会保险按国家相关政策缴纳）。</w:t>
            </w:r>
          </w:p>
        </w:tc>
      </w:tr>
    </w:tbl>
    <w:p w14:paraId="7AF8E95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八、考核验收与结算标准</w:t>
      </w:r>
    </w:p>
    <w:p w14:paraId="5A64138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（一）日常考核</w:t>
      </w:r>
    </w:p>
    <w:p w14:paraId="25DA017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采购人实行日检查、周巡查、月考核机制，从食材质量、餐食品质、卫生消杀、台账规范、人员管理、安全合规、应急处置等维度打分考核，考核结果与月度服务费、年度续约直接挂钩。</w:t>
      </w:r>
    </w:p>
    <w:p w14:paraId="73E4E28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（二）月度验收</w:t>
      </w:r>
    </w:p>
    <w:p w14:paraId="2C4D353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每月月底由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采购人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验收，核查台账资料、场地卫生、食材品质、服务履约情况，验收合格后方可办理结算。</w:t>
      </w:r>
    </w:p>
    <w:p w14:paraId="3170198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（三）年度考评</w:t>
      </w:r>
    </w:p>
    <w:p w14:paraId="3FDAC3B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年度综合考评合格可续签服务合同，考评不合格、存在重大安全隐患、食品安全问题、违规违纪行为的，采购人有权单方面终止合同，不予续约并追究违约责任。</w:t>
      </w:r>
    </w:p>
    <w:p w14:paraId="477B5B6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（四）违约处罚</w:t>
      </w:r>
    </w:p>
    <w:p w14:paraId="22A8279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出现食品安全隐患、供餐中断、台账造假、人员违规、卫生不达标等问题，按合同约定扣减服务费；造成食品安全事故、场所安全隐患的，立即终止合同，追究法律责任及全部经济损失。</w:t>
      </w:r>
    </w:p>
    <w:p w14:paraId="63B98B0E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九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商务要求</w:t>
      </w:r>
    </w:p>
    <w:p w14:paraId="56042CED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color w:val="FF0000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1.</w:t>
      </w:r>
      <w:r>
        <w:rPr>
          <w:rFonts w:hint="eastAsia" w:ascii="仿宋" w:hAnsi="仿宋" w:eastAsia="仿宋" w:cs="仿宋"/>
          <w:sz w:val="28"/>
          <w:szCs w:val="28"/>
        </w:rPr>
        <w:t>服务期限：自合同签订之日起一年。</w:t>
      </w:r>
    </w:p>
    <w:p w14:paraId="5ED5D53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服务费用：包括所有委派人员的工资、奖金、社保、福利、服装费、管理费、利润、税金等全部劳务相关费用。费用按年度总额包干，按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季度</w:t>
      </w:r>
      <w:r>
        <w:rPr>
          <w:rFonts w:hint="eastAsia" w:ascii="仿宋" w:hAnsi="仿宋" w:eastAsia="仿宋" w:cs="仿宋"/>
          <w:sz w:val="28"/>
          <w:szCs w:val="28"/>
        </w:rPr>
        <w:t>支付。具体支付方式在合同中约定。</w:t>
      </w:r>
    </w:p>
    <w:p w14:paraId="57E5125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工资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发放</w:t>
      </w:r>
      <w:r>
        <w:rPr>
          <w:rFonts w:hint="eastAsia" w:ascii="仿宋" w:hAnsi="仿宋" w:eastAsia="仿宋" w:cs="仿宋"/>
          <w:sz w:val="28"/>
          <w:szCs w:val="28"/>
        </w:rPr>
        <w:t>监督：供应商须按时足额发放员工工资，每月向采购人提交工资发放凭证。如发现拖欠工资，采购人有权暂停支付服务费。</w:t>
      </w:r>
    </w:p>
    <w:p w14:paraId="2F37CBF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考核机制：采购人每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季度</w:t>
      </w:r>
      <w:r>
        <w:rPr>
          <w:rFonts w:hint="eastAsia" w:ascii="仿宋" w:hAnsi="仿宋" w:eastAsia="仿宋" w:cs="仿宋"/>
          <w:sz w:val="28"/>
          <w:szCs w:val="28"/>
        </w:rPr>
        <w:t>餐饮服务质量进行抽查考核，考核结果与当月服务费支付挂钩。</w:t>
      </w:r>
    </w:p>
    <w:p w14:paraId="43858F0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续签条件：合同期满前30日，经双方协商一致，且供应商年度考核合格，在财政资金保障下，保证服务要求、服务质量不变的情况下可以续签，续签时间不超过两年。如政策规定发生变化，服务企业需相应执行或解除合同。</w:t>
      </w:r>
    </w:p>
    <w:p w14:paraId="720E807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仿宋"/>
          <w:sz w:val="28"/>
          <w:szCs w:val="28"/>
        </w:rPr>
        <w:t>合同终止：如供应商服务质量严重不达标（如连续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两个</w:t>
      </w:r>
      <w:r>
        <w:rPr>
          <w:rFonts w:hint="eastAsia" w:ascii="仿宋" w:hAnsi="仿宋" w:eastAsia="仿宋" w:cs="仿宋"/>
          <w:sz w:val="28"/>
          <w:szCs w:val="28"/>
        </w:rPr>
        <w:t>月考核不合格）、发生食品安全事故或严重违反合同约定，采购人有权单方解除合同。</w:t>
      </w:r>
    </w:p>
    <w:p w14:paraId="6897AFCE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 xml:space="preserve"> 十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、费用承担事项</w:t>
      </w:r>
    </w:p>
    <w:p w14:paraId="11C6C940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（一）采购人承担费用</w:t>
      </w:r>
    </w:p>
    <w:p w14:paraId="3256F9E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食材</w:t>
      </w:r>
      <w:r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辅料、调味料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采购费用；</w:t>
      </w:r>
    </w:p>
    <w:p w14:paraId="446EB36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各网点食堂水、电、天然气费用；</w:t>
      </w:r>
    </w:p>
    <w:p w14:paraId="054E8FA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厨房设施设备、餐厨具的购置、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厨杂、</w:t>
      </w:r>
      <w:r>
        <w:rPr>
          <w:rFonts w:hint="eastAsia" w:ascii="仿宋" w:hAnsi="仿宋" w:eastAsia="仿宋" w:cs="仿宋"/>
          <w:sz w:val="28"/>
          <w:szCs w:val="28"/>
        </w:rPr>
        <w:t>维修、更新费用；</w:t>
      </w:r>
    </w:p>
    <w:p w14:paraId="4392AC6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食堂桌椅、照明等基础设施维修费用；</w:t>
      </w:r>
    </w:p>
    <w:p w14:paraId="7ED9594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</w:rPr>
        <w:t>油烟净化设施、排烟管道清洗维护费用；</w:t>
      </w:r>
    </w:p>
    <w:p w14:paraId="1498FFC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6.符合厨房要求的消防设施，包含灭火器设备，干粉灭火器、灭火毯等；</w:t>
      </w:r>
    </w:p>
    <w:p w14:paraId="69B4EEF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7.提供满足服务需要的低值耗品，洗洁精、洗衣粉、橡胶手套等；</w:t>
      </w:r>
    </w:p>
    <w:p w14:paraId="56D7F5C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</w:t>
      </w:r>
      <w:r>
        <w:rPr>
          <w:rFonts w:hint="eastAsia" w:ascii="仿宋" w:hAnsi="仿宋" w:eastAsia="仿宋" w:cs="仿宋"/>
          <w:sz w:val="28"/>
          <w:szCs w:val="28"/>
        </w:rPr>
        <w:t>灭鼠、灭蟑等病媒防治费用；</w:t>
      </w:r>
    </w:p>
    <w:p w14:paraId="767F4BA9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9.</w:t>
      </w:r>
      <w:r>
        <w:rPr>
          <w:rFonts w:hint="eastAsia" w:ascii="仿宋" w:hAnsi="仿宋" w:eastAsia="仿宋" w:cs="仿宋"/>
          <w:sz w:val="28"/>
          <w:szCs w:val="28"/>
        </w:rPr>
        <w:t>临时性重大保障任务产生的额外加班费用（双方事先确认）；</w:t>
      </w:r>
    </w:p>
    <w:p w14:paraId="610CE5A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10.</w:t>
      </w:r>
      <w:r>
        <w:rPr>
          <w:rFonts w:hint="eastAsia" w:ascii="仿宋" w:hAnsi="仿宋" w:eastAsia="仿宋" w:cs="仿宋"/>
          <w:sz w:val="28"/>
          <w:szCs w:val="28"/>
        </w:rPr>
        <w:t>采购人要求制作的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菜单、</w:t>
      </w:r>
      <w:r>
        <w:rPr>
          <w:rFonts w:hint="eastAsia" w:ascii="仿宋" w:hAnsi="仿宋" w:eastAsia="仿宋" w:cs="仿宋"/>
          <w:sz w:val="28"/>
          <w:szCs w:val="28"/>
        </w:rPr>
        <w:t>标识标牌、宣传栏等费用。</w:t>
      </w:r>
    </w:p>
    <w:p w14:paraId="16E3049A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（二）供应商承担费用</w:t>
      </w:r>
    </w:p>
    <w:p w14:paraId="028F206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所有委派人员的工资、奖金、社保、福利、体检费、培训费等；</w:t>
      </w:r>
    </w:p>
    <w:p w14:paraId="68749C8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员工工服费用；</w:t>
      </w:r>
    </w:p>
    <w:p w14:paraId="33F049F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供应商内部管理及办公费用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655B8405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" w:hAnsi="仿宋" w:eastAsia="仿宋" w:cs="仿宋"/>
          <w:b/>
          <w:bCs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十一、实质性条款要求（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zh-CN" w:eastAsia="zh-CN"/>
        </w:rPr>
        <w:t>加“★”部分为实质性要求，必须满足，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以下条款须提供承诺函，未提供或缺漏项视为无效投标）</w:t>
      </w:r>
    </w:p>
    <w:p w14:paraId="3BEEE6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★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 xml:space="preserve">（一）供应商须承诺：拟派遣服务人员完全满足磋商文件人数（15人）要求。 </w:t>
      </w:r>
    </w:p>
    <w:p w14:paraId="05BE56F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★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（二）供应商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 xml:space="preserve">须承诺：拟派遣服务人员除持有相关证书外，所有拟派遣人员必须身体健康，持有卫生部门颁发的健康证明，无证人员不得上岗。 </w:t>
      </w:r>
    </w:p>
    <w:p w14:paraId="2E3D89C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★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（三）供应商须承诺：拟派遣服务人员均通过政审，无违法犯罪记录。</w:t>
      </w:r>
    </w:p>
    <w:p w14:paraId="3CAA5CB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352F067">
      <w:pPr>
        <w:pStyle w:val="7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78A66F2">
      <w:pPr>
        <w:pStyle w:val="7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D17BA1B">
      <w:pPr>
        <w:pStyle w:val="7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72F9AF7">
      <w:pPr>
        <w:pStyle w:val="7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E3AD52A">
      <w:pPr>
        <w:pStyle w:val="7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4407825D">
      <w:pPr>
        <w:pStyle w:val="7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6DD9A67">
      <w:pPr>
        <w:pStyle w:val="7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C34058C">
      <w:pPr>
        <w:jc w:val="center"/>
        <w:rPr>
          <w:rFonts w:ascii="仿宋" w:hAnsi="仿宋" w:eastAsia="仿宋" w:cs="Times New Roman"/>
          <w:b/>
          <w:color w:val="auto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4132C2"/>
    <w:multiLevelType w:val="multilevel"/>
    <w:tmpl w:val="6D4132C2"/>
    <w:lvl w:ilvl="0" w:tentative="0">
      <w:start w:val="1"/>
      <w:numFmt w:val="none"/>
      <w:suff w:val="nothing"/>
      <w:lvlText w:val=""/>
      <w:lvlJc w:val="center"/>
      <w:pPr>
        <w:ind w:left="0" w:firstLine="0"/>
      </w:pPr>
      <w:rPr>
        <w:rFonts w:hint="default" w:ascii="Calibri" w:hAnsi="Calibri" w:eastAsia="黑体"/>
        <w:b w:val="0"/>
        <w:i w:val="0"/>
        <w:caps w:val="0"/>
        <w:strike w:val="0"/>
        <w:dstrike w:val="0"/>
        <w:snapToGrid/>
        <w:vanish w:val="0"/>
        <w:spacing w:val="0"/>
        <w:w w:val="100"/>
        <w:kern w:val="44"/>
        <w:position w:val="0"/>
        <w:sz w:val="32"/>
        <w:vertAlign w:val="baseline"/>
      </w:rPr>
    </w:lvl>
    <w:lvl w:ilvl="1" w:tentative="0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default" w:ascii="Calibri" w:hAnsi="Calibri" w:eastAsia="黑体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  <w:lvl w:ilvl="2" w:tentative="0">
      <w:start w:val="1"/>
      <w:numFmt w:val="none"/>
      <w:suff w:val="nothing"/>
      <w:lvlText w:val=""/>
      <w:lvlJc w:val="left"/>
      <w:pPr>
        <w:ind w:left="0" w:firstLine="289"/>
      </w:pPr>
      <w:rPr>
        <w:rFonts w:hint="default" w:ascii="Calibri Light" w:hAnsi="Calibri Light" w:eastAsia="宋体"/>
        <w:b/>
        <w:i w:val="0"/>
        <w:caps w:val="0"/>
        <w:strike w:val="0"/>
        <w:dstrike w:val="0"/>
        <w:snapToGrid/>
        <w:vanish w:val="0"/>
        <w:spacing w:val="0"/>
        <w:w w:val="100"/>
        <w:kern w:val="30"/>
        <w:position w:val="0"/>
        <w:sz w:val="30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302C80"/>
    <w:rsid w:val="01302C80"/>
    <w:rsid w:val="04AB289E"/>
    <w:rsid w:val="33325D25"/>
    <w:rsid w:val="34725B9A"/>
    <w:rsid w:val="47161613"/>
    <w:rsid w:val="4DB71DB7"/>
    <w:rsid w:val="582456AD"/>
    <w:rsid w:val="5FA671BC"/>
    <w:rsid w:val="61E735F4"/>
    <w:rsid w:val="652C10F2"/>
    <w:rsid w:val="697D3521"/>
    <w:rsid w:val="70757E8B"/>
    <w:rsid w:val="74AC62F7"/>
    <w:rsid w:val="76990A65"/>
    <w:rsid w:val="7FA6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numPr>
        <w:ilvl w:val="1"/>
        <w:numId w:val="1"/>
      </w:numPr>
      <w:spacing w:before="120" w:after="60"/>
      <w:outlineLvl w:val="1"/>
    </w:pPr>
    <w:rPr>
      <w:rFonts w:ascii="Calibri" w:hAnsi="Calibri" w:eastAsia="黑体" w:cs="Times New Roman"/>
      <w:bCs/>
      <w:iCs/>
      <w:kern w:val="32"/>
      <w:sz w:val="28"/>
      <w:szCs w:val="28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正文缩进1"/>
    <w:basedOn w:val="1"/>
    <w:autoRedefine/>
    <w:qFormat/>
    <w:uiPriority w:val="0"/>
    <w:pPr>
      <w:spacing w:line="240" w:lineRule="auto"/>
      <w:ind w:firstLine="420" w:firstLineChars="200"/>
    </w:pPr>
    <w:rPr>
      <w:kern w:val="0"/>
      <w:szCs w:val="21"/>
    </w:rPr>
  </w:style>
  <w:style w:type="paragraph" w:customStyle="1" w:styleId="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2692</Words>
  <Characters>2757</Characters>
  <Lines>0</Lines>
  <Paragraphs>0</Paragraphs>
  <TotalTime>0</TotalTime>
  <ScaleCrop>false</ScaleCrop>
  <LinksUpToDate>false</LinksUpToDate>
  <CharactersWithSpaces>2788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2026-04-17T07:19:00Z</dcterms:created>
  <dc:creator>韩瑞</dc:creator>
  <cp:lastModifiedBy>韩瑞</cp:lastModifiedBy>
  <dcterms:modified xsi:type="dcterms:W3CDTF">2026-06-11T03:33:24Z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3A4F10914CD2462C813D9AFD56505B2C_13</vt:lpwstr>
  </property>
  <property fmtid="{D5CDD505-2E9C-101B-9397-08002B2CF9AE}" pid="4" name="KSOTemplateDocerSaveRecord">
    <vt:lpwstr>eyJoZGlkIjoiYTZmZTI2MmEwYjNmNmZjN2Y0ZDZhMTgzZjlhYzUwMWYiLCJ1c2VySWQiOiIyNzkzOTU2ODYifQ==</vt:lpwstr>
  </property>
</Properties>
</file>