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版本号：HQX-2026(028)20260720003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镇安县2026年中央水利发展资金农村饮水工程维修养护项目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HQX-2026(028)</w:t>
      </w:r>
      <w:r>
        <w:br/>
      </w:r>
      <w:r>
        <w:br/>
      </w:r>
      <w:r>
        <w:br/>
      </w:r>
    </w:p>
    <w:p>
      <w:pPr>
        <w:pStyle w:val="null3"/>
        <w:jc w:val="center"/>
        <w:outlineLvl w:val="2"/>
      </w:pPr>
      <w:r>
        <w:rPr>
          <w:rFonts w:ascii="仿宋_GB2312" w:hAnsi="仿宋_GB2312" w:cs="仿宋_GB2312" w:eastAsia="仿宋_GB2312"/>
          <w:sz w:val="28"/>
          <w:b/>
        </w:rPr>
        <w:t>镇安县水利局</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镇安县水利局</w:t>
      </w:r>
      <w:r>
        <w:rPr>
          <w:rFonts w:ascii="仿宋_GB2312" w:hAnsi="仿宋_GB2312" w:cs="仿宋_GB2312" w:eastAsia="仿宋_GB2312"/>
        </w:rPr>
        <w:t>委托，拟对</w:t>
      </w:r>
      <w:r>
        <w:rPr>
          <w:rFonts w:ascii="仿宋_GB2312" w:hAnsi="仿宋_GB2312" w:cs="仿宋_GB2312" w:eastAsia="仿宋_GB2312"/>
        </w:rPr>
        <w:t>镇安县2026年中央水利发展资金农村饮水工程维修养护项目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镇安县2026年中央水利发展资金农村饮水工程维修养护项目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本工程位于镇安县各镇，其中包含铁厂镇、高峰镇、柴坪镇、大坪镇、米粮镇、青铜关镇、达仁镇、永乐街道办、庙沟镇、月河镇、西口回族镇等镇村供水工程维修养护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采购包1（镇安县2026年中央水利发展资金农村饮水工程维修养护项目）：属于专门面向中小企业采购。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pPr>
        <w:pStyle w:val="null3"/>
      </w:pPr>
      <w:r>
        <w:rPr>
          <w:rFonts w:ascii="仿宋_GB2312" w:hAnsi="仿宋_GB2312" w:cs="仿宋_GB2312" w:eastAsia="仿宋_GB2312"/>
        </w:rPr>
        <w:t>2、供应商须具有健全的财务会计制度：提供2024年度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具有依法缴纳税收的良好记录：提供响应文件提交截止时间前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p>
      <w:pPr>
        <w:pStyle w:val="null3"/>
      </w:pPr>
      <w:r>
        <w:rPr>
          <w:rFonts w:ascii="仿宋_GB2312" w:hAnsi="仿宋_GB2312" w:cs="仿宋_GB2312" w:eastAsia="仿宋_GB2312"/>
        </w:rPr>
        <w:t>4、具有依法缴纳社会保障资金的良好记录：提供响应文件提交截止时间前近一年内至少三个月的社会保障资金缴存单据或社保机构开具的社会保险参保缴费情况证明，依法不需要缴纳社会保障资金的单位应提供相关证明材料；供应商需在项目电子化交易系统中按要求提供证明资料并进行电子签章；</w:t>
      </w:r>
    </w:p>
    <w:p>
      <w:pPr>
        <w:pStyle w:val="null3"/>
      </w:pPr>
      <w:r>
        <w:rPr>
          <w:rFonts w:ascii="仿宋_GB2312" w:hAnsi="仿宋_GB2312" w:cs="仿宋_GB2312" w:eastAsia="仿宋_GB2312"/>
        </w:rPr>
        <w:t>5、所必需的设备和专业技术能力声明：提供具有履行本合同所必需的设备和专业技术能力的声明；供应商需在项目电子化交易系统中按要求提供证明资料并进行电子签章；</w:t>
      </w:r>
    </w:p>
    <w:p>
      <w:pPr>
        <w:pStyle w:val="null3"/>
      </w:pPr>
      <w:r>
        <w:rPr>
          <w:rFonts w:ascii="仿宋_GB2312" w:hAnsi="仿宋_GB2312" w:cs="仿宋_GB2312" w:eastAsia="仿宋_GB2312"/>
        </w:rPr>
        <w:t>6、没有重大违法记录的书面声明：出具参加政府采购活动前3年内在经营活动中没有重大违法记录的书面声明；供应商需在项目电子化交易系统中按要求提供证明资料并进行电子签章；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信誉：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 供应商需在项目电子化交易系统中按要求提供证明资料并进行电子签章；</w:t>
      </w:r>
    </w:p>
    <w:p>
      <w:pPr>
        <w:pStyle w:val="null3"/>
      </w:pPr>
      <w:r>
        <w:rPr>
          <w:rFonts w:ascii="仿宋_GB2312" w:hAnsi="仿宋_GB2312" w:cs="仿宋_GB2312" w:eastAsia="仿宋_GB2312"/>
        </w:rPr>
        <w:t>8、施工资质要求：具备【水利水电工程】施工总承包三级及以上资质，并具有建设行政主管部门核发的有效安全生产许可证；供应商需在项目电子化交易系统中按要求提供证明资料并进行电子签章；</w:t>
      </w:r>
    </w:p>
    <w:p>
      <w:pPr>
        <w:pStyle w:val="null3"/>
      </w:pPr>
      <w:r>
        <w:rPr>
          <w:rFonts w:ascii="仿宋_GB2312" w:hAnsi="仿宋_GB2312" w:cs="仿宋_GB2312" w:eastAsia="仿宋_GB2312"/>
        </w:rPr>
        <w:t>9、拟派项目经理要求：拟派项目经理具有【水利水电工程】专业二级及以上注册建造师资格，同时具有水行政主管部门颁发合格有效的安全生产考核合格证（B证），且无在建项目；供应商需在项目电子化交易系统中按要求提供证明资料并进行电子签章；</w:t>
      </w:r>
    </w:p>
    <w:p>
      <w:pPr>
        <w:pStyle w:val="null3"/>
      </w:pPr>
      <w:r>
        <w:rPr>
          <w:rFonts w:ascii="仿宋_GB2312" w:hAnsi="仿宋_GB2312" w:cs="仿宋_GB2312" w:eastAsia="仿宋_GB2312"/>
        </w:rPr>
        <w:t>10、官方网站可查询：供应商及拟派项目经理须在"陕西省建筑市场监管与诚信信息发布平台”官方网站可查询且无不良信息;供应商需在项目电子化交易系统中按要求提供证明资料并进行电子签章;</w:t>
      </w:r>
    </w:p>
    <w:p>
      <w:pPr>
        <w:pStyle w:val="null3"/>
      </w:pPr>
      <w:r>
        <w:rPr>
          <w:rFonts w:ascii="仿宋_GB2312" w:hAnsi="仿宋_GB2312" w:cs="仿宋_GB2312" w:eastAsia="仿宋_GB2312"/>
        </w:rPr>
        <w:t>11、限制投标情况：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p>
      <w:pPr>
        <w:pStyle w:val="null3"/>
      </w:pPr>
      <w:r>
        <w:rPr>
          <w:rFonts w:ascii="仿宋_GB2312" w:hAnsi="仿宋_GB2312" w:cs="仿宋_GB2312" w:eastAsia="仿宋_GB2312"/>
        </w:rPr>
        <w:t>12、法定代表人身份证明书或授权委托书：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13、非联合体磋商声明：本项目不接受联合体磋商。供应商需在项目电子化交易系统中按要求提供证明资料并进行电子签章；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商洛市镇安县西沟路后街80号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项 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15619143766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陕西省西安市市本级陕西省西咸新区沣西新城秦皇大道与康定路东南角10层沣西国际大厦1号楼1004室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采购包1：1,285,617.32元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水泥</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说明：成交供应商按照采购人要求的时间以非现金形式向采购人缴纳，项目竣工验收合格后，10日内无息退还给成交供应商。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代理服务费收费标准：参照国家发改委计价格【2002】1980号文件与发改价格[2011]534号文件规定计算，招标代理服务费计算方式【100万*1%+（成交价-100万*0.7%）】，详见采购代理合同。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镇安县水利局</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按照施工合同执行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联系人：马梅</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 1 号楼 1004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1,285,617.32</w:t>
      </w:r>
    </w:p>
    <w:p>
      <w:pPr>
        <w:pStyle w:val="null3"/>
      </w:pPr>
      <w:r>
        <w:rPr>
          <w:rFonts w:ascii="仿宋_GB2312" w:hAnsi="仿宋_GB2312" w:cs="仿宋_GB2312" w:eastAsia="仿宋_GB2312"/>
        </w:rPr>
        <w:t>采购包最高限价（元）: 1,285,617.32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镇安县2026年中央水利发展资金农村供水工程维修养护项目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1,285,617.32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标的名称：镇安县2026年中央水利发展资金农村供水工程维修养护项目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、工期：</w:t>
            </w:r>
            <w:r>
              <w:rPr>
                <w:rFonts w:ascii="仿宋_GB2312" w:hAnsi="仿宋_GB2312" w:cs="仿宋_GB2312" w:eastAsia="仿宋_GB2312"/>
                <w:sz w:val="24"/>
              </w:rPr>
              <w:t>90</w:t>
            </w:r>
            <w:r>
              <w:rPr>
                <w:rFonts w:ascii="仿宋_GB2312" w:hAnsi="仿宋_GB2312" w:cs="仿宋_GB2312" w:eastAsia="仿宋_GB2312"/>
                <w:sz w:val="24"/>
              </w:rPr>
              <w:t>日历天。</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、质量要求：达到国家强制性合格标准。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、缺陷责任期：</w:t>
            </w:r>
            <w:r>
              <w:rPr>
                <w:rFonts w:ascii="仿宋_GB2312" w:hAnsi="仿宋_GB2312" w:cs="仿宋_GB2312" w:eastAsia="仿宋_GB2312"/>
                <w:sz w:val="24"/>
              </w:rPr>
              <w:t>自工程竣工验收合格之日起</w:t>
            </w:r>
            <w:r>
              <w:rPr>
                <w:rFonts w:ascii="仿宋_GB2312" w:hAnsi="仿宋_GB2312" w:cs="仿宋_GB2312" w:eastAsia="仿宋_GB2312"/>
                <w:sz w:val="24"/>
              </w:rPr>
              <w:t>1年</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满足磋商文件、工程量清单等要求。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在电子化交易系统最终磋商报价时，需填报磋商总报价，并在附件上传与最终磋商总报价相对应的已标价工程量清单报价表，已标价工程量清单报价表符合磋商文件要求，此表将作为签订合同的附件（如因平台系统原因无法在附件上传，则在与采购人签订合同时提供与总报价对应的工程量清单报价表，此表将作为签订合同的附件）。2、本项目采用固定综合单价方式，工程量据实结算，供应商应充分考虑施工过程中价格的风险因素（本项目混凝土采用自拌方式）并包含在此次磋商报价中，若因承包方原因产生额外费用，承包方自行承担。 3、中小企业说明： 本项目专门面向中小企业采购，总体预留比例为100.00%，不再执行价格折扣优惠政策。 4、供应商的磋商总报价不得高于此最高投标限价，否则按照无效标处理。 5、成交供应商需在领取成交通知书时，向采购代理机构提交1份完整的纸质投标响应文件，纸质投标响应文件须和陕西省政府采购平台电子投标响应文件保持一致。6、采购范围：本项目具体内容详见工程量清单及采购文件全部内容。7、合同付款方式：1）预付款：同签订之后，乙方向甲方开具合法有效的增值税[专用/普通]发票，甲方收到合规发票，达到付款条件起7个工作日内，支付合同总金额的30%；2）进度款：工程全部完工，乙方完成自检并向甲方提交完工报告后·乙方开具对应金额的合规增值税发票，达到付款条件起7个工作日内。支付合同总金额的60%；3）工程竣工验收合格完成结算审计，乙方移交全套完整竣工资料，完成现场退场及全部整改工作后，达到付款条件起7个工作日内，支付合同总金额的10%。8、本项目由镇安县水利工作站作为项目法人进行实施，因系统端口限制，本项目以镇安县水利局账号实施项目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响应文件提交截止时间前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响应文件提交截止时间前近一年内至少三个月的社会保障资金缴存单据或社保机构开具的社会保险参保缴费情况证明，依法不需要缴纳社会保障资金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 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施工资质要求</w:t>
            </w:r>
          </w:p>
        </w:tc>
        <w:tc>
          <w:tcPr>
            <w:tcW w:type="dxa" w:w="3322"/>
          </w:tcPr>
          <w:p>
            <w:pPr>
              <w:pStyle w:val="null3"/>
            </w:pPr>
            <w:r>
              <w:rPr>
                <w:rFonts w:ascii="仿宋_GB2312" w:hAnsi="仿宋_GB2312" w:cs="仿宋_GB2312" w:eastAsia="仿宋_GB2312"/>
              </w:rPr>
              <w:t>具备【水利水电工程】施工总承包三级及以上资质，并具有建设行政主管部门核发的有效安全生产许可证；供应商需在项目电子化交易系统中按要求提供证明资料并进行电子签章；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有【水利水电工程】专业二级及以上注册建造师资格，同时具有水行政主管部门颁发合格有效的安全生产考核合格证（B证），且无在建项目；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官方网站可查询</w:t>
            </w:r>
          </w:p>
        </w:tc>
        <w:tc>
          <w:tcPr>
            <w:tcW w:type="dxa" w:w="3322"/>
          </w:tcPr>
          <w:p>
            <w:pPr>
              <w:pStyle w:val="null3"/>
            </w:pPr>
            <w:r>
              <w:rPr>
                <w:rFonts w:ascii="仿宋_GB2312" w:hAnsi="仿宋_GB2312" w:cs="仿宋_GB2312" w:eastAsia="仿宋_GB2312"/>
              </w:rPr>
              <w:t>供应商及拟派项目经理须在"陕西省建筑市场监管与诚信信息发布平台”官方网站可查询且无不良信息;供应商需在项目电子化交易系统中按要求提供证明资料并进行电子签章;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限制投标情况</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响应文件封面 中小企业声明函 报价函 磋商保证金.pdf 响应函 商务、技术偏离表.pdf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响应文件需在项目电子化交易系统中按竞争性磋商文件要求签署并进行电子签章。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磋商保证金.pdf 响应函 商务、技术偏离表.pdf 资格证明文件.pdf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供应商每次报价只能有一个有效报价，原则上二次报价为最后报价，且一次报价不得超过最高投标限价，二次报价不得超过一次报价和最高投标限价。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供应商应按照竞争性磋商文件的规定缴纳磋商保证金。</w:t>
            </w:r>
          </w:p>
        </w:tc>
        <w:tc>
          <w:tcPr>
            <w:tcW w:type="dxa" w:w="1661"/>
          </w:tcPr>
          <w:p>
            <w:pPr>
              <w:pStyle w:val="null3"/>
            </w:pPr>
            <w:r>
              <w:rPr>
                <w:rFonts w:ascii="仿宋_GB2312" w:hAnsi="仿宋_GB2312" w:cs="仿宋_GB2312" w:eastAsia="仿宋_GB2312"/>
              </w:rPr>
              <w:t>响应文件封面 磋商保证金.pdf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 商务、技术偏离表.pdf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响应文件中未含有采购人不能接受的附加条件的或其他情形。</w:t>
            </w:r>
          </w:p>
        </w:tc>
        <w:tc>
          <w:tcPr>
            <w:tcW w:type="dxa" w:w="1661"/>
          </w:tcPr>
          <w:p>
            <w:pPr>
              <w:pStyle w:val="null3"/>
            </w:pPr>
            <w:r>
              <w:rPr>
                <w:rFonts w:ascii="仿宋_GB2312" w:hAnsi="仿宋_GB2312" w:cs="仿宋_GB2312" w:eastAsia="仿宋_GB2312"/>
              </w:rPr>
              <w:t>响应文件封面 供应商承诺书.pdf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近年完成类似项目业绩</w:t>
            </w:r>
          </w:p>
        </w:tc>
        <w:tc>
          <w:tcPr>
            <w:tcW w:type="dxa" w:w="2492"/>
          </w:tcPr>
          <w:p>
            <w:pPr>
              <w:pStyle w:val="null3"/>
            </w:pPr>
            <w:r>
              <w:rPr>
                <w:rFonts w:ascii="仿宋_GB2312" w:hAnsi="仿宋_GB2312" w:cs="仿宋_GB2312" w:eastAsia="仿宋_GB2312"/>
              </w:rPr>
              <w:t>供应商提供自2023年07月至本响应文件递交截止时间前的类似项目业绩证明材料，每提供1项得1分，最多得5分。未提供的不得分。 评审依据：提供中标/成交通知书或合同协议书的复印件或扫描件加盖公章，时间以合同签订时间为准。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供应商提供自2023年07月至响应文件递交截止时间前类似项目业绩证明材料，每提供1项得1分，最多得2分。未提供的不得分。 评审依据：提供中标/成交通知书或合同协议书的复印件或扫描件加盖章，时间以合同签订时间为准。上述证明文件中须体现项目经理的姓名。（拟派项目经理业绩与企业业绩可重复计分）。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了完善的质量保证方案，内容包含:1）工程质量管理制度;2）确保工程质量的技术组织措施;3）施工质量管理体系;4）施工检测及工序交验方案;以上内容专门针对本项目且阐述明晰、全面、合理得8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供应商针对本项目编制了完整的安全施工方案，内容包含:1）安全施工管理制度;2）安全施工保障措施;3）安全应急预案;4）安全管理体系;以上内容专门针对本项目且阐述明晰、全面、合理得8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1）项目部组织机构设置合理，配备了相应的管理人员，管理人员包含项目经理、技术负责人、施工员、质量员、安全员、材料员、资料员、财务人员，管理人员均具有相应的岗位证书，满足以上配置要求的得8分； 2）管理人员至少有 1名项目经理、1名技术负责人、1名质量员，1名安全员，其他管理人员（施工员、材料员、资料员、财务人员）缺少一个在满分的基础上扣1分；评审依据：提供身份证和相应岗位证书，评审时以供应商提供加盖公章的证书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项目部人员岗位职责</w:t>
            </w:r>
          </w:p>
        </w:tc>
        <w:tc>
          <w:tcPr>
            <w:tcW w:type="dxa" w:w="2492"/>
          </w:tcPr>
          <w:p>
            <w:pPr>
              <w:pStyle w:val="null3"/>
            </w:pPr>
            <w:r>
              <w:rPr>
                <w:rFonts w:ascii="仿宋_GB2312" w:hAnsi="仿宋_GB2312" w:cs="仿宋_GB2312" w:eastAsia="仿宋_GB2312"/>
              </w:rPr>
              <w:t>内容包含1）岗位职责;2）项目部管理制度;3）相应的协调措施;以上内容专门针对本项 目且阐述明晰、全面、合理得6分，每缺一项内容扣2分，若上述内容存在瑕疵，每项 存在1处瑕疵扣0.5分，每项分值扣完为止。“瑕疵”指内容明显错误，或内容表述前后 矛盾，或内容不完整，或表达简单笼统，或缺少关键点，或不适用本项目特性、套用其他项目内容，或内容不能满足本项目实际需求等任意一种情形。(下述评分标准对”瑕疵"定义同此处。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了完善的施工方案，内容包含:1）施工准备;2）施工方法或施工工艺;3）重点难点工程分析及解决措施;4）影响正常施工外在因素分析及对应预案;5）文明施工与施工进度管控，以上内容专门针对本项目且阐述明晰、全面、合理得15分，每缺一项内容扣3分，若上 述内容存在瑕疵，每项存在1处瑕疵扣0.5分，每项分值扣完为止。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施工进度及确保工期的技术组织措施</w:t>
            </w:r>
          </w:p>
        </w:tc>
        <w:tc>
          <w:tcPr>
            <w:tcW w:type="dxa" w:w="2492"/>
          </w:tcPr>
          <w:p>
            <w:pPr>
              <w:pStyle w:val="null3"/>
            </w:pPr>
            <w:r>
              <w:rPr>
                <w:rFonts w:ascii="仿宋_GB2312" w:hAnsi="仿宋_GB2312" w:cs="仿宋_GB2312" w:eastAsia="仿宋_GB2312"/>
              </w:rPr>
              <w:t>供应商针对本项目编制了完善的施工进度计划，内容包含:1）进度计划安排;2）施工进度计划横道图或网络图;3）进度计划保证措施;以上内容专门针对本项目且阐述明晰全面、合理得6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供应商针对本项目编制了完整的文明施工方案，内容包含:1）文明施工管理制度;2）文明施工保障措施;3）环境污染防治管理制度;以上内容专门针对本项目且阐述明晰、全面、合理得6分，每缺一项内容扣2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劳动力安排计划情况表</w:t>
            </w:r>
          </w:p>
        </w:tc>
        <w:tc>
          <w:tcPr>
            <w:tcW w:type="dxa" w:w="2492"/>
          </w:tcPr>
          <w:p>
            <w:pPr>
              <w:pStyle w:val="null3"/>
            </w:pPr>
            <w:r>
              <w:rPr>
                <w:rFonts w:ascii="仿宋_GB2312" w:hAnsi="仿宋_GB2312" w:cs="仿宋_GB2312" w:eastAsia="仿宋_GB2312"/>
              </w:rPr>
              <w:t>供应商针对本项目编制了完善的劳动力计划，内容包含:1）劳动力资源配置;2）劳动力资源保障措施;以上内容专门针对本项目且阐述明晰、全面、合理得3分，每缺一项内容扣1.5分，若上述内容存在瑕疵，每项存在1处瑕疵扣0.5分，每项分值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供应商针对本项目编制了完善的施工机械配备计划，内容包含:1）施工机械设备投入计划;2）施工机械保障措施。以上内容专门针对本项目且阐述明晰、全面、合理得3分，每缺一项内容扣1.5分，若上述内容存在瑕疵，每项存在1处瑕疵扣0.5分，每项分值扣完 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详见附件：商务、技术偏离表.pdf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详见附件：施工组织设计.pdf</w:t>
      </w:r>
    </w:p>
    <w:p>
      <w:pPr>
        <w:pStyle w:val="null3"/>
        <w:ind w:firstLine="960"/>
      </w:pPr>
      <w:r>
        <w:rPr>
          <w:rFonts w:ascii="仿宋_GB2312" w:hAnsi="仿宋_GB2312" w:cs="仿宋_GB2312" w:eastAsia="仿宋_GB2312"/>
        </w:rPr>
        <w:t>详见附件：供应商承诺书.pdf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