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版本号：ZC2026-HW-12020260519003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勉县城镇生活垃圾转运处理设施设备更新项目（二期）环卫车辆采购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ZC2026-HW-120</w:t>
      </w:r>
      <w:r>
        <w:br/>
      </w:r>
      <w:r>
        <w:br/>
      </w:r>
      <w:r>
        <w:br/>
      </w:r>
    </w:p>
    <w:p>
      <w:pPr>
        <w:pStyle w:val="null3"/>
        <w:jc w:val="center"/>
        <w:outlineLvl w:val="2"/>
      </w:pPr>
      <w:r>
        <w:rPr>
          <w:rFonts w:ascii="仿宋_GB2312" w:hAnsi="仿宋_GB2312" w:cs="仿宋_GB2312" w:eastAsia="仿宋_GB2312"/>
          <w:sz w:val="28"/>
          <w:b/>
        </w:rPr>
        <w:t>勉县园林环卫服务中心</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勉县园林环卫服务中心</w:t>
      </w:r>
      <w:r>
        <w:rPr>
          <w:rFonts w:ascii="仿宋_GB2312" w:hAnsi="仿宋_GB2312" w:cs="仿宋_GB2312" w:eastAsia="仿宋_GB2312"/>
        </w:rPr>
        <w:t>委托，拟对</w:t>
      </w:r>
      <w:r>
        <w:rPr>
          <w:rFonts w:ascii="仿宋_GB2312" w:hAnsi="仿宋_GB2312" w:cs="仿宋_GB2312" w:eastAsia="仿宋_GB2312"/>
        </w:rPr>
        <w:t>勉县城镇生活垃圾转运处理设施设备更新项目（二期）环卫车辆采购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ZC2026-HW-120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勉县城镇生活垃圾转运处理设施设备更新项目（二期）环卫车辆采购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勉县城镇生活垃圾转运处理设施设备更新项目（二期）环卫车辆采购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2、拟供车辆资料：供应商拟供车型必须在国家工业和信息化部发布的《车辆生产企业及产品》公告内；</w:t>
      </w:r>
    </w:p>
    <w:p>
      <w:pPr>
        <w:pStyle w:val="null3"/>
      </w:pPr>
      <w:r>
        <w:rPr>
          <w:rFonts w:ascii="仿宋_GB2312" w:hAnsi="仿宋_GB2312" w:cs="仿宋_GB2312" w:eastAsia="仿宋_GB2312"/>
        </w:rPr>
        <w:t>3、企业信用：供应商不得为“信用中国” 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 （注：以投标文件中提供的承诺书为准）</w:t>
      </w:r>
    </w:p>
    <w:p>
      <w:pPr>
        <w:pStyle w:val="null3"/>
      </w:pPr>
      <w:r>
        <w:rPr>
          <w:rFonts w:ascii="仿宋_GB2312" w:hAnsi="仿宋_GB2312" w:cs="仿宋_GB2312" w:eastAsia="仿宋_GB2312"/>
        </w:rPr>
        <w:t>4、非联合体投标：本项目不接受联合体投标； （注：以投标文件中提供的声明为准）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勉县园林环卫服务中心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勉县天荡山路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税利鹤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3222900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西安市高新区高新三路9号信息港大厦5楼506室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宋扬、刘静静、毛鑫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采购包1：6,934,000.00元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银行账号：129911536210906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180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金额为基数，参照《国家计委关于印发&lt;招标代理服务收费管理暂行办法&gt;的通知》（计价格[2002]1980号）规定的货物类标准以差额定率累进制计算收取，由中标人在领取中标通知书前一次性足额支付给采购代理机构。</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勉县园林环卫服务中心</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勉县园林环卫服务中心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勉县园林环卫服务中心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联系人：宋扬、刘静静、毛鑫</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地址：西安市高新区高新三路9号信息港大厦5楼506室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勉县城镇生活垃圾转运处理设施设备更新项目（二期）环卫车辆采购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6,934,000.00</w:t>
      </w:r>
    </w:p>
    <w:p>
      <w:pPr>
        <w:pStyle w:val="null3"/>
      </w:pPr>
      <w:r>
        <w:rPr>
          <w:rFonts w:ascii="仿宋_GB2312" w:hAnsi="仿宋_GB2312" w:cs="仿宋_GB2312" w:eastAsia="仿宋_GB2312"/>
        </w:rPr>
        <w:t>采购包最高限价（元）: 6,934,000.00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勉县城镇生活垃圾转运处理设施设备更新项目（二期）环卫车辆采购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6,934,000.00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标的名称：勉县城镇生活垃圾转运处理设施设备更新项目（二期）环卫车辆采购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FF"/>
              </w:rPr>
              <w:t>一、项目概况：</w:t>
            </w:r>
          </w:p>
          <w:p>
            <w:pPr>
              <w:pStyle w:val="null3"/>
              <w:ind w:firstLine="420"/>
            </w:pPr>
            <w:r>
              <w:rPr>
                <w:rFonts w:ascii="仿宋_GB2312" w:hAnsi="仿宋_GB2312" w:cs="仿宋_GB2312" w:eastAsia="仿宋_GB2312"/>
                <w:sz w:val="21"/>
                <w:color w:val="0000FF"/>
              </w:rPr>
              <w:t>勉县城镇生活垃圾转运处理设施设备更新项目（二期）环卫车辆采购</w:t>
            </w:r>
          </w:p>
          <w:p>
            <w:pPr>
              <w:pStyle w:val="null3"/>
            </w:pPr>
            <w:r>
              <w:rPr>
                <w:rFonts w:ascii="仿宋_GB2312" w:hAnsi="仿宋_GB2312" w:cs="仿宋_GB2312" w:eastAsia="仿宋_GB2312"/>
                <w:sz w:val="21"/>
                <w:b/>
                <w:color w:val="0000FF"/>
              </w:rPr>
              <w:t>二、采购标的：</w:t>
            </w:r>
          </w:p>
          <w:tbl>
            <w:tblPr>
              <w:tblBorders>
                <w:top w:val="none" w:color="000000" w:sz="4"/>
                <w:left w:val="none" w:color="000000" w:sz="4"/>
                <w:bottom w:val="none" w:color="000000" w:sz="4"/>
                <w:right w:val="none" w:color="000000" w:sz="4"/>
                <w:insideH w:val="none"/>
                <w:insideV w:val="none"/>
              </w:tblBorders>
            </w:tblPr>
            <w:tblGrid>
              <w:gridCol w:w="186"/>
              <w:gridCol w:w="1382"/>
              <w:gridCol w:w="572"/>
              <w:gridCol w:w="405"/>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1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名称</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数量</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备注</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18吨纯电动洗扫车</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2辆</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核心产品</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18吨清洗车（燃油）</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1辆</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18吨纯电动清洗车</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1辆</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25吨纯电动清洗车</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1辆</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8吨纯电动自装卸式垃圾车</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1辆</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4吨纯电动自装卸式垃圾车</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3辆</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3吨纯电动自装卸式垃圾车</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3辆</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12吨自卸式建筑垃圾运输车</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1辆</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b/>
                <w:color w:val="0000FF"/>
              </w:rPr>
              <w:t>三、采购标的需满足的技术要求：</w:t>
            </w:r>
          </w:p>
          <w:tbl>
            <w:tblPr>
              <w:tblBorders>
                <w:top w:val="none" w:color="000000" w:sz="4"/>
                <w:left w:val="none" w:color="000000" w:sz="4"/>
                <w:bottom w:val="none" w:color="000000" w:sz="4"/>
                <w:right w:val="none" w:color="000000" w:sz="4"/>
                <w:insideH w:val="none"/>
                <w:insideV w:val="none"/>
              </w:tblBorders>
            </w:tblPr>
            <w:tblGrid>
              <w:gridCol w:w="184"/>
              <w:gridCol w:w="573"/>
              <w:gridCol w:w="224"/>
              <w:gridCol w:w="1556"/>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序号</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名称</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数量</w:t>
                  </w:r>
                </w:p>
              </w:tc>
              <w:tc>
                <w:tcPr>
                  <w:tcW w:type="dxa" w:w="1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技术参数及要求</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18吨纯电动洗扫车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2辆</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1.外型尺寸（长×宽×高）(mm)：≤9000×2600×3300</w:t>
                  </w:r>
                </w:p>
                <w:p>
                  <w:pPr>
                    <w:pStyle w:val="null3"/>
                    <w:spacing w:after="120"/>
                    <w:jc w:val="left"/>
                  </w:pPr>
                  <w:r>
                    <w:rPr>
                      <w:rFonts w:ascii="仿宋_GB2312" w:hAnsi="仿宋_GB2312" w:cs="仿宋_GB2312" w:eastAsia="仿宋_GB2312"/>
                      <w:sz w:val="21"/>
                      <w:color w:val="0000FF"/>
                    </w:rPr>
                    <w:t>2.总质量（kg）：≥18000</w:t>
                  </w:r>
                </w:p>
                <w:p>
                  <w:pPr>
                    <w:pStyle w:val="null3"/>
                    <w:spacing w:after="120"/>
                    <w:jc w:val="left"/>
                  </w:pPr>
                  <w:r>
                    <w:rPr>
                      <w:rFonts w:ascii="仿宋_GB2312" w:hAnsi="仿宋_GB2312" w:cs="仿宋_GB2312" w:eastAsia="仿宋_GB2312"/>
                      <w:sz w:val="21"/>
                      <w:color w:val="0000FF"/>
                    </w:rPr>
                    <w:t>3.▲额定载质量（kg）：≥6400</w:t>
                  </w:r>
                </w:p>
                <w:p>
                  <w:pPr>
                    <w:pStyle w:val="null3"/>
                    <w:spacing w:after="120"/>
                    <w:jc w:val="left"/>
                  </w:pPr>
                  <w:r>
                    <w:rPr>
                      <w:rFonts w:ascii="仿宋_GB2312" w:hAnsi="仿宋_GB2312" w:cs="仿宋_GB2312" w:eastAsia="仿宋_GB2312"/>
                      <w:sz w:val="21"/>
                      <w:color w:val="0000FF"/>
                    </w:rPr>
                    <w:t>4.▲整备质量（kg）：≤11600</w:t>
                  </w:r>
                </w:p>
                <w:p>
                  <w:pPr>
                    <w:pStyle w:val="null3"/>
                    <w:spacing w:after="120"/>
                    <w:jc w:val="left"/>
                  </w:pPr>
                  <w:r>
                    <w:rPr>
                      <w:rFonts w:ascii="仿宋_GB2312" w:hAnsi="仿宋_GB2312" w:cs="仿宋_GB2312" w:eastAsia="仿宋_GB2312"/>
                      <w:sz w:val="21"/>
                      <w:color w:val="0000FF"/>
                    </w:rPr>
                    <w:t>5.前悬/后悬（mm）：≤1500/2500</w:t>
                  </w:r>
                </w:p>
                <w:p>
                  <w:pPr>
                    <w:pStyle w:val="null3"/>
                    <w:spacing w:after="120"/>
                    <w:jc w:val="left"/>
                  </w:pPr>
                  <w:r>
                    <w:rPr>
                      <w:rFonts w:ascii="仿宋_GB2312" w:hAnsi="仿宋_GB2312" w:cs="仿宋_GB2312" w:eastAsia="仿宋_GB2312"/>
                      <w:sz w:val="21"/>
                      <w:color w:val="0000FF"/>
                    </w:rPr>
                    <w:t>6.接近角/离去角（°）：≥10/10</w:t>
                  </w:r>
                </w:p>
                <w:p>
                  <w:pPr>
                    <w:pStyle w:val="null3"/>
                    <w:spacing w:after="120"/>
                    <w:jc w:val="left"/>
                  </w:pPr>
                  <w:r>
                    <w:rPr>
                      <w:rFonts w:ascii="仿宋_GB2312" w:hAnsi="仿宋_GB2312" w:cs="仿宋_GB2312" w:eastAsia="仿宋_GB2312"/>
                      <w:sz w:val="21"/>
                      <w:color w:val="0000FF"/>
                    </w:rPr>
                    <w:t>7.▲轴距（mm）：≥5300</w:t>
                  </w:r>
                </w:p>
                <w:p>
                  <w:pPr>
                    <w:pStyle w:val="null3"/>
                    <w:spacing w:after="120"/>
                    <w:jc w:val="left"/>
                  </w:pPr>
                  <w:r>
                    <w:rPr>
                      <w:rFonts w:ascii="仿宋_GB2312" w:hAnsi="仿宋_GB2312" w:cs="仿宋_GB2312" w:eastAsia="仿宋_GB2312"/>
                      <w:sz w:val="21"/>
                      <w:color w:val="0000FF"/>
                    </w:rPr>
                    <w:t>8.电池电量（kWh）：≥200</w:t>
                  </w:r>
                </w:p>
                <w:p>
                  <w:pPr>
                    <w:pStyle w:val="null3"/>
                    <w:spacing w:after="120"/>
                    <w:jc w:val="left"/>
                  </w:pPr>
                  <w:r>
                    <w:rPr>
                      <w:rFonts w:ascii="仿宋_GB2312" w:hAnsi="仿宋_GB2312" w:cs="仿宋_GB2312" w:eastAsia="仿宋_GB2312"/>
                      <w:sz w:val="21"/>
                      <w:color w:val="0000FF"/>
                    </w:rPr>
                    <w:t>9.底盘电机功率（kw）：≥185</w:t>
                  </w:r>
                </w:p>
                <w:p>
                  <w:pPr>
                    <w:pStyle w:val="null3"/>
                    <w:spacing w:after="120"/>
                    <w:jc w:val="left"/>
                  </w:pPr>
                  <w:r>
                    <w:rPr>
                      <w:rFonts w:ascii="仿宋_GB2312" w:hAnsi="仿宋_GB2312" w:cs="仿宋_GB2312" w:eastAsia="仿宋_GB2312"/>
                      <w:sz w:val="21"/>
                      <w:color w:val="0000FF"/>
                    </w:rPr>
                    <w:t>10.风机电机额定功率(kW)：≥45</w:t>
                  </w:r>
                </w:p>
                <w:p>
                  <w:pPr>
                    <w:pStyle w:val="null3"/>
                    <w:spacing w:after="120"/>
                    <w:jc w:val="left"/>
                  </w:pPr>
                  <w:r>
                    <w:rPr>
                      <w:rFonts w:ascii="仿宋_GB2312" w:hAnsi="仿宋_GB2312" w:cs="仿宋_GB2312" w:eastAsia="仿宋_GB2312"/>
                      <w:sz w:val="21"/>
                      <w:color w:val="0000FF"/>
                    </w:rPr>
                    <w:t>11.高压水泵额定压力（MPa）：≥11</w:t>
                  </w:r>
                </w:p>
                <w:p>
                  <w:pPr>
                    <w:pStyle w:val="null3"/>
                    <w:spacing w:after="120"/>
                    <w:jc w:val="left"/>
                  </w:pPr>
                  <w:r>
                    <w:rPr>
                      <w:rFonts w:ascii="仿宋_GB2312" w:hAnsi="仿宋_GB2312" w:cs="仿宋_GB2312" w:eastAsia="仿宋_GB2312"/>
                      <w:sz w:val="21"/>
                      <w:color w:val="0000FF"/>
                    </w:rPr>
                    <w:t>12.清水箱总容积(m³)：≥9</w:t>
                  </w:r>
                </w:p>
                <w:p>
                  <w:pPr>
                    <w:pStyle w:val="null3"/>
                    <w:spacing w:after="120"/>
                    <w:jc w:val="left"/>
                  </w:pPr>
                  <w:r>
                    <w:rPr>
                      <w:rFonts w:ascii="仿宋_GB2312" w:hAnsi="仿宋_GB2312" w:cs="仿宋_GB2312" w:eastAsia="仿宋_GB2312"/>
                      <w:sz w:val="21"/>
                      <w:color w:val="0000FF"/>
                    </w:rPr>
                    <w:t>13.垃圾箱总容积(m³)：≥8</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18吨清洗车（燃油）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1辆</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1.燃油类型：柴油，排放：（国Ⅵ）</w:t>
                  </w:r>
                </w:p>
                <w:p>
                  <w:pPr>
                    <w:pStyle w:val="null3"/>
                    <w:spacing w:after="120"/>
                    <w:jc w:val="left"/>
                  </w:pPr>
                  <w:r>
                    <w:rPr>
                      <w:rFonts w:ascii="仿宋_GB2312" w:hAnsi="仿宋_GB2312" w:cs="仿宋_GB2312" w:eastAsia="仿宋_GB2312"/>
                      <w:sz w:val="21"/>
                      <w:color w:val="0000FF"/>
                    </w:rPr>
                    <w:t>2.外形尺寸（长×宽×高(mm)≥7900×2500×2900</w:t>
                  </w:r>
                </w:p>
                <w:p>
                  <w:pPr>
                    <w:pStyle w:val="null3"/>
                    <w:spacing w:after="120"/>
                    <w:jc w:val="left"/>
                  </w:pPr>
                  <w:r>
                    <w:rPr>
                      <w:rFonts w:ascii="仿宋_GB2312" w:hAnsi="仿宋_GB2312" w:cs="仿宋_GB2312" w:eastAsia="仿宋_GB2312"/>
                      <w:sz w:val="21"/>
                      <w:color w:val="0000FF"/>
                    </w:rPr>
                    <w:t>3..柴油发动机功率(kw)≥160</w:t>
                  </w:r>
                </w:p>
                <w:p>
                  <w:pPr>
                    <w:pStyle w:val="null3"/>
                    <w:spacing w:after="120"/>
                    <w:jc w:val="left"/>
                  </w:pPr>
                  <w:r>
                    <w:rPr>
                      <w:rFonts w:ascii="仿宋_GB2312" w:hAnsi="仿宋_GB2312" w:cs="仿宋_GB2312" w:eastAsia="仿宋_GB2312"/>
                      <w:sz w:val="21"/>
                      <w:color w:val="0000FF"/>
                    </w:rPr>
                    <w:t>4..最大总质量(kg)：≤18000</w:t>
                  </w:r>
                </w:p>
                <w:p>
                  <w:pPr>
                    <w:pStyle w:val="null3"/>
                    <w:spacing w:after="120"/>
                    <w:jc w:val="left"/>
                  </w:pPr>
                  <w:r>
                    <w:rPr>
                      <w:rFonts w:ascii="仿宋_GB2312" w:hAnsi="仿宋_GB2312" w:cs="仿宋_GB2312" w:eastAsia="仿宋_GB2312"/>
                      <w:sz w:val="21"/>
                      <w:color w:val="0000FF"/>
                    </w:rPr>
                    <w:t>5..整备质量(kg)≥7700</w:t>
                  </w:r>
                </w:p>
                <w:p>
                  <w:pPr>
                    <w:pStyle w:val="null3"/>
                    <w:spacing w:after="120"/>
                    <w:jc w:val="left"/>
                  </w:pPr>
                  <w:r>
                    <w:rPr>
                      <w:rFonts w:ascii="仿宋_GB2312" w:hAnsi="仿宋_GB2312" w:cs="仿宋_GB2312" w:eastAsia="仿宋_GB2312"/>
                      <w:sz w:val="21"/>
                      <w:color w:val="0000FF"/>
                    </w:rPr>
                    <w:t>6..额定质量(kg</w:t>
                  </w:r>
                  <w:r>
                    <w:rPr>
                      <w:rFonts w:ascii="仿宋_GB2312" w:hAnsi="仿宋_GB2312" w:cs="仿宋_GB2312" w:eastAsia="仿宋_GB2312"/>
                      <w:sz w:val="21"/>
                      <w:color w:val="0000FF"/>
                    </w:rPr>
                    <w:t>)≥10000</w:t>
                  </w:r>
                </w:p>
                <w:p>
                  <w:pPr>
                    <w:pStyle w:val="null3"/>
                    <w:spacing w:after="120"/>
                    <w:jc w:val="left"/>
                  </w:pPr>
                  <w:r>
                    <w:rPr>
                      <w:rFonts w:ascii="仿宋_GB2312" w:hAnsi="仿宋_GB2312" w:cs="仿宋_GB2312" w:eastAsia="仿宋_GB2312"/>
                      <w:sz w:val="21"/>
                      <w:color w:val="0000FF"/>
                    </w:rPr>
                    <w:t>7.前悬/后悬（mm）≤1450/2600</w:t>
                  </w:r>
                </w:p>
                <w:p>
                  <w:pPr>
                    <w:pStyle w:val="null3"/>
                    <w:spacing w:after="120"/>
                    <w:jc w:val="left"/>
                  </w:pPr>
                  <w:r>
                    <w:rPr>
                      <w:rFonts w:ascii="仿宋_GB2312" w:hAnsi="仿宋_GB2312" w:cs="仿宋_GB2312" w:eastAsia="仿宋_GB2312"/>
                      <w:sz w:val="21"/>
                      <w:color w:val="0000FF"/>
                    </w:rPr>
                    <w:t>8.接近角/离去角（°）≥10/10</w:t>
                  </w:r>
                </w:p>
                <w:p>
                  <w:pPr>
                    <w:pStyle w:val="null3"/>
                    <w:spacing w:after="120"/>
                    <w:jc w:val="left"/>
                  </w:pPr>
                  <w:r>
                    <w:rPr>
                      <w:rFonts w:ascii="仿宋_GB2312" w:hAnsi="仿宋_GB2312" w:cs="仿宋_GB2312" w:eastAsia="仿宋_GB2312"/>
                      <w:sz w:val="21"/>
                      <w:color w:val="0000FF"/>
                    </w:rPr>
                    <w:t>9.公告罐体有效容积（m³）≥10</w:t>
                  </w:r>
                </w:p>
                <w:p>
                  <w:pPr>
                    <w:pStyle w:val="null3"/>
                    <w:spacing w:after="120"/>
                    <w:jc w:val="left"/>
                  </w:pPr>
                  <w:r>
                    <w:rPr>
                      <w:rFonts w:ascii="仿宋_GB2312" w:hAnsi="仿宋_GB2312" w:cs="仿宋_GB2312" w:eastAsia="仿宋_GB2312"/>
                      <w:sz w:val="21"/>
                      <w:color w:val="0000FF"/>
                    </w:rPr>
                    <w:t>10.轴距(mm)≤4500</w:t>
                  </w:r>
                </w:p>
                <w:p>
                  <w:pPr>
                    <w:pStyle w:val="null3"/>
                    <w:spacing w:after="120"/>
                    <w:jc w:val="left"/>
                  </w:pPr>
                  <w:r>
                    <w:rPr>
                      <w:rFonts w:ascii="仿宋_GB2312" w:hAnsi="仿宋_GB2312" w:cs="仿宋_GB2312" w:eastAsia="仿宋_GB2312"/>
                      <w:sz w:val="21"/>
                      <w:color w:val="0000FF"/>
                    </w:rPr>
                    <w:t>11.最高车速（km/h）≥85</w:t>
                  </w:r>
                </w:p>
                <w:p>
                  <w:pPr>
                    <w:pStyle w:val="null3"/>
                    <w:spacing w:after="120"/>
                    <w:jc w:val="left"/>
                  </w:pPr>
                  <w:r>
                    <w:rPr>
                      <w:rFonts w:ascii="仿宋_GB2312" w:hAnsi="仿宋_GB2312" w:cs="仿宋_GB2312" w:eastAsia="仿宋_GB2312"/>
                      <w:sz w:val="21"/>
                      <w:color w:val="0000FF"/>
                    </w:rPr>
                    <w:t>12.洒水泵扬程(m)≥110</w:t>
                  </w:r>
                </w:p>
                <w:p>
                  <w:pPr>
                    <w:pStyle w:val="null3"/>
                    <w:spacing w:after="120"/>
                    <w:jc w:val="left"/>
                  </w:pPr>
                  <w:r>
                    <w:rPr>
                      <w:rFonts w:ascii="仿宋_GB2312" w:hAnsi="仿宋_GB2312" w:cs="仿宋_GB2312" w:eastAsia="仿宋_GB2312"/>
                      <w:sz w:val="21"/>
                      <w:color w:val="0000FF"/>
                    </w:rPr>
                    <w:t>13.洒水泵流量(m³/h)≥50</w:t>
                  </w:r>
                </w:p>
                <w:p>
                  <w:pPr>
                    <w:pStyle w:val="null3"/>
                    <w:spacing w:after="120"/>
                    <w:jc w:val="left"/>
                  </w:pPr>
                  <w:r>
                    <w:rPr>
                      <w:rFonts w:ascii="仿宋_GB2312" w:hAnsi="仿宋_GB2312" w:cs="仿宋_GB2312" w:eastAsia="仿宋_GB2312"/>
                      <w:sz w:val="21"/>
                      <w:color w:val="0000FF"/>
                    </w:rPr>
                    <w:t>14.后高喷射程(m)≥50</w:t>
                  </w:r>
                </w:p>
                <w:p>
                  <w:pPr>
                    <w:pStyle w:val="null3"/>
                    <w:spacing w:after="120"/>
                    <w:jc w:val="left"/>
                  </w:pPr>
                  <w:r>
                    <w:rPr>
                      <w:rFonts w:ascii="仿宋_GB2312" w:hAnsi="仿宋_GB2312" w:cs="仿宋_GB2312" w:eastAsia="仿宋_GB2312"/>
                      <w:sz w:val="21"/>
                      <w:color w:val="0000FF"/>
                    </w:rPr>
                    <w:t>15.驾驶室调温措施：配原厂冷暖空调</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3</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18吨纯电动清洗车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1辆</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1.外型尺寸（长×宽×高）(mm)：≤8000×2500×3100</w:t>
                  </w:r>
                </w:p>
                <w:p>
                  <w:pPr>
                    <w:pStyle w:val="null3"/>
                    <w:spacing w:after="120"/>
                    <w:jc w:val="left"/>
                  </w:pPr>
                  <w:r>
                    <w:rPr>
                      <w:rFonts w:ascii="仿宋_GB2312" w:hAnsi="仿宋_GB2312" w:cs="仿宋_GB2312" w:eastAsia="仿宋_GB2312"/>
                      <w:sz w:val="21"/>
                      <w:color w:val="0000FF"/>
                    </w:rPr>
                    <w:t>2.总质量（kg）：≥18000</w:t>
                  </w:r>
                </w:p>
                <w:p>
                  <w:pPr>
                    <w:pStyle w:val="null3"/>
                    <w:spacing w:after="120"/>
                    <w:jc w:val="left"/>
                  </w:pPr>
                  <w:r>
                    <w:rPr>
                      <w:rFonts w:ascii="仿宋_GB2312" w:hAnsi="仿宋_GB2312" w:cs="仿宋_GB2312" w:eastAsia="仿宋_GB2312"/>
                      <w:sz w:val="21"/>
                      <w:color w:val="0000FF"/>
                    </w:rPr>
                    <w:t>3.额定载质量（kg）：≥9500</w:t>
                  </w:r>
                </w:p>
                <w:p>
                  <w:pPr>
                    <w:pStyle w:val="null3"/>
                    <w:spacing w:after="120"/>
                    <w:jc w:val="left"/>
                  </w:pPr>
                  <w:r>
                    <w:rPr>
                      <w:rFonts w:ascii="仿宋_GB2312" w:hAnsi="仿宋_GB2312" w:cs="仿宋_GB2312" w:eastAsia="仿宋_GB2312"/>
                      <w:sz w:val="21"/>
                      <w:color w:val="0000FF"/>
                    </w:rPr>
                    <w:t>4.整备质量（kg）：≤8000</w:t>
                  </w:r>
                </w:p>
                <w:p>
                  <w:pPr>
                    <w:pStyle w:val="null3"/>
                    <w:spacing w:after="120"/>
                    <w:jc w:val="left"/>
                  </w:pPr>
                  <w:r>
                    <w:rPr>
                      <w:rFonts w:ascii="仿宋_GB2312" w:hAnsi="仿宋_GB2312" w:cs="仿宋_GB2312" w:eastAsia="仿宋_GB2312"/>
                      <w:sz w:val="21"/>
                      <w:color w:val="0000FF"/>
                    </w:rPr>
                    <w:t>5.前悬/后悬（mm）：≤1400/2600</w:t>
                  </w:r>
                </w:p>
                <w:p>
                  <w:pPr>
                    <w:pStyle w:val="null3"/>
                    <w:spacing w:after="120"/>
                    <w:jc w:val="left"/>
                  </w:pPr>
                  <w:r>
                    <w:rPr>
                      <w:rFonts w:ascii="仿宋_GB2312" w:hAnsi="仿宋_GB2312" w:cs="仿宋_GB2312" w:eastAsia="仿宋_GB2312"/>
                      <w:sz w:val="21"/>
                      <w:color w:val="0000FF"/>
                    </w:rPr>
                    <w:t>6.接近角/离去角（°）：≥10/10</w:t>
                  </w:r>
                </w:p>
                <w:p>
                  <w:pPr>
                    <w:pStyle w:val="null3"/>
                    <w:spacing w:after="120"/>
                    <w:jc w:val="left"/>
                  </w:pPr>
                  <w:r>
                    <w:rPr>
                      <w:rFonts w:ascii="仿宋_GB2312" w:hAnsi="仿宋_GB2312" w:cs="仿宋_GB2312" w:eastAsia="仿宋_GB2312"/>
                      <w:sz w:val="21"/>
                      <w:color w:val="0000FF"/>
                    </w:rPr>
                    <w:t>7.轴距（mm）：≥4000</w:t>
                  </w:r>
                </w:p>
                <w:p>
                  <w:pPr>
                    <w:pStyle w:val="null3"/>
                    <w:spacing w:after="120"/>
                    <w:jc w:val="left"/>
                  </w:pPr>
                  <w:r>
                    <w:rPr>
                      <w:rFonts w:ascii="仿宋_GB2312" w:hAnsi="仿宋_GB2312" w:cs="仿宋_GB2312" w:eastAsia="仿宋_GB2312"/>
                      <w:sz w:val="21"/>
                      <w:color w:val="0000FF"/>
                    </w:rPr>
                    <w:t>8.电池电量（kWh）：≥165</w:t>
                  </w:r>
                </w:p>
                <w:p>
                  <w:pPr>
                    <w:pStyle w:val="null3"/>
                    <w:spacing w:after="120"/>
                    <w:jc w:val="left"/>
                  </w:pPr>
                  <w:r>
                    <w:rPr>
                      <w:rFonts w:ascii="仿宋_GB2312" w:hAnsi="仿宋_GB2312" w:cs="仿宋_GB2312" w:eastAsia="仿宋_GB2312"/>
                      <w:sz w:val="21"/>
                      <w:color w:val="0000FF"/>
                    </w:rPr>
                    <w:t>9.底盘电机功率（kw）：≥185</w:t>
                  </w:r>
                </w:p>
                <w:p>
                  <w:pPr>
                    <w:pStyle w:val="null3"/>
                    <w:spacing w:after="120"/>
                    <w:jc w:val="left"/>
                  </w:pPr>
                  <w:r>
                    <w:rPr>
                      <w:rFonts w:ascii="仿宋_GB2312" w:hAnsi="仿宋_GB2312" w:cs="仿宋_GB2312" w:eastAsia="仿宋_GB2312"/>
                      <w:sz w:val="21"/>
                      <w:color w:val="0000FF"/>
                    </w:rPr>
                    <w:t>10.水罐有效容积(m³)：≥9</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4</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25吨纯电动清洗车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1辆</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1.外型尺寸（长×宽×高）(mm)：≤10500×2500×3200</w:t>
                  </w:r>
                </w:p>
                <w:p>
                  <w:pPr>
                    <w:pStyle w:val="null3"/>
                    <w:spacing w:after="120"/>
                    <w:jc w:val="left"/>
                  </w:pPr>
                  <w:r>
                    <w:rPr>
                      <w:rFonts w:ascii="仿宋_GB2312" w:hAnsi="仿宋_GB2312" w:cs="仿宋_GB2312" w:eastAsia="仿宋_GB2312"/>
                      <w:sz w:val="21"/>
                      <w:color w:val="0000FF"/>
                    </w:rPr>
                    <w:t>2.总质量（kg）：≥25000</w:t>
                  </w:r>
                </w:p>
                <w:p>
                  <w:pPr>
                    <w:pStyle w:val="null3"/>
                    <w:spacing w:after="120"/>
                    <w:jc w:val="left"/>
                  </w:pPr>
                  <w:r>
                    <w:rPr>
                      <w:rFonts w:ascii="仿宋_GB2312" w:hAnsi="仿宋_GB2312" w:cs="仿宋_GB2312" w:eastAsia="仿宋_GB2312"/>
                      <w:sz w:val="21"/>
                      <w:color w:val="0000FF"/>
                    </w:rPr>
                    <w:t>3.额定载质量（kg）：≥12500</w:t>
                  </w:r>
                </w:p>
                <w:p>
                  <w:pPr>
                    <w:pStyle w:val="null3"/>
                    <w:spacing w:after="120"/>
                    <w:jc w:val="left"/>
                  </w:pPr>
                  <w:r>
                    <w:rPr>
                      <w:rFonts w:ascii="仿宋_GB2312" w:hAnsi="仿宋_GB2312" w:cs="仿宋_GB2312" w:eastAsia="仿宋_GB2312"/>
                      <w:sz w:val="21"/>
                      <w:color w:val="0000FF"/>
                    </w:rPr>
                    <w:t>4.整备质量（kg）：≤12000</w:t>
                  </w:r>
                </w:p>
                <w:p>
                  <w:pPr>
                    <w:pStyle w:val="null3"/>
                    <w:spacing w:after="120"/>
                    <w:jc w:val="left"/>
                  </w:pPr>
                  <w:r>
                    <w:rPr>
                      <w:rFonts w:ascii="仿宋_GB2312" w:hAnsi="仿宋_GB2312" w:cs="仿宋_GB2312" w:eastAsia="仿宋_GB2312"/>
                      <w:sz w:val="21"/>
                      <w:color w:val="0000FF"/>
                    </w:rPr>
                    <w:t>5.前悬/后悬（mm）：≤1900/2900</w:t>
                  </w:r>
                </w:p>
                <w:p>
                  <w:pPr>
                    <w:pStyle w:val="null3"/>
                    <w:spacing w:after="120"/>
                    <w:jc w:val="left"/>
                  </w:pPr>
                  <w:r>
                    <w:rPr>
                      <w:rFonts w:ascii="仿宋_GB2312" w:hAnsi="仿宋_GB2312" w:cs="仿宋_GB2312" w:eastAsia="仿宋_GB2312"/>
                      <w:sz w:val="21"/>
                      <w:color w:val="0000FF"/>
                    </w:rPr>
                    <w:t>6.接近角/离去角（°）：≥10/10</w:t>
                  </w:r>
                </w:p>
                <w:p>
                  <w:pPr>
                    <w:pStyle w:val="null3"/>
                    <w:spacing w:after="120"/>
                    <w:jc w:val="left"/>
                  </w:pPr>
                  <w:r>
                    <w:rPr>
                      <w:rFonts w:ascii="仿宋_GB2312" w:hAnsi="仿宋_GB2312" w:cs="仿宋_GB2312" w:eastAsia="仿宋_GB2312"/>
                      <w:sz w:val="21"/>
                      <w:color w:val="0000FF"/>
                    </w:rPr>
                    <w:t>7.轴距（mm）：≥4000+1300</w:t>
                  </w:r>
                </w:p>
                <w:p>
                  <w:pPr>
                    <w:pStyle w:val="null3"/>
                    <w:spacing w:after="120"/>
                    <w:jc w:val="left"/>
                  </w:pPr>
                  <w:r>
                    <w:rPr>
                      <w:rFonts w:ascii="仿宋_GB2312" w:hAnsi="仿宋_GB2312" w:cs="仿宋_GB2312" w:eastAsia="仿宋_GB2312"/>
                      <w:sz w:val="21"/>
                      <w:color w:val="0000FF"/>
                    </w:rPr>
                    <w:t>8.电池电量（kWh）：≥240</w:t>
                  </w:r>
                </w:p>
                <w:p>
                  <w:pPr>
                    <w:pStyle w:val="null3"/>
                    <w:spacing w:after="120"/>
                    <w:jc w:val="left"/>
                  </w:pPr>
                  <w:r>
                    <w:rPr>
                      <w:rFonts w:ascii="仿宋_GB2312" w:hAnsi="仿宋_GB2312" w:cs="仿宋_GB2312" w:eastAsia="仿宋_GB2312"/>
                      <w:sz w:val="21"/>
                      <w:color w:val="0000FF"/>
                    </w:rPr>
                    <w:t>9.公告罐体总容量(m³)：≥12</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5</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8吨纯电动自装卸式垃圾车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1辆</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1.外型尺寸：长×宽×高(mm)≤ 5950×2100×2650</w:t>
                  </w:r>
                </w:p>
                <w:p>
                  <w:pPr>
                    <w:pStyle w:val="null3"/>
                    <w:spacing w:after="120"/>
                    <w:jc w:val="left"/>
                  </w:pPr>
                  <w:r>
                    <w:rPr>
                      <w:rFonts w:ascii="仿宋_GB2312" w:hAnsi="仿宋_GB2312" w:cs="仿宋_GB2312" w:eastAsia="仿宋_GB2312"/>
                      <w:sz w:val="21"/>
                      <w:color w:val="0000FF"/>
                    </w:rPr>
                    <w:t>2.总质量(kg)≥8000</w:t>
                  </w:r>
                </w:p>
                <w:p>
                  <w:pPr>
                    <w:pStyle w:val="null3"/>
                    <w:spacing w:after="120"/>
                    <w:jc w:val="left"/>
                  </w:pPr>
                  <w:r>
                    <w:rPr>
                      <w:rFonts w:ascii="仿宋_GB2312" w:hAnsi="仿宋_GB2312" w:cs="仿宋_GB2312" w:eastAsia="仿宋_GB2312"/>
                      <w:sz w:val="21"/>
                      <w:color w:val="0000FF"/>
                    </w:rPr>
                    <w:t>3.额定载质量(kg)≥2700</w:t>
                  </w:r>
                </w:p>
                <w:p>
                  <w:pPr>
                    <w:pStyle w:val="null3"/>
                    <w:spacing w:after="120"/>
                    <w:jc w:val="left"/>
                  </w:pPr>
                  <w:r>
                    <w:rPr>
                      <w:rFonts w:ascii="仿宋_GB2312" w:hAnsi="仿宋_GB2312" w:cs="仿宋_GB2312" w:eastAsia="仿宋_GB2312"/>
                      <w:sz w:val="21"/>
                      <w:color w:val="0000FF"/>
                    </w:rPr>
                    <w:t>4.整备质量(kg)≥5000</w:t>
                  </w:r>
                </w:p>
                <w:p>
                  <w:pPr>
                    <w:pStyle w:val="null3"/>
                    <w:spacing w:after="120"/>
                    <w:jc w:val="left"/>
                  </w:pPr>
                  <w:r>
                    <w:rPr>
                      <w:rFonts w:ascii="仿宋_GB2312" w:hAnsi="仿宋_GB2312" w:cs="仿宋_GB2312" w:eastAsia="仿宋_GB2312"/>
                      <w:sz w:val="21"/>
                      <w:color w:val="0000FF"/>
                    </w:rPr>
                    <w:t xml:space="preserve">5.接近角/离去角（°）≥19/14  </w:t>
                  </w:r>
                </w:p>
                <w:p>
                  <w:pPr>
                    <w:pStyle w:val="null3"/>
                    <w:spacing w:after="120"/>
                    <w:jc w:val="left"/>
                  </w:pPr>
                  <w:r>
                    <w:rPr>
                      <w:rFonts w:ascii="仿宋_GB2312" w:hAnsi="仿宋_GB2312" w:cs="仿宋_GB2312" w:eastAsia="仿宋_GB2312"/>
                      <w:sz w:val="21"/>
                      <w:color w:val="0000FF"/>
                    </w:rPr>
                    <w:t>6.最小转弯直径(m)≤14</w:t>
                  </w:r>
                </w:p>
                <w:p>
                  <w:pPr>
                    <w:pStyle w:val="null3"/>
                    <w:spacing w:after="120"/>
                    <w:jc w:val="left"/>
                  </w:pPr>
                  <w:r>
                    <w:rPr>
                      <w:rFonts w:ascii="仿宋_GB2312" w:hAnsi="仿宋_GB2312" w:cs="仿宋_GB2312" w:eastAsia="仿宋_GB2312"/>
                      <w:sz w:val="21"/>
                      <w:color w:val="0000FF"/>
                    </w:rPr>
                    <w:t>7.轴距(mm)≥3200</w:t>
                  </w:r>
                </w:p>
                <w:p>
                  <w:pPr>
                    <w:pStyle w:val="null3"/>
                    <w:spacing w:after="120"/>
                    <w:jc w:val="left"/>
                  </w:pPr>
                  <w:r>
                    <w:rPr>
                      <w:rFonts w:ascii="仿宋_GB2312" w:hAnsi="仿宋_GB2312" w:cs="仿宋_GB2312" w:eastAsia="仿宋_GB2312"/>
                      <w:sz w:val="21"/>
                      <w:color w:val="0000FF"/>
                    </w:rPr>
                    <w:t>8.电池总储电量(kWh)≥100</w:t>
                  </w:r>
                </w:p>
                <w:p>
                  <w:pPr>
                    <w:pStyle w:val="null3"/>
                    <w:spacing w:after="120"/>
                    <w:jc w:val="left"/>
                  </w:pPr>
                  <w:r>
                    <w:rPr>
                      <w:rFonts w:ascii="仿宋_GB2312" w:hAnsi="仿宋_GB2312" w:cs="仿宋_GB2312" w:eastAsia="仿宋_GB2312"/>
                      <w:sz w:val="21"/>
                      <w:color w:val="0000FF"/>
                    </w:rPr>
                    <w:t>10.上料循环时间(s)≤20</w:t>
                  </w:r>
                </w:p>
                <w:p>
                  <w:pPr>
                    <w:pStyle w:val="null3"/>
                    <w:spacing w:after="120"/>
                    <w:jc w:val="left"/>
                  </w:pPr>
                  <w:r>
                    <w:rPr>
                      <w:rFonts w:ascii="仿宋_GB2312" w:hAnsi="仿宋_GB2312" w:cs="仿宋_GB2312" w:eastAsia="仿宋_GB2312"/>
                      <w:sz w:val="21"/>
                      <w:color w:val="0000FF"/>
                    </w:rPr>
                    <w:t>11.压填循环时间(s)≤20</w:t>
                  </w:r>
                </w:p>
                <w:p>
                  <w:pPr>
                    <w:pStyle w:val="null3"/>
                    <w:spacing w:after="120"/>
                    <w:jc w:val="left"/>
                  </w:pPr>
                  <w:r>
                    <w:rPr>
                      <w:rFonts w:ascii="仿宋_GB2312" w:hAnsi="仿宋_GB2312" w:cs="仿宋_GB2312" w:eastAsia="仿宋_GB2312"/>
                      <w:sz w:val="21"/>
                      <w:color w:val="0000FF"/>
                    </w:rPr>
                    <w:t>12.卸料循环时间(s)≤60</w:t>
                  </w:r>
                </w:p>
                <w:p>
                  <w:pPr>
                    <w:pStyle w:val="null3"/>
                    <w:spacing w:after="120"/>
                    <w:jc w:val="left"/>
                  </w:pPr>
                  <w:r>
                    <w:rPr>
                      <w:rFonts w:ascii="仿宋_GB2312" w:hAnsi="仿宋_GB2312" w:cs="仿宋_GB2312" w:eastAsia="仿宋_GB2312"/>
                      <w:sz w:val="21"/>
                      <w:color w:val="0000FF"/>
                    </w:rPr>
                    <w:t>13.垃圾箱容积(m³)≥7</w:t>
                  </w:r>
                </w:p>
                <w:p>
                  <w:pPr>
                    <w:pStyle w:val="null3"/>
                    <w:spacing w:after="120"/>
                    <w:jc w:val="left"/>
                  </w:pPr>
                  <w:r>
                    <w:rPr>
                      <w:rFonts w:ascii="仿宋_GB2312" w:hAnsi="仿宋_GB2312" w:cs="仿宋_GB2312" w:eastAsia="仿宋_GB2312"/>
                      <w:sz w:val="21"/>
                      <w:color w:val="0000FF"/>
                    </w:rPr>
                    <w:t>14.垃圾箱卸料口宽度(mm)≥1800</w:t>
                  </w:r>
                </w:p>
                <w:p>
                  <w:pPr>
                    <w:pStyle w:val="null3"/>
                    <w:spacing w:after="120"/>
                    <w:jc w:val="left"/>
                  </w:pPr>
                  <w:r>
                    <w:rPr>
                      <w:rFonts w:ascii="仿宋_GB2312" w:hAnsi="仿宋_GB2312" w:cs="仿宋_GB2312" w:eastAsia="仿宋_GB2312"/>
                      <w:sz w:val="21"/>
                      <w:color w:val="0000FF"/>
                    </w:rPr>
                    <w:t>16.功能要求:标配 120L/240L/660L 上料</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6</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4吨纯电动自装卸式垃圾车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3辆</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1.外形尺寸（mm）≤5200×2000×2250</w:t>
                  </w:r>
                </w:p>
                <w:p>
                  <w:pPr>
                    <w:pStyle w:val="null3"/>
                    <w:spacing w:after="120"/>
                    <w:jc w:val="left"/>
                  </w:pPr>
                  <w:r>
                    <w:rPr>
                      <w:rFonts w:ascii="仿宋_GB2312" w:hAnsi="仿宋_GB2312" w:cs="仿宋_GB2312" w:eastAsia="仿宋_GB2312"/>
                      <w:sz w:val="21"/>
                      <w:color w:val="0000FF"/>
                    </w:rPr>
                    <w:t>2.总质量（kg）≥4400</w:t>
                  </w:r>
                </w:p>
                <w:p>
                  <w:pPr>
                    <w:pStyle w:val="null3"/>
                    <w:spacing w:after="120"/>
                    <w:jc w:val="left"/>
                  </w:pPr>
                  <w:r>
                    <w:rPr>
                      <w:rFonts w:ascii="仿宋_GB2312" w:hAnsi="仿宋_GB2312" w:cs="仿宋_GB2312" w:eastAsia="仿宋_GB2312"/>
                      <w:sz w:val="21"/>
                      <w:color w:val="0000FF"/>
                    </w:rPr>
                    <w:t>3.整备质量（kg）≤3100</w:t>
                  </w:r>
                </w:p>
                <w:p>
                  <w:pPr>
                    <w:pStyle w:val="null3"/>
                    <w:spacing w:after="120"/>
                    <w:jc w:val="left"/>
                  </w:pPr>
                  <w:r>
                    <w:rPr>
                      <w:rFonts w:ascii="仿宋_GB2312" w:hAnsi="仿宋_GB2312" w:cs="仿宋_GB2312" w:eastAsia="仿宋_GB2312"/>
                      <w:sz w:val="21"/>
                      <w:color w:val="0000FF"/>
                    </w:rPr>
                    <w:t>4.额定载质量（kg）≥1300</w:t>
                  </w:r>
                </w:p>
                <w:p>
                  <w:pPr>
                    <w:pStyle w:val="null3"/>
                    <w:spacing w:after="120"/>
                    <w:jc w:val="left"/>
                  </w:pPr>
                  <w:r>
                    <w:rPr>
                      <w:rFonts w:ascii="仿宋_GB2312" w:hAnsi="仿宋_GB2312" w:cs="仿宋_GB2312" w:eastAsia="仿宋_GB2312"/>
                      <w:sz w:val="21"/>
                      <w:color w:val="0000FF"/>
                    </w:rPr>
                    <w:t>5.前悬/后悬（mm）≤1200/1300</w:t>
                  </w:r>
                </w:p>
                <w:p>
                  <w:pPr>
                    <w:pStyle w:val="null3"/>
                    <w:spacing w:after="120"/>
                    <w:jc w:val="left"/>
                  </w:pPr>
                  <w:r>
                    <w:rPr>
                      <w:rFonts w:ascii="仿宋_GB2312" w:hAnsi="仿宋_GB2312" w:cs="仿宋_GB2312" w:eastAsia="仿宋_GB2312"/>
                      <w:sz w:val="21"/>
                      <w:color w:val="0000FF"/>
                    </w:rPr>
                    <w:t>6.接近角/离去角（°）≥18/15</w:t>
                  </w:r>
                </w:p>
                <w:p>
                  <w:pPr>
                    <w:pStyle w:val="null3"/>
                    <w:spacing w:after="120"/>
                    <w:jc w:val="left"/>
                  </w:pPr>
                  <w:r>
                    <w:rPr>
                      <w:rFonts w:ascii="仿宋_GB2312" w:hAnsi="仿宋_GB2312" w:cs="仿宋_GB2312" w:eastAsia="仿宋_GB2312"/>
                      <w:sz w:val="21"/>
                      <w:color w:val="0000FF"/>
                    </w:rPr>
                    <w:t>7.轴距（mm）≤2850</w:t>
                  </w:r>
                </w:p>
                <w:p>
                  <w:pPr>
                    <w:pStyle w:val="null3"/>
                    <w:spacing w:after="120"/>
                    <w:jc w:val="left"/>
                  </w:pPr>
                  <w:r>
                    <w:rPr>
                      <w:rFonts w:ascii="仿宋_GB2312" w:hAnsi="仿宋_GB2312" w:cs="仿宋_GB2312" w:eastAsia="仿宋_GB2312"/>
                      <w:sz w:val="21"/>
                      <w:color w:val="0000FF"/>
                    </w:rPr>
                    <w:t>8.电池容量（kw.h）≥50</w:t>
                  </w:r>
                </w:p>
                <w:p>
                  <w:pPr>
                    <w:pStyle w:val="null3"/>
                    <w:spacing w:after="120"/>
                    <w:jc w:val="left"/>
                  </w:pPr>
                  <w:r>
                    <w:rPr>
                      <w:rFonts w:ascii="仿宋_GB2312" w:hAnsi="仿宋_GB2312" w:cs="仿宋_GB2312" w:eastAsia="仿宋_GB2312"/>
                      <w:sz w:val="21"/>
                      <w:color w:val="0000FF"/>
                    </w:rPr>
                    <w:t>9.电机峰值功率（kw）≥90</w:t>
                  </w:r>
                </w:p>
                <w:p>
                  <w:pPr>
                    <w:pStyle w:val="null3"/>
                    <w:spacing w:after="120"/>
                    <w:jc w:val="left"/>
                  </w:pPr>
                  <w:r>
                    <w:rPr>
                      <w:rFonts w:ascii="仿宋_GB2312" w:hAnsi="仿宋_GB2312" w:cs="仿宋_GB2312" w:eastAsia="仿宋_GB2312"/>
                      <w:sz w:val="21"/>
                      <w:color w:val="0000FF"/>
                    </w:rPr>
                    <w:t>10.箱体最大举升角度（°）≥80</w:t>
                  </w:r>
                </w:p>
                <w:p>
                  <w:pPr>
                    <w:pStyle w:val="null3"/>
                    <w:spacing w:after="120"/>
                    <w:jc w:val="left"/>
                  </w:pPr>
                  <w:r>
                    <w:rPr>
                      <w:rFonts w:ascii="仿宋_GB2312" w:hAnsi="仿宋_GB2312" w:cs="仿宋_GB2312" w:eastAsia="仿宋_GB2312"/>
                      <w:sz w:val="21"/>
                      <w:color w:val="0000FF"/>
                    </w:rPr>
                    <w:t>11.上料循环时间（s）≤15</w:t>
                  </w:r>
                </w:p>
                <w:p>
                  <w:pPr>
                    <w:pStyle w:val="null3"/>
                    <w:spacing w:after="120"/>
                    <w:jc w:val="left"/>
                  </w:pPr>
                  <w:r>
                    <w:rPr>
                      <w:rFonts w:ascii="仿宋_GB2312" w:hAnsi="仿宋_GB2312" w:cs="仿宋_GB2312" w:eastAsia="仿宋_GB2312"/>
                      <w:sz w:val="21"/>
                      <w:color w:val="0000FF"/>
                    </w:rPr>
                    <w:t>12.压填循环时间（s）≤25</w:t>
                  </w:r>
                </w:p>
                <w:p>
                  <w:pPr>
                    <w:pStyle w:val="null3"/>
                    <w:spacing w:after="120"/>
                    <w:jc w:val="left"/>
                  </w:pPr>
                  <w:r>
                    <w:rPr>
                      <w:rFonts w:ascii="仿宋_GB2312" w:hAnsi="仿宋_GB2312" w:cs="仿宋_GB2312" w:eastAsia="仿宋_GB2312"/>
                      <w:sz w:val="21"/>
                      <w:color w:val="0000FF"/>
                    </w:rPr>
                    <w:t>13.卸料循环时间（s）≤45</w:t>
                  </w:r>
                </w:p>
                <w:p>
                  <w:pPr>
                    <w:pStyle w:val="null3"/>
                    <w:spacing w:after="120"/>
                    <w:jc w:val="left"/>
                  </w:pPr>
                  <w:r>
                    <w:rPr>
                      <w:rFonts w:ascii="仿宋_GB2312" w:hAnsi="仿宋_GB2312" w:cs="仿宋_GB2312" w:eastAsia="仿宋_GB2312"/>
                      <w:sz w:val="21"/>
                      <w:color w:val="0000FF"/>
                    </w:rPr>
                    <w:t>14.垃圾箱有效容积（m³）≥4</w:t>
                  </w:r>
                </w:p>
                <w:p>
                  <w:pPr>
                    <w:pStyle w:val="null3"/>
                    <w:spacing w:after="120"/>
                    <w:jc w:val="left"/>
                  </w:pPr>
                  <w:r>
                    <w:rPr>
                      <w:rFonts w:ascii="仿宋_GB2312" w:hAnsi="仿宋_GB2312" w:cs="仿宋_GB2312" w:eastAsia="仿宋_GB2312"/>
                      <w:sz w:val="21"/>
                      <w:color w:val="0000FF"/>
                    </w:rPr>
                    <w:t>15.功能要求:标配 120L/240L/660L 上料</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7</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3吨纯电动自装卸式垃圾车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3辆</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1.外型尺寸（长×宽×高）(mm)：≤5100×2100×2400</w:t>
                  </w:r>
                </w:p>
                <w:p>
                  <w:pPr>
                    <w:pStyle w:val="null3"/>
                    <w:spacing w:after="120"/>
                    <w:jc w:val="left"/>
                  </w:pPr>
                  <w:r>
                    <w:rPr>
                      <w:rFonts w:ascii="仿宋_GB2312" w:hAnsi="仿宋_GB2312" w:cs="仿宋_GB2312" w:eastAsia="仿宋_GB2312"/>
                      <w:sz w:val="21"/>
                      <w:color w:val="0000FF"/>
                    </w:rPr>
                    <w:t>2.总质量（kg）：≥3200</w:t>
                  </w:r>
                </w:p>
                <w:p>
                  <w:pPr>
                    <w:pStyle w:val="null3"/>
                    <w:spacing w:after="120"/>
                    <w:jc w:val="left"/>
                  </w:pPr>
                  <w:r>
                    <w:rPr>
                      <w:rFonts w:ascii="仿宋_GB2312" w:hAnsi="仿宋_GB2312" w:cs="仿宋_GB2312" w:eastAsia="仿宋_GB2312"/>
                      <w:sz w:val="21"/>
                      <w:color w:val="0000FF"/>
                    </w:rPr>
                    <w:t>3.额定载质量（kg）：≥800</w:t>
                  </w:r>
                </w:p>
                <w:p>
                  <w:pPr>
                    <w:pStyle w:val="null3"/>
                    <w:spacing w:after="120"/>
                    <w:jc w:val="left"/>
                  </w:pPr>
                  <w:r>
                    <w:rPr>
                      <w:rFonts w:ascii="仿宋_GB2312" w:hAnsi="仿宋_GB2312" w:cs="仿宋_GB2312" w:eastAsia="仿宋_GB2312"/>
                      <w:sz w:val="21"/>
                      <w:color w:val="0000FF"/>
                    </w:rPr>
                    <w:t>4.整备质量（</w:t>
                  </w:r>
                  <w:r>
                    <w:rPr>
                      <w:rFonts w:ascii="仿宋_GB2312" w:hAnsi="仿宋_GB2312" w:cs="仿宋_GB2312" w:eastAsia="仿宋_GB2312"/>
                      <w:sz w:val="21"/>
                      <w:color w:val="0000FF"/>
                    </w:rPr>
                    <w:t>kg）：≤2450</w:t>
                  </w:r>
                </w:p>
                <w:p>
                  <w:pPr>
                    <w:pStyle w:val="null3"/>
                    <w:spacing w:after="120"/>
                    <w:jc w:val="left"/>
                  </w:pPr>
                  <w:r>
                    <w:rPr>
                      <w:rFonts w:ascii="仿宋_GB2312" w:hAnsi="仿宋_GB2312" w:cs="仿宋_GB2312" w:eastAsia="仿宋_GB2312"/>
                      <w:sz w:val="21"/>
                      <w:color w:val="0000FF"/>
                    </w:rPr>
                    <w:t>5.前悬/后悬（mm）：≤1100/1350</w:t>
                  </w:r>
                </w:p>
                <w:p>
                  <w:pPr>
                    <w:pStyle w:val="null3"/>
                    <w:spacing w:after="120"/>
                    <w:jc w:val="left"/>
                  </w:pPr>
                  <w:r>
                    <w:rPr>
                      <w:rFonts w:ascii="仿宋_GB2312" w:hAnsi="仿宋_GB2312" w:cs="仿宋_GB2312" w:eastAsia="仿宋_GB2312"/>
                      <w:sz w:val="21"/>
                      <w:color w:val="0000FF"/>
                    </w:rPr>
                    <w:t>6.接近角/离去角（°）：≥14/10</w:t>
                  </w:r>
                </w:p>
                <w:p>
                  <w:pPr>
                    <w:pStyle w:val="null3"/>
                    <w:spacing w:after="120"/>
                    <w:jc w:val="left"/>
                  </w:pPr>
                  <w:r>
                    <w:rPr>
                      <w:rFonts w:ascii="仿宋_GB2312" w:hAnsi="仿宋_GB2312" w:cs="仿宋_GB2312" w:eastAsia="仿宋_GB2312"/>
                      <w:sz w:val="21"/>
                      <w:color w:val="0000FF"/>
                    </w:rPr>
                    <w:t>7.轴距（mm）：≥2400</w:t>
                  </w:r>
                </w:p>
                <w:p>
                  <w:pPr>
                    <w:pStyle w:val="null3"/>
                    <w:spacing w:after="120"/>
                    <w:jc w:val="left"/>
                  </w:pPr>
                  <w:r>
                    <w:rPr>
                      <w:rFonts w:ascii="仿宋_GB2312" w:hAnsi="仿宋_GB2312" w:cs="仿宋_GB2312" w:eastAsia="仿宋_GB2312"/>
                      <w:sz w:val="21"/>
                      <w:color w:val="0000FF"/>
                    </w:rPr>
                    <w:t>8.电池电量（kWh）：≥40</w:t>
                  </w:r>
                </w:p>
                <w:p>
                  <w:pPr>
                    <w:pStyle w:val="null3"/>
                    <w:spacing w:after="120"/>
                    <w:jc w:val="left"/>
                  </w:pPr>
                  <w:r>
                    <w:rPr>
                      <w:rFonts w:ascii="仿宋_GB2312" w:hAnsi="仿宋_GB2312" w:cs="仿宋_GB2312" w:eastAsia="仿宋_GB2312"/>
                      <w:sz w:val="21"/>
                      <w:color w:val="0000FF"/>
                    </w:rPr>
                    <w:t>9.底盘电机峰值功率（kw）：≥50</w:t>
                  </w:r>
                </w:p>
                <w:p>
                  <w:pPr>
                    <w:pStyle w:val="null3"/>
                    <w:spacing w:after="120"/>
                    <w:jc w:val="left"/>
                  </w:pPr>
                  <w:r>
                    <w:rPr>
                      <w:rFonts w:ascii="仿宋_GB2312" w:hAnsi="仿宋_GB2312" w:cs="仿宋_GB2312" w:eastAsia="仿宋_GB2312"/>
                      <w:sz w:val="21"/>
                      <w:color w:val="0000FF"/>
                    </w:rPr>
                    <w:t>10.垃圾箱有效容积(m³)：≥3</w:t>
                  </w:r>
                </w:p>
                <w:p>
                  <w:pPr>
                    <w:pStyle w:val="null3"/>
                    <w:spacing w:after="120"/>
                    <w:jc w:val="left"/>
                  </w:pPr>
                  <w:r>
                    <w:rPr>
                      <w:rFonts w:ascii="仿宋_GB2312" w:hAnsi="仿宋_GB2312" w:cs="仿宋_GB2312" w:eastAsia="仿宋_GB2312"/>
                      <w:sz w:val="21"/>
                      <w:color w:val="0000FF"/>
                    </w:rPr>
                    <w:t>11.功能要求:标配 120L/240L/660L 上料</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8</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12吨自卸式建筑垃圾运输车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1辆</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1.燃油类型：柴油，排放：（国Ⅵ）</w:t>
                  </w:r>
                </w:p>
                <w:p>
                  <w:pPr>
                    <w:pStyle w:val="null3"/>
                    <w:spacing w:after="120"/>
                    <w:jc w:val="left"/>
                  </w:pPr>
                  <w:r>
                    <w:rPr>
                      <w:rFonts w:ascii="仿宋_GB2312" w:hAnsi="仿宋_GB2312" w:cs="仿宋_GB2312" w:eastAsia="仿宋_GB2312"/>
                      <w:sz w:val="21"/>
                      <w:color w:val="0000FF"/>
                    </w:rPr>
                    <w:t>2.外形尺寸（长×宽×高）(mm)：≤6000×2160×2250</w:t>
                  </w:r>
                </w:p>
                <w:p>
                  <w:pPr>
                    <w:pStyle w:val="null3"/>
                    <w:spacing w:after="120"/>
                    <w:jc w:val="left"/>
                  </w:pPr>
                  <w:r>
                    <w:rPr>
                      <w:rFonts w:ascii="仿宋_GB2312" w:hAnsi="仿宋_GB2312" w:cs="仿宋_GB2312" w:eastAsia="仿宋_GB2312"/>
                      <w:sz w:val="21"/>
                      <w:color w:val="0000FF"/>
                    </w:rPr>
                    <w:t>3..柴油发动机功率(kw)≥120</w:t>
                  </w:r>
                </w:p>
                <w:p>
                  <w:pPr>
                    <w:pStyle w:val="null3"/>
                    <w:spacing w:after="120"/>
                    <w:jc w:val="left"/>
                  </w:pPr>
                  <w:r>
                    <w:rPr>
                      <w:rFonts w:ascii="仿宋_GB2312" w:hAnsi="仿宋_GB2312" w:cs="仿宋_GB2312" w:eastAsia="仿宋_GB2312"/>
                      <w:sz w:val="21"/>
                      <w:color w:val="0000FF"/>
                    </w:rPr>
                    <w:t>4.总质量（kg）：≥11000</w:t>
                  </w:r>
                </w:p>
                <w:p>
                  <w:pPr>
                    <w:pStyle w:val="null3"/>
                    <w:spacing w:after="120"/>
                    <w:jc w:val="left"/>
                  </w:pPr>
                  <w:r>
                    <w:rPr>
                      <w:rFonts w:ascii="仿宋_GB2312" w:hAnsi="仿宋_GB2312" w:cs="仿宋_GB2312" w:eastAsia="仿宋_GB2312"/>
                      <w:sz w:val="21"/>
                      <w:color w:val="0000FF"/>
                    </w:rPr>
                    <w:t>5.额定载质量（kg）：≥6900</w:t>
                  </w:r>
                </w:p>
                <w:p>
                  <w:pPr>
                    <w:pStyle w:val="null3"/>
                    <w:spacing w:after="120"/>
                    <w:jc w:val="left"/>
                  </w:pPr>
                  <w:r>
                    <w:rPr>
                      <w:rFonts w:ascii="仿宋_GB2312" w:hAnsi="仿宋_GB2312" w:cs="仿宋_GB2312" w:eastAsia="仿宋_GB2312"/>
                      <w:sz w:val="21"/>
                      <w:color w:val="0000FF"/>
                    </w:rPr>
                    <w:t>6.整备质量（kg）：≤4200</w:t>
                  </w:r>
                </w:p>
                <w:p>
                  <w:pPr>
                    <w:pStyle w:val="null3"/>
                    <w:spacing w:after="120"/>
                    <w:jc w:val="left"/>
                  </w:pPr>
                  <w:r>
                    <w:rPr>
                      <w:rFonts w:ascii="仿宋_GB2312" w:hAnsi="仿宋_GB2312" w:cs="仿宋_GB2312" w:eastAsia="仿宋_GB2312"/>
                      <w:sz w:val="21"/>
                      <w:color w:val="0000FF"/>
                    </w:rPr>
                    <w:t>7.前悬/后悬（mm）：≤1200/1600</w:t>
                  </w:r>
                </w:p>
                <w:p>
                  <w:pPr>
                    <w:pStyle w:val="null3"/>
                    <w:spacing w:after="120"/>
                    <w:jc w:val="left"/>
                  </w:pPr>
                  <w:r>
                    <w:rPr>
                      <w:rFonts w:ascii="仿宋_GB2312" w:hAnsi="仿宋_GB2312" w:cs="仿宋_GB2312" w:eastAsia="仿宋_GB2312"/>
                      <w:sz w:val="21"/>
                      <w:color w:val="0000FF"/>
                    </w:rPr>
                    <w:t>8.轴距（mm）：≥3000</w:t>
                  </w:r>
                </w:p>
                <w:p>
                  <w:pPr>
                    <w:pStyle w:val="null3"/>
                    <w:spacing w:after="120"/>
                    <w:jc w:val="left"/>
                  </w:pPr>
                  <w:r>
                    <w:rPr>
                      <w:rFonts w:ascii="仿宋_GB2312" w:hAnsi="仿宋_GB2312" w:cs="仿宋_GB2312" w:eastAsia="仿宋_GB2312"/>
                      <w:sz w:val="21"/>
                      <w:color w:val="0000FF"/>
                    </w:rPr>
                    <w:t>9.货箱尺寸(mm)：≥3700×2100×800</w:t>
                  </w:r>
                </w:p>
                <w:p>
                  <w:pPr>
                    <w:pStyle w:val="null3"/>
                    <w:spacing w:after="120"/>
                    <w:jc w:val="left"/>
                  </w:pPr>
                  <w:r>
                    <w:rPr>
                      <w:rFonts w:ascii="仿宋_GB2312" w:hAnsi="仿宋_GB2312" w:cs="仿宋_GB2312" w:eastAsia="仿宋_GB2312"/>
                      <w:sz w:val="21"/>
                      <w:color w:val="0000FF"/>
                    </w:rPr>
                    <w:t>10.货箱材质为高强钢.板材厚度（mm）：≥底3边3</w:t>
                  </w:r>
                </w:p>
                <w:p>
                  <w:pPr>
                    <w:pStyle w:val="null3"/>
                    <w:spacing w:after="120"/>
                    <w:jc w:val="left"/>
                  </w:pPr>
                  <w:r>
                    <w:rPr>
                      <w:rFonts w:ascii="仿宋_GB2312" w:hAnsi="仿宋_GB2312" w:cs="仿宋_GB2312" w:eastAsia="仿宋_GB2312"/>
                      <w:sz w:val="21"/>
                      <w:color w:val="0000FF"/>
                    </w:rPr>
                    <w:t>11.驾驶室调温措施：配原厂冷暖空调</w:t>
                  </w:r>
                </w:p>
              </w:tc>
            </w:tr>
          </w:tbl>
          <w:p>
            <w:pPr>
              <w:pStyle w:val="null3"/>
            </w:pPr>
            <w:r>
              <w:rPr>
                <w:rFonts w:ascii="仿宋_GB2312" w:hAnsi="仿宋_GB2312" w:cs="仿宋_GB2312" w:eastAsia="仿宋_GB2312"/>
                <w:sz w:val="21"/>
                <w:b/>
                <w:color w:val="0000FF"/>
              </w:rPr>
              <w:t>备注：</w:t>
            </w:r>
            <w:r>
              <w:rPr>
                <w:rFonts w:ascii="仿宋_GB2312" w:hAnsi="仿宋_GB2312" w:cs="仿宋_GB2312" w:eastAsia="仿宋_GB2312"/>
                <w:sz w:val="21"/>
                <w:b/>
                <w:color w:val="0000FF"/>
              </w:rPr>
              <w:t>1、本项目核心产品为：</w:t>
            </w:r>
            <w:r>
              <w:rPr>
                <w:rFonts w:ascii="仿宋_GB2312" w:hAnsi="仿宋_GB2312" w:cs="仿宋_GB2312" w:eastAsia="仿宋_GB2312"/>
                <w:sz w:val="21"/>
                <w:b/>
                <w:color w:val="0000FF"/>
              </w:rPr>
              <w:t>18吨纯电动洗扫车</w:t>
            </w:r>
            <w:r>
              <w:rPr>
                <w:rFonts w:ascii="仿宋_GB2312" w:hAnsi="仿宋_GB2312" w:cs="仿宋_GB2312" w:eastAsia="仿宋_GB2312"/>
                <w:sz w:val="21"/>
                <w:b/>
                <w:color w:val="0000FF"/>
              </w:rPr>
              <w:t>。如通过初审的有效供应商拟供核心产品的品牌相同，按照《政府采购货物和服务招标投标管理办法》（第</w:t>
            </w:r>
            <w:r>
              <w:rPr>
                <w:rFonts w:ascii="仿宋_GB2312" w:hAnsi="仿宋_GB2312" w:cs="仿宋_GB2312" w:eastAsia="仿宋_GB2312"/>
                <w:sz w:val="21"/>
                <w:b/>
                <w:color w:val="0000FF"/>
              </w:rPr>
              <w:t>87号令）规定，提供相同核心品牌产品且通过资格审查、符合性审查的不同供应商参加同一合同项下投标的，按一家供应商计算，评审后得分最高的同品牌供应商获得中标人推荐资格；评审得分相同的，以“培训及售后服务”得分高的优先，其他同品牌供应商不作为中标候选人。</w:t>
            </w:r>
          </w:p>
          <w:p>
            <w:pPr>
              <w:pStyle w:val="null3"/>
            </w:pPr>
            <w:r>
              <w:rPr>
                <w:rFonts w:ascii="仿宋_GB2312" w:hAnsi="仿宋_GB2312" w:cs="仿宋_GB2312" w:eastAsia="仿宋_GB2312"/>
                <w:sz w:val="21"/>
                <w:b/>
                <w:color w:val="0000FF"/>
              </w:rPr>
              <w:t>2、本项目所涉及的所有车辆报价须包含车辆购置税、交强险及车辆上户的所有费用，供应商自行考虑计入投标报价中，采购人不在单独支付。</w:t>
            </w:r>
          </w:p>
          <w:p>
            <w:pPr>
              <w:pStyle w:val="null3"/>
            </w:pPr>
            <w:r>
              <w:rPr>
                <w:rFonts w:ascii="仿宋_GB2312" w:hAnsi="仿宋_GB2312" w:cs="仿宋_GB2312" w:eastAsia="仿宋_GB2312"/>
                <w:sz w:val="21"/>
                <w:b/>
                <w:color w:val="0000FF"/>
              </w:rPr>
              <w:t>四、采购标的需满足的其他要求：</w:t>
            </w:r>
          </w:p>
          <w:tbl>
            <w:tblPr>
              <w:tblBorders>
                <w:top w:val="none" w:color="000000" w:sz="4"/>
                <w:left w:val="none" w:color="000000" w:sz="4"/>
                <w:bottom w:val="none" w:color="000000" w:sz="4"/>
                <w:right w:val="none" w:color="000000" w:sz="4"/>
                <w:insideH w:val="none"/>
                <w:insideV w:val="none"/>
              </w:tblBorders>
            </w:tblPr>
            <w:tblGrid>
              <w:gridCol w:w="119"/>
              <w:gridCol w:w="592"/>
              <w:gridCol w:w="1834"/>
            </w:tblGrid>
            <w:tr>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序号</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名称</w:t>
                  </w:r>
                </w:p>
              </w:tc>
              <w:tc>
                <w:tcPr>
                  <w:tcW w:type="dxa" w:w="1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其他要求</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18吨纯电动洗扫车</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1.需配有独立的风机电机；扫盘需配有降尘系统；高压水路系统中需设有卸荷阀、安全阀；中控阀组上需装有压力表；</w:t>
                  </w:r>
                </w:p>
                <w:p>
                  <w:pPr>
                    <w:pStyle w:val="null3"/>
                    <w:spacing w:after="120"/>
                    <w:jc w:val="left"/>
                  </w:pPr>
                  <w:r>
                    <w:rPr>
                      <w:rFonts w:ascii="仿宋_GB2312" w:hAnsi="仿宋_GB2312" w:cs="仿宋_GB2312" w:eastAsia="仿宋_GB2312"/>
                      <w:sz w:val="21"/>
                      <w:color w:val="0000FF"/>
                    </w:rPr>
                    <w:t>2.垃圾箱内部需设有滤网；垃圾箱需内设高压自洁装置，可快速冲洗垃圾箱；清水箱需设置低水位传感器，垃圾箱设置高水位传感器；垃圾箱体需采用不锈钢板焊接而成；垃圾箱后门需采用锁钩式锁紧机构，配合橡胶密封条；垃圾箱后门卸料口下侧需设有导水槽；垃圾箱后门需设置有圆形观察孔和放水阀。</w:t>
                  </w:r>
                </w:p>
                <w:p>
                  <w:pPr>
                    <w:pStyle w:val="null3"/>
                    <w:spacing w:after="120"/>
                    <w:jc w:val="left"/>
                  </w:pPr>
                  <w:r>
                    <w:rPr>
                      <w:rFonts w:ascii="仿宋_GB2312" w:hAnsi="仿宋_GB2312" w:cs="仿宋_GB2312" w:eastAsia="仿宋_GB2312"/>
                      <w:sz w:val="21"/>
                      <w:color w:val="0000FF"/>
                    </w:rPr>
                    <w:t>3.液压系统需设有应急手动泵，确保整机失去动力时液压系统仍能工作；</w:t>
                  </w:r>
                </w:p>
                <w:p>
                  <w:pPr>
                    <w:pStyle w:val="null3"/>
                    <w:spacing w:after="120"/>
                    <w:jc w:val="left"/>
                  </w:pPr>
                  <w:r>
                    <w:rPr>
                      <w:rFonts w:ascii="仿宋_GB2312" w:hAnsi="仿宋_GB2312" w:cs="仿宋_GB2312" w:eastAsia="仿宋_GB2312"/>
                      <w:sz w:val="21"/>
                      <w:color w:val="0000FF"/>
                    </w:rPr>
                    <w:t>4.需具有自动吹水装置,在冬季作业完成后，可对管路进行自动吹水，确保管路冬季不会冻坏；需具有手持喷枪+卷管盘结构，可清洗道路两侧的污垢</w:t>
                  </w:r>
                </w:p>
                <w:p>
                  <w:pPr>
                    <w:pStyle w:val="null3"/>
                    <w:spacing w:after="120"/>
                    <w:jc w:val="left"/>
                  </w:pPr>
                  <w:r>
                    <w:rPr>
                      <w:rFonts w:ascii="仿宋_GB2312" w:hAnsi="仿宋_GB2312" w:cs="仿宋_GB2312" w:eastAsia="仿宋_GB2312"/>
                      <w:sz w:val="21"/>
                      <w:color w:val="0000FF"/>
                    </w:rPr>
                    <w:t>5.驾驶室需配有显示屏，用于车辆的各种洗扫作业操作、状态监控、信息查询；车辆后部需装有摄像头，驾驶室内装有彩色显示屏。</w:t>
                  </w:r>
                </w:p>
                <w:p>
                  <w:pPr>
                    <w:pStyle w:val="null3"/>
                    <w:spacing w:after="120"/>
                    <w:jc w:val="left"/>
                  </w:pPr>
                  <w:r>
                    <w:rPr>
                      <w:rFonts w:ascii="仿宋_GB2312" w:hAnsi="仿宋_GB2312" w:cs="仿宋_GB2312" w:eastAsia="仿宋_GB2312"/>
                      <w:sz w:val="21"/>
                      <w:color w:val="0000FF"/>
                    </w:rPr>
                    <w:t>6.左、右高压侧喷杆与吸嘴需采用“V”型布置，气控操作收放，可调整“V”形角度及高压水喷嘴角度，喷杆有防撞避障和自动复位功能。</w:t>
                  </w:r>
                </w:p>
                <w:p>
                  <w:pPr>
                    <w:pStyle w:val="null3"/>
                    <w:spacing w:after="120"/>
                    <w:jc w:val="left"/>
                  </w:pPr>
                  <w:r>
                    <w:rPr>
                      <w:rFonts w:ascii="仿宋_GB2312" w:hAnsi="仿宋_GB2312" w:cs="仿宋_GB2312" w:eastAsia="仿宋_GB2312"/>
                      <w:sz w:val="21"/>
                      <w:color w:val="0000FF"/>
                    </w:rPr>
                    <w:t>7.车辆需采用双风机双流道的风道系统，风机封闭、降噪音系统；车辆操作系统需设置全扫、左扫、右扫，全洗扫、左洗扫、右洗扫、全洗、左洗、右洗、纯吸10种或更多作业模式。作业模式选定后可实现一键起动作业/停机。</w:t>
                  </w:r>
                </w:p>
                <w:p>
                  <w:pPr>
                    <w:pStyle w:val="null3"/>
                    <w:spacing w:after="120"/>
                    <w:jc w:val="left"/>
                  </w:pPr>
                  <w:r>
                    <w:rPr>
                      <w:rFonts w:ascii="仿宋_GB2312" w:hAnsi="仿宋_GB2312" w:cs="仿宋_GB2312" w:eastAsia="仿宋_GB2312"/>
                      <w:sz w:val="21"/>
                      <w:color w:val="0000FF"/>
                    </w:rPr>
                    <w:t>8.前置鸭嘴冲洗及对冲洗，车辆后部配置下喷雾。驾驶室顶部工作警示灯及车后箭头指示灯。</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18吨清洗车（燃油）</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FF"/>
                    </w:rPr>
                    <w:t>1、采用自吸式双级离心泵。前鸭嘴冲洗装置采用电动控制，可水平/垂直360°范围任意调节冲洗方位。</w:t>
                  </w:r>
                </w:p>
                <w:p>
                  <w:pPr>
                    <w:pStyle w:val="null3"/>
                    <w:spacing w:after="120"/>
                    <w:jc w:val="both"/>
                  </w:pPr>
                  <w:r>
                    <w:rPr>
                      <w:rFonts w:ascii="仿宋_GB2312" w:hAnsi="仿宋_GB2312" w:cs="仿宋_GB2312" w:eastAsia="仿宋_GB2312"/>
                      <w:sz w:val="21"/>
                      <w:color w:val="0000FF"/>
                    </w:rPr>
                    <w:t>2、左右柱状冲洗装置有圆锥喷嘴各一个，双向冲洗，均为电动控制，喷嘴可水平/垂直360°任意调整，一次冲洗宽度不小于24米。</w:t>
                  </w:r>
                </w:p>
                <w:p>
                  <w:pPr>
                    <w:pStyle w:val="null3"/>
                    <w:spacing w:after="120"/>
                    <w:jc w:val="both"/>
                  </w:pPr>
                  <w:r>
                    <w:rPr>
                      <w:rFonts w:ascii="仿宋_GB2312" w:hAnsi="仿宋_GB2312" w:cs="仿宋_GB2312" w:eastAsia="仿宋_GB2312"/>
                      <w:sz w:val="21"/>
                      <w:color w:val="0000FF"/>
                    </w:rPr>
                    <w:t>3、后洒水装置采用电动控制后洒喷嘴的开启与关闭，同时开启两个后洒喷嘴时，洒水宽度不小于16米。</w:t>
                  </w:r>
                </w:p>
                <w:p>
                  <w:pPr>
                    <w:pStyle w:val="null3"/>
                    <w:spacing w:after="120"/>
                    <w:jc w:val="both"/>
                  </w:pPr>
                  <w:r>
                    <w:rPr>
                      <w:rFonts w:ascii="仿宋_GB2312" w:hAnsi="仿宋_GB2312" w:cs="仿宋_GB2312" w:eastAsia="仿宋_GB2312"/>
                      <w:sz w:val="21"/>
                      <w:color w:val="0000FF"/>
                    </w:rPr>
                    <w:t>4、后高喷为铝制远射程水枪。高喷水枪可左右360°旋转、枪体可上下俯仰操作。正反拧转枪体前部的调节套管，可调节水枪的喷射形状（柱状或雾状）及关闭水枪。</w:t>
                  </w:r>
                </w:p>
                <w:p>
                  <w:pPr>
                    <w:pStyle w:val="null3"/>
                    <w:spacing w:after="120"/>
                    <w:jc w:val="both"/>
                  </w:pPr>
                  <w:r>
                    <w:rPr>
                      <w:rFonts w:ascii="仿宋_GB2312" w:hAnsi="仿宋_GB2312" w:cs="仿宋_GB2312" w:eastAsia="仿宋_GB2312"/>
                      <w:sz w:val="21"/>
                      <w:color w:val="0000FF"/>
                    </w:rPr>
                    <w:t>5、水泵、管路、水阀均设放水排干功能。</w:t>
                  </w:r>
                </w:p>
                <w:p>
                  <w:pPr>
                    <w:pStyle w:val="null3"/>
                    <w:spacing w:after="120"/>
                    <w:jc w:val="both"/>
                  </w:pPr>
                  <w:r>
                    <w:rPr>
                      <w:rFonts w:ascii="仿宋_GB2312" w:hAnsi="仿宋_GB2312" w:cs="仿宋_GB2312" w:eastAsia="仿宋_GB2312"/>
                      <w:sz w:val="21"/>
                      <w:color w:val="0000FF"/>
                    </w:rPr>
                    <w:t>6.具有后视摄像及车内大屏显示。驾驶室顶部工作警示灯及车后箭头指示灯。</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3</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18吨纯电动清洗车</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FF"/>
                    </w:rPr>
                    <w:t>1.水罐需采用优质碳钢包罐成型,内部采用防波板缓冲结构设计。水罐内部采用专业防腐涂层处理。</w:t>
                  </w:r>
                </w:p>
                <w:p>
                  <w:pPr>
                    <w:pStyle w:val="null3"/>
                    <w:spacing w:after="120"/>
                    <w:jc w:val="both"/>
                  </w:pPr>
                  <w:r>
                    <w:rPr>
                      <w:rFonts w:ascii="仿宋_GB2312" w:hAnsi="仿宋_GB2312" w:cs="仿宋_GB2312" w:eastAsia="仿宋_GB2312"/>
                      <w:sz w:val="21"/>
                      <w:color w:val="0000FF"/>
                    </w:rPr>
                    <w:t>2.车辆需配备缺水报警；车辆需配有上装低压电机；车辆需具有前鸭嘴冲洗装置；车辆需具有对冲冲洗装置；车辆需具有后洒水装置；需配备低温环境下管路放水装置，水路系统各个低位设置有放水球阀，防止低温环境冻裂管路；需配备防滑爬梯。</w:t>
                  </w:r>
                </w:p>
                <w:p>
                  <w:pPr>
                    <w:pStyle w:val="null3"/>
                    <w:spacing w:after="120"/>
                    <w:jc w:val="both"/>
                  </w:pPr>
                  <w:r>
                    <w:rPr>
                      <w:rFonts w:ascii="仿宋_GB2312" w:hAnsi="仿宋_GB2312" w:cs="仿宋_GB2312" w:eastAsia="仿宋_GB2312"/>
                      <w:sz w:val="21"/>
                      <w:color w:val="0000FF"/>
                    </w:rPr>
                    <w:t>3.车辆需具有远射程水炮。水炮可360°旋转、炮体可上下俯仰操作。正反拧转炮体前部的调节套管，可调节水流的喷射形状（柱状或锥状）及关闭水炮。水炮由手动球阀控制，工作中可任意开闭水炮，水炮射程不小于50m。</w:t>
                  </w:r>
                </w:p>
                <w:p>
                  <w:pPr>
                    <w:pStyle w:val="null3"/>
                    <w:spacing w:after="120"/>
                    <w:jc w:val="both"/>
                  </w:pPr>
                  <w:r>
                    <w:rPr>
                      <w:rFonts w:ascii="仿宋_GB2312" w:hAnsi="仿宋_GB2312" w:cs="仿宋_GB2312" w:eastAsia="仿宋_GB2312"/>
                      <w:sz w:val="21"/>
                      <w:color w:val="0000FF"/>
                    </w:rPr>
                    <w:t>4.车辆需包含鸭嘴冲洗及对冲洗，后洒水、后喷雾，采用气动切断阀控制开启与关闭。后视摄像及车内大屏显示。驾驶室顶部工作警示灯及车后箭头指示灯。</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4</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25吨纯电动清洗车</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FF"/>
                    </w:rPr>
                    <w:t>1.水罐需采用优质碳钢包罐成型,内部采用防波板缓冲结构设计。水罐内部采用专业防腐涂层处理。</w:t>
                  </w:r>
                </w:p>
                <w:p>
                  <w:pPr>
                    <w:pStyle w:val="null3"/>
                    <w:spacing w:after="120"/>
                    <w:jc w:val="both"/>
                  </w:pPr>
                  <w:r>
                    <w:rPr>
                      <w:rFonts w:ascii="仿宋_GB2312" w:hAnsi="仿宋_GB2312" w:cs="仿宋_GB2312" w:eastAsia="仿宋_GB2312"/>
                      <w:sz w:val="21"/>
                      <w:color w:val="0000FF"/>
                    </w:rPr>
                    <w:t>2.车辆需配备缺水报警；车辆需配有上装低压电机；车辆需具有前鸭嘴冲洗装置；车辆需具有对冲冲洗装置；车辆需具有后洒水装置；需配备低温环境下管路放水装置，水路系统各个低位设置有放水球阀，防止低温环境冻裂管路；需配备防滑爬梯。</w:t>
                  </w:r>
                </w:p>
                <w:p>
                  <w:pPr>
                    <w:pStyle w:val="null3"/>
                    <w:spacing w:after="120"/>
                    <w:jc w:val="both"/>
                  </w:pPr>
                  <w:r>
                    <w:rPr>
                      <w:rFonts w:ascii="仿宋_GB2312" w:hAnsi="仿宋_GB2312" w:cs="仿宋_GB2312" w:eastAsia="仿宋_GB2312"/>
                      <w:sz w:val="21"/>
                      <w:color w:val="0000FF"/>
                    </w:rPr>
                    <w:t>3.车辆需具有远射程水炮,安装于后工作台的右侧。水炮可360°旋转、炮体可上下俯仰操作。正反拧转炮体前部的调节套管，可调节水流的喷射形状（柱状或锥状）及关闭水炮。水炮由手动球阀控制，工作中可任意开闭水炮，水炮射程不小于50m。</w:t>
                  </w:r>
                </w:p>
                <w:p>
                  <w:pPr>
                    <w:pStyle w:val="null3"/>
                    <w:spacing w:after="120"/>
                    <w:jc w:val="both"/>
                  </w:pPr>
                  <w:r>
                    <w:rPr>
                      <w:rFonts w:ascii="仿宋_GB2312" w:hAnsi="仿宋_GB2312" w:cs="仿宋_GB2312" w:eastAsia="仿宋_GB2312"/>
                      <w:sz w:val="21"/>
                      <w:color w:val="0000FF"/>
                    </w:rPr>
                    <w:t>4.车辆需包含鸭嘴冲洗及对冲洗，后洒水、后喷雾，采用气动切断阀控制开启与关闭。后视摄像及车内大屏显示。驾驶室顶部工作警示灯及车后箭头指示灯。</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5</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8吨纯电动自装卸式垃圾车</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FF"/>
                    </w:rPr>
                    <w:t>1.垃圾箱需采用无泄漏船形设计。</w:t>
                  </w:r>
                </w:p>
                <w:p>
                  <w:pPr>
                    <w:pStyle w:val="null3"/>
                    <w:spacing w:after="120"/>
                    <w:jc w:val="both"/>
                  </w:pPr>
                  <w:r>
                    <w:rPr>
                      <w:rFonts w:ascii="仿宋_GB2312" w:hAnsi="仿宋_GB2312" w:cs="仿宋_GB2312" w:eastAsia="仿宋_GB2312"/>
                      <w:sz w:val="21"/>
                      <w:color w:val="0000FF"/>
                    </w:rPr>
                    <w:t>2.垃圾箱的上料方式需为后方高位上料，卸料 方式为后倾翻卸料。</w:t>
                  </w:r>
                </w:p>
                <w:p>
                  <w:pPr>
                    <w:pStyle w:val="null3"/>
                    <w:spacing w:after="120"/>
                    <w:jc w:val="both"/>
                  </w:pPr>
                  <w:r>
                    <w:rPr>
                      <w:rFonts w:ascii="仿宋_GB2312" w:hAnsi="仿宋_GB2312" w:cs="仿宋_GB2312" w:eastAsia="仿宋_GB2312"/>
                      <w:sz w:val="21"/>
                      <w:color w:val="0000FF"/>
                    </w:rPr>
                    <w:t>3.垃圾箱需具有压填机构，有刮板和滑板结构， 可对松散垃圾进行压缩。</w:t>
                  </w:r>
                </w:p>
                <w:p>
                  <w:pPr>
                    <w:pStyle w:val="null3"/>
                    <w:spacing w:after="120"/>
                    <w:jc w:val="both"/>
                  </w:pPr>
                  <w:r>
                    <w:rPr>
                      <w:rFonts w:ascii="仿宋_GB2312" w:hAnsi="仿宋_GB2312" w:cs="仿宋_GB2312" w:eastAsia="仿宋_GB2312"/>
                      <w:sz w:val="21"/>
                      <w:color w:val="0000FF"/>
                    </w:rPr>
                    <w:t>4.车辆需采用“控制器+CAN 总线”的控制模式， 可按不同的要求编制不同的控制程序。 控制器需具有短路保护。</w:t>
                  </w:r>
                </w:p>
                <w:p>
                  <w:pPr>
                    <w:pStyle w:val="null3"/>
                    <w:spacing w:after="120"/>
                    <w:jc w:val="both"/>
                  </w:pPr>
                  <w:r>
                    <w:rPr>
                      <w:rFonts w:ascii="仿宋_GB2312" w:hAnsi="仿宋_GB2312" w:cs="仿宋_GB2312" w:eastAsia="仿宋_GB2312"/>
                      <w:sz w:val="21"/>
                      <w:color w:val="0000FF"/>
                    </w:rPr>
                    <w:t>5.操作盒需设有停止按钮，压填循环作业出现 危险情况时可紧急停止操作。</w:t>
                  </w:r>
                </w:p>
                <w:p>
                  <w:pPr>
                    <w:pStyle w:val="null3"/>
                    <w:spacing w:after="120"/>
                    <w:jc w:val="both"/>
                  </w:pPr>
                  <w:r>
                    <w:rPr>
                      <w:rFonts w:ascii="仿宋_GB2312" w:hAnsi="仿宋_GB2312" w:cs="仿宋_GB2312" w:eastAsia="仿宋_GB2312"/>
                      <w:sz w:val="21"/>
                      <w:color w:val="0000FF"/>
                    </w:rPr>
                    <w:t>6.车辆需配备报警系统。.需配备垃圾箱安全撑杆。车辆后部需设有安全支腿。车身需设有多个安全警示标贴。</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6</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4吨纯电动自装卸式垃圾车</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FF"/>
                    </w:rPr>
                    <w:t>1.箱体性能：箱体采用倒梯形设计。</w:t>
                  </w:r>
                </w:p>
                <w:p>
                  <w:pPr>
                    <w:pStyle w:val="null3"/>
                    <w:spacing w:after="120"/>
                    <w:jc w:val="both"/>
                  </w:pPr>
                  <w:r>
                    <w:rPr>
                      <w:rFonts w:ascii="仿宋_GB2312" w:hAnsi="仿宋_GB2312" w:cs="仿宋_GB2312" w:eastAsia="仿宋_GB2312"/>
                      <w:sz w:val="21"/>
                      <w:color w:val="0000FF"/>
                    </w:rPr>
                    <w:t>2.密封性能：箱体整体结构为倒梯形设计，四周采用密闭焊接，箱体底部向上550mm内为密闭无渗漏，无密封胶条。</w:t>
                  </w:r>
                </w:p>
                <w:p>
                  <w:pPr>
                    <w:pStyle w:val="null3"/>
                    <w:spacing w:after="120"/>
                    <w:jc w:val="both"/>
                  </w:pPr>
                  <w:r>
                    <w:rPr>
                      <w:rFonts w:ascii="仿宋_GB2312" w:hAnsi="仿宋_GB2312" w:cs="仿宋_GB2312" w:eastAsia="仿宋_GB2312"/>
                      <w:sz w:val="21"/>
                      <w:color w:val="0000FF"/>
                    </w:rPr>
                    <w:t>3.关键元器件：电气、液压系统的关键元器件，采用知名品牌元件并提供相应清单。</w:t>
                  </w:r>
                </w:p>
                <w:p>
                  <w:pPr>
                    <w:pStyle w:val="null3"/>
                    <w:spacing w:after="120"/>
                    <w:jc w:val="both"/>
                  </w:pPr>
                  <w:r>
                    <w:rPr>
                      <w:rFonts w:ascii="仿宋_GB2312" w:hAnsi="仿宋_GB2312" w:cs="仿宋_GB2312" w:eastAsia="仿宋_GB2312"/>
                      <w:sz w:val="21"/>
                      <w:color w:val="0000FF"/>
                    </w:rPr>
                    <w:t>4.车辆后部需设有安全支腿，垃圾箱卸料时安 全支腿打开，确保卸料时整车稳定性。</w:t>
                  </w:r>
                </w:p>
                <w:p>
                  <w:pPr>
                    <w:pStyle w:val="null3"/>
                    <w:spacing w:after="120"/>
                    <w:jc w:val="both"/>
                  </w:pPr>
                  <w:r>
                    <w:rPr>
                      <w:rFonts w:ascii="仿宋_GB2312" w:hAnsi="仿宋_GB2312" w:cs="仿宋_GB2312" w:eastAsia="仿宋_GB2312"/>
                      <w:sz w:val="21"/>
                      <w:color w:val="0000FF"/>
                    </w:rPr>
                    <w:t>5.刮板+滑板机构：收集压缩机构采用箱体顶部设计，为刮板+滑板联动式，滑板水平运动，使油缸力完全作用在垃圾上，将垃圾从尾部移至箱体前部。</w:t>
                  </w:r>
                </w:p>
                <w:p>
                  <w:pPr>
                    <w:pStyle w:val="null3"/>
                    <w:spacing w:after="120"/>
                    <w:jc w:val="both"/>
                  </w:pPr>
                  <w:r>
                    <w:rPr>
                      <w:rFonts w:ascii="仿宋_GB2312" w:hAnsi="仿宋_GB2312" w:cs="仿宋_GB2312" w:eastAsia="仿宋_GB2312"/>
                      <w:sz w:val="21"/>
                      <w:color w:val="0000FF"/>
                    </w:rPr>
                    <w:t>6..车身需设有多个安全警示标贴。</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7</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3吨纯电动自装卸式垃圾车</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FF"/>
                    </w:rPr>
                    <w:t>1.垃圾箱需采用无泄漏船形设计，确保无污水 滴漏。</w:t>
                  </w:r>
                </w:p>
                <w:p>
                  <w:pPr>
                    <w:pStyle w:val="null3"/>
                    <w:spacing w:after="120"/>
                    <w:jc w:val="both"/>
                  </w:pPr>
                  <w:r>
                    <w:rPr>
                      <w:rFonts w:ascii="仿宋_GB2312" w:hAnsi="仿宋_GB2312" w:cs="仿宋_GB2312" w:eastAsia="仿宋_GB2312"/>
                      <w:sz w:val="21"/>
                      <w:color w:val="0000FF"/>
                    </w:rPr>
                    <w:t>2.垃圾箱的上料方式需为后方高位上料，卸料 方式为后倾翻卸料。</w:t>
                  </w:r>
                </w:p>
                <w:p>
                  <w:pPr>
                    <w:pStyle w:val="null3"/>
                    <w:spacing w:after="120"/>
                    <w:jc w:val="both"/>
                  </w:pPr>
                  <w:r>
                    <w:rPr>
                      <w:rFonts w:ascii="仿宋_GB2312" w:hAnsi="仿宋_GB2312" w:cs="仿宋_GB2312" w:eastAsia="仿宋_GB2312"/>
                      <w:sz w:val="21"/>
                      <w:color w:val="0000FF"/>
                    </w:rPr>
                    <w:t>3.垃圾箱需具有压填机构，有刮板和滑板结构，可对松散垃圾进行压缩，提高转运效率。</w:t>
                  </w:r>
                </w:p>
                <w:p>
                  <w:pPr>
                    <w:pStyle w:val="null3"/>
                    <w:spacing w:after="120"/>
                    <w:jc w:val="both"/>
                  </w:pPr>
                  <w:r>
                    <w:rPr>
                      <w:rFonts w:ascii="仿宋_GB2312" w:hAnsi="仿宋_GB2312" w:cs="仿宋_GB2312" w:eastAsia="仿宋_GB2312"/>
                      <w:sz w:val="21"/>
                      <w:color w:val="0000FF"/>
                    </w:rPr>
                    <w:t>4.车辆需采用“控制器+CAN 总线”的控制模式， 可按不同的要求编制不同的控制程序，实现车 辆智能控制、安全控制以及人性化控制操作。 控制器需具有短路自我保护，可靠性高，操纵、 维修方便。</w:t>
                  </w:r>
                </w:p>
                <w:p>
                  <w:pPr>
                    <w:pStyle w:val="null3"/>
                    <w:spacing w:after="120"/>
                    <w:jc w:val="both"/>
                  </w:pPr>
                  <w:r>
                    <w:rPr>
                      <w:rFonts w:ascii="仿宋_GB2312" w:hAnsi="仿宋_GB2312" w:cs="仿宋_GB2312" w:eastAsia="仿宋_GB2312"/>
                      <w:sz w:val="21"/>
                      <w:color w:val="0000FF"/>
                    </w:rPr>
                    <w:t>5.操作盒需设有停止按钮，压填循环作业出现 危险情况时可紧急停止操作，确保安全。</w:t>
                  </w:r>
                </w:p>
                <w:p>
                  <w:pPr>
                    <w:pStyle w:val="null3"/>
                    <w:spacing w:after="120"/>
                    <w:jc w:val="both"/>
                  </w:pPr>
                  <w:r>
                    <w:rPr>
                      <w:rFonts w:ascii="仿宋_GB2312" w:hAnsi="仿宋_GB2312" w:cs="仿宋_GB2312" w:eastAsia="仿宋_GB2312"/>
                      <w:sz w:val="21"/>
                      <w:color w:val="0000FF"/>
                    </w:rPr>
                    <w:t>6.车辆需配备报警系统，在卸料作业时，蜂鸣 器能发出报警声音。</w:t>
                  </w:r>
                </w:p>
                <w:p>
                  <w:pPr>
                    <w:pStyle w:val="null3"/>
                    <w:spacing w:after="120"/>
                    <w:jc w:val="both"/>
                  </w:pPr>
                  <w:r>
                    <w:rPr>
                      <w:rFonts w:ascii="仿宋_GB2312" w:hAnsi="仿宋_GB2312" w:cs="仿宋_GB2312" w:eastAsia="仿宋_GB2312"/>
                      <w:sz w:val="21"/>
                      <w:color w:val="0000FF"/>
                    </w:rPr>
                    <w:t>7.需配备垃圾箱安全撑杆，能在维护作业时提 供可靠安全防护。</w:t>
                  </w:r>
                </w:p>
                <w:p>
                  <w:pPr>
                    <w:pStyle w:val="null3"/>
                    <w:spacing w:after="120"/>
                    <w:jc w:val="both"/>
                  </w:pPr>
                  <w:r>
                    <w:rPr>
                      <w:rFonts w:ascii="仿宋_GB2312" w:hAnsi="仿宋_GB2312" w:cs="仿宋_GB2312" w:eastAsia="仿宋_GB2312"/>
                      <w:sz w:val="21"/>
                      <w:color w:val="0000FF"/>
                    </w:rPr>
                    <w:t>8.车辆后部需设有安全支腿，垃圾箱卸料时安 全支腿打开，确保卸料时整车稳定性。</w:t>
                  </w:r>
                </w:p>
                <w:p>
                  <w:pPr>
                    <w:pStyle w:val="null3"/>
                    <w:spacing w:after="120"/>
                    <w:jc w:val="both"/>
                  </w:pPr>
                  <w:r>
                    <w:rPr>
                      <w:rFonts w:ascii="仿宋_GB2312" w:hAnsi="仿宋_GB2312" w:cs="仿宋_GB2312" w:eastAsia="仿宋_GB2312"/>
                      <w:sz w:val="21"/>
                      <w:color w:val="0000FF"/>
                    </w:rPr>
                    <w:t>9.车身需设有多个安全警示标贴。提示操作人 员注意安全。</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8</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12吨自卸式建筑垃圾运输车</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FF"/>
                    </w:rPr>
                    <w:t>1.自卸方式为后卸</w:t>
                  </w:r>
                </w:p>
                <w:p>
                  <w:pPr>
                    <w:pStyle w:val="null3"/>
                    <w:spacing w:after="120"/>
                    <w:jc w:val="both"/>
                  </w:pPr>
                  <w:r>
                    <w:rPr>
                      <w:rFonts w:ascii="仿宋_GB2312" w:hAnsi="仿宋_GB2312" w:cs="仿宋_GB2312" w:eastAsia="仿宋_GB2312"/>
                      <w:sz w:val="21"/>
                      <w:color w:val="0000FF"/>
                    </w:rPr>
                    <w:t>2.举升方式：双缸俯举</w:t>
                  </w:r>
                </w:p>
                <w:p>
                  <w:pPr>
                    <w:pStyle w:val="null3"/>
                    <w:spacing w:after="120"/>
                    <w:jc w:val="both"/>
                  </w:pPr>
                  <w:r>
                    <w:rPr>
                      <w:rFonts w:ascii="仿宋_GB2312" w:hAnsi="仿宋_GB2312" w:cs="仿宋_GB2312" w:eastAsia="仿宋_GB2312"/>
                      <w:sz w:val="21"/>
                      <w:color w:val="0000FF"/>
                    </w:rPr>
                    <w:t>3.加装电动环保伸缩篷布盖</w:t>
                  </w:r>
                </w:p>
              </w:tc>
            </w:tr>
          </w:tbl>
          <w:p>
            <w:pPr>
              <w:pStyle w:val="null3"/>
            </w:pPr>
            <w:r>
              <w:rPr>
                <w:rFonts w:ascii="仿宋_GB2312" w:hAnsi="仿宋_GB2312" w:cs="仿宋_GB2312" w:eastAsia="仿宋_GB2312"/>
                <w:sz w:val="21"/>
                <w:b/>
                <w:color w:val="0000FF"/>
              </w:rPr>
              <w:t>五、采购标的需满足的商务要求：</w:t>
            </w:r>
          </w:p>
          <w:p>
            <w:pPr>
              <w:pStyle w:val="null3"/>
              <w:ind w:right="90"/>
              <w:jc w:val="left"/>
            </w:pPr>
            <w:r>
              <w:rPr>
                <w:rFonts w:ascii="仿宋_GB2312" w:hAnsi="仿宋_GB2312" w:cs="仿宋_GB2312" w:eastAsia="仿宋_GB2312"/>
                <w:sz w:val="21"/>
                <w:color w:val="0000FF"/>
              </w:rPr>
              <w:t>1.交货时间：合同签订后45个日历天。</w:t>
            </w:r>
          </w:p>
          <w:p>
            <w:pPr>
              <w:pStyle w:val="null3"/>
              <w:jc w:val="left"/>
            </w:pPr>
            <w:r>
              <w:rPr>
                <w:rFonts w:ascii="仿宋_GB2312" w:hAnsi="仿宋_GB2312" w:cs="仿宋_GB2312" w:eastAsia="仿宋_GB2312"/>
                <w:sz w:val="21"/>
                <w:color w:val="0000FF"/>
              </w:rPr>
              <w:t>2.付款方式：</w:t>
            </w:r>
          </w:p>
          <w:p>
            <w:pPr>
              <w:pStyle w:val="null3"/>
              <w:jc w:val="left"/>
            </w:pPr>
            <w:r>
              <w:rPr>
                <w:rFonts w:ascii="仿宋_GB2312" w:hAnsi="仿宋_GB2312" w:cs="仿宋_GB2312" w:eastAsia="仿宋_GB2312"/>
                <w:sz w:val="21"/>
                <w:color w:val="0000FF"/>
              </w:rPr>
              <w:t>合同签订后，全部货物按招标文件交货时间约定交付使用。预付款为合同价款</w:t>
            </w:r>
            <w:r>
              <w:rPr>
                <w:rFonts w:ascii="仿宋_GB2312" w:hAnsi="仿宋_GB2312" w:cs="仿宋_GB2312" w:eastAsia="仿宋_GB2312"/>
                <w:sz w:val="21"/>
                <w:color w:val="0000FF"/>
              </w:rPr>
              <w:t>30%，货到现场甲方签收付合同价款40%，验收合格付合同价款30%。</w:t>
            </w:r>
          </w:p>
          <w:p>
            <w:pPr>
              <w:pStyle w:val="null3"/>
              <w:jc w:val="left"/>
            </w:pPr>
            <w:r>
              <w:rPr>
                <w:rFonts w:ascii="仿宋_GB2312" w:hAnsi="仿宋_GB2312" w:cs="仿宋_GB2312" w:eastAsia="仿宋_GB2312"/>
                <w:sz w:val="21"/>
                <w:color w:val="0000FF"/>
              </w:rPr>
              <w:t>3.质保期：整车质保两年，三电系统质保8年或40万公里。</w:t>
            </w:r>
          </w:p>
          <w:p>
            <w:pPr>
              <w:pStyle w:val="null3"/>
              <w:jc w:val="left"/>
            </w:pPr>
            <w:r>
              <w:rPr>
                <w:rFonts w:ascii="仿宋_GB2312" w:hAnsi="仿宋_GB2312" w:cs="仿宋_GB2312" w:eastAsia="仿宋_GB2312"/>
                <w:sz w:val="21"/>
                <w:color w:val="0000FF"/>
              </w:rPr>
              <w:t>4.质量标准：符合国家及行业质量验收合格标准。</w:t>
            </w:r>
          </w:p>
          <w:p>
            <w:pPr>
              <w:pStyle w:val="null3"/>
            </w:pPr>
            <w:r>
              <w:rPr>
                <w:rFonts w:ascii="仿宋_GB2312" w:hAnsi="仿宋_GB2312" w:cs="仿宋_GB2312" w:eastAsia="仿宋_GB2312"/>
                <w:sz w:val="21"/>
                <w:color w:val="0000FF"/>
              </w:rPr>
              <w:t>5.交货地点：勉县园林环卫服务中心。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勉县园林环卫服务中心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进度款，货到现场甲方签收，达到付款条件起15个工作日内，支付合同总金额的40.0%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甲方须在乙方提出书面验收申请之日起 10日内，组织验收工作。验收由甲方指定单位及人员进行验收，验收合格后出具书面验收合格证明，作为对产品的最终认可。 2、验收依据：单证齐全，应有产品合格证、质量证明、使用说明、保修保质证明、发票和其他应当具有的单证，并符合国家法律、法规对该产品规定的国家标准的要求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质保期：整车质保两年，三电系统质保8年或40万公里。详见合同。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属于支持本国产品采购项目。根据《国务院办公厅关于在政府采购中实施本国产品标准及相关政策的通知》（国办发〔2025〕34号）规定：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③供应商应根据招标文件第六章投标文件格式，出具符合要求的《关于符合本国产品标准的声明函》，否则视同非本国产品。供应商提供虚假《声明函》、虚假证明文件谋取中标、成交的，依照《政府采购法》等法律法规规定追究相应责任。 本项目采购包中含有多种产品，供应商除提供《关于符合本国产品标准的声明函》外，另须提供《关于符合本国产品成本占比的声明函》，未提供或提供不全的不享受价格扣除。 本项目评分标准：报价得分=（基准价/参评报价）×分值；享受价格扣除的：供应商参评价格=总报价×[1-（小微价格扣除比例+本国产品价格扣除比例）]。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拟供车辆资料</w:t>
            </w:r>
          </w:p>
        </w:tc>
        <w:tc>
          <w:tcPr>
            <w:tcW w:type="dxa" w:w="3322"/>
          </w:tcPr>
          <w:p>
            <w:pPr>
              <w:pStyle w:val="null3"/>
            </w:pPr>
            <w:r>
              <w:rPr>
                <w:rFonts w:ascii="仿宋_GB2312" w:hAnsi="仿宋_GB2312" w:cs="仿宋_GB2312" w:eastAsia="仿宋_GB2312"/>
              </w:rPr>
              <w:t>供应商拟供车型必须在国家工业和信息化部发布的《车辆生产企业及产品》公告内；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 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 （注：以投标文件中提供的承诺书为准）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1.根据财政部《关于推动解决政府采购异常低价问题的通知》（财库〔2026〕2号）“政府采购评审中出现下列情形之一的，评审委员会（磋商小组）应当启动异常低价投标（响应）审查程序”：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（4）评审委员会（磋商小组）基于专业判断，认为供应商报价过低，有可能影响产品质量或者不能诚信履约的其他情形。 评审委员会（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磋商小组）应当将其作为无效投标（响应）处理。 异常低价投标（响应）审查的启动原因、审查意见和审查结果应当在评审报告中记录，并随供应商提供的相关书面说明及证明材料，以及评审委员会（磋商小组）有关互联网浏览、查询历史一并归档。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法定代表人（负责人）身份证明及法定代表人（负责人）授权委托书.docx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供应商应提交的相关资格证明材料.docx 供应商认为需要提供的其他资料.docx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三、采购标的需满足的技术要求”共99项技术参数及要求，其中“▲”项为重要技术参数及要求，其他的为一般技术参数及要求。（1）“▲”项技术参数及要求共3项，供应商拟供产品的技术参数每有一项完全满足得4分，共12分；（2）一般技术参数及要求共95项，供应商拟供产品的技术参数每有一项完全满足得0.2分，共19分。 备注：供应商须提供拟供产品相关技术参数证明材料，包括但不限于产品介绍或说明书或检测报告等，供应商自行承担因未提供拟供产品技术参数证明材料导致技术参数被视为负偏离的风险。</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对供应商针对本项目提供的实施方案进行评审，包括但不限于以下内容： （1）供货组织安排、安装、检测、调试措施；（2）项目实施步骤、进度计划和保证措施；（3）安全控制方案；（4）组织机构人员配置、协调能力；（5）验收方案等。 以上5条内容，每条内容均完整的，得满分20分，每有一条内容缺项的，扣4分；每条内容中每有一处内容不完整或有缺陷或与项目不匹配的，扣1分，扣完为止。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对供应商针对本项目提供的培训及售后服务方案进行评审，包括但不限于以下内容: （1）质保期内及质保期满之后产品保修内容及范围；（2）售后流程及培训方案；（3）售后服务时间；（4）备品、配件保障措施；（5）售后巡查及维护安排；（6）售后服务监督与奖惩；（7）售后服务管理；（8）客诉渠道、承诺及保障措施。 以上8条内容，每条内容均完整的，得满分16分，每有一条内容缺项的，扣2分；每条内容中每有一处内容不完整或有缺陷或与项目不匹配的，扣1分，扣完为止。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供应商自2023年1月1日至投标截止时间所具有类似项目业绩，每提供1份计1.5分，满分3分。 注：以供应商投标文件中所附加盖公章的项目合同复印件为准，业绩时间以合同显示时间为准，否则不得分。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注：1、享受价格扣除的：投标人参评价格=投标总报价*[1-（小微价格扣除比例+本国产品价格扣除比例）]； 2、不享受价格扣除的：投标人参评价格=投标报价； 3、小微企业、监狱企业、残疾人福利性单位的价格给予10%的扣除，用扣除后的价格参与评审； 4、根据《国务院办公厅关于在政府采购中实施本国产品标准及相关政策的通知》（国办发〔2025〕34号）规定：①政府采购活动中既有本国产品又有非本国产品参与竞争的，依法对本国产品给予价格评审优惠，对本国产品的报价给予20%的价格扣除，用扣除后的价格参与评审。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③投标人应根据招标文件第六章 投标文件格式附件，出具符合要求的《关于符合本国产品标准的声明函》，否则视同非本国产品。投标人提供虚假《声明函》、虚假证明文件谋取中标、成交的，依照《政府采购法》等法律法规规定追究相应责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详见附件：类似项目情况表.docx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详见附件：法定代表人（负责人）身份证明及法定代表人（负责人）授权委托书.docx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