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版本号：XHZB-26-03820260612001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资产购置-除雪车</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XHZB-26-038</w:t>
      </w:r>
      <w:r>
        <w:br/>
      </w:r>
      <w:r>
        <w:br/>
      </w:r>
      <w:r>
        <w:br/>
      </w:r>
    </w:p>
    <w:p>
      <w:pPr>
        <w:pStyle w:val="null3"/>
        <w:jc w:val="center"/>
        <w:outlineLvl w:val="2"/>
      </w:pPr>
      <w:r>
        <w:rPr>
          <w:rFonts w:ascii="仿宋_GB2312" w:hAnsi="仿宋_GB2312" w:cs="仿宋_GB2312" w:eastAsia="仿宋_GB2312"/>
          <w:sz w:val="28"/>
          <w:b/>
        </w:rPr>
        <w:t>陕西省公路应急中心</w:t>
      </w:r>
    </w:p>
    <w:p>
      <w:pPr>
        <w:pStyle w:val="null3"/>
        <w:jc w:val="center"/>
        <w:outlineLvl w:val="2"/>
      </w:pPr>
      <w:r>
        <w:rPr>
          <w:rFonts w:ascii="仿宋_GB2312" w:hAnsi="仿宋_GB2312" w:cs="仿宋_GB2312" w:eastAsia="仿宋_GB2312"/>
          <w:sz w:val="28"/>
          <w:b/>
        </w:rPr>
        <w:t>信宏工程咨询有限公司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陕西省公路应急中心</w:t>
      </w:r>
      <w:r>
        <w:rPr>
          <w:rFonts w:ascii="仿宋_GB2312" w:hAnsi="仿宋_GB2312" w:cs="仿宋_GB2312" w:eastAsia="仿宋_GB2312"/>
        </w:rPr>
        <w:t>委托，拟对</w:t>
      </w:r>
      <w:r>
        <w:rPr>
          <w:rFonts w:ascii="仿宋_GB2312" w:hAnsi="仿宋_GB2312" w:cs="仿宋_GB2312" w:eastAsia="仿宋_GB2312"/>
        </w:rPr>
        <w:t>资产购置-除雪车</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XHZB-26-038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资产购置-除雪车</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采购除雪车1辆，用于我省道路冰雪寒潮天气应急抢险工作，服务经济社会，全力保障路网安全畅通与人民群众顺利安全出行的需求。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采购包1（除雪车采购项目）：属于专门面向中小企业采购。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1、所投车辆须列入工信部《道路机动车辆生产企业及产品公告》：所投车辆须列入工信部《道路机动车辆生产企业及产品公告》，提供公告页复印件并加盖公章。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陕西省公路应急中心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西安市灞桥区灞桥火车站街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陕西省公路应急中心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85390091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西安市曲江新区雁翔路曲江文创中心第七幢1单元24层12404号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万仕彬、耿萍、田丰原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15332301932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单位在合同签订前向甲方指定账户交纳履约保证金，履约保证金金额为成交金额的5%（货物类），质保服务期满后，在扣除相关款项后（若有），剩余部分无息返还。如遇下列情况之一者，合同履约保证金不予退还，作为对采购人的赔偿：（1）合同签订后不能按合同时限要求供货的； （2）所供产品与合同不符或验收不合格的； （3）不能按合同履约的。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在领取中标通知书时，向采购代理机构缴纳招标代理服务费，费用计取依据《陕西省公路应急中心2026年采购代理委托框架协议》，以中标价为基础，参照国家计委颁发的《招标代理服务收费管理暂行办法》(计价格[2002]1980号)和国家发展和改革委员会办公厅颁发的《关于招标代理服务收费有关问题的通知》(发改办价格[2003]857号)的有关规定标准，下浮17%取费，如代理费低于3000元的，按照3000元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陕西省公路应急中心</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陕西省公路应急中心</w:t>
      </w:r>
      <w:r>
        <w:rPr>
          <w:rFonts w:ascii="仿宋_GB2312" w:hAnsi="仿宋_GB2312" w:cs="仿宋_GB2312" w:eastAsia="仿宋_GB2312"/>
        </w:rPr>
        <w:t>负责解释。除上述招标文件内容，其他内容由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陕西省公路应急中心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信宏工程咨询有限公司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联系人：万仕彬、耿萍、田丰原</w:t>
      </w:r>
    </w:p>
    <w:p>
      <w:pPr>
        <w:pStyle w:val="null3"/>
      </w:pPr>
      <w:r>
        <w:rPr>
          <w:rFonts w:ascii="仿宋_GB2312" w:hAnsi="仿宋_GB2312" w:cs="仿宋_GB2312" w:eastAsia="仿宋_GB2312"/>
        </w:rPr>
        <w:t>联系电话：15332301932</w:t>
      </w:r>
    </w:p>
    <w:p>
      <w:pPr>
        <w:pStyle w:val="null3"/>
      </w:pPr>
      <w:r>
        <w:rPr>
          <w:rFonts w:ascii="仿宋_GB2312" w:hAnsi="仿宋_GB2312" w:cs="仿宋_GB2312" w:eastAsia="仿宋_GB2312"/>
        </w:rPr>
        <w:t>地址：西安市曲江新区雁翔路曲江文创中心第七幢1单元24层12404号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采购除雪车1辆，用于我省道路冰雪寒潮天气应急抢险工作，服务经济社会，全力保障路网安全畅通与人民群众顺利安全出行的需求。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除雪车（含前置除雪滚刷）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标的名称：除雪车（含前置除雪滚刷）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一、除雪</w:t>
            </w:r>
            <w:r>
              <w:rPr>
                <w:rFonts w:ascii="仿宋_GB2312" w:hAnsi="仿宋_GB2312" w:cs="仿宋_GB2312" w:eastAsia="仿宋_GB2312"/>
              </w:rPr>
              <w:t>车</w:t>
            </w:r>
          </w:p>
          <w:p>
            <w:pPr>
              <w:pStyle w:val="null3"/>
            </w:pPr>
            <w:r>
              <w:rPr>
                <w:rFonts w:ascii="仿宋_GB2312" w:hAnsi="仿宋_GB2312" w:cs="仿宋_GB2312" w:eastAsia="仿宋_GB2312"/>
              </w:rPr>
              <w:t>采购的除雪</w:t>
            </w:r>
            <w:r>
              <w:rPr>
                <w:rFonts w:ascii="仿宋_GB2312" w:hAnsi="仿宋_GB2312" w:cs="仿宋_GB2312" w:eastAsia="仿宋_GB2312"/>
              </w:rPr>
              <w:t>车</w:t>
            </w:r>
            <w:r>
              <w:rPr>
                <w:rFonts w:ascii="仿宋_GB2312" w:hAnsi="仿宋_GB2312" w:cs="仿宋_GB2312" w:eastAsia="仿宋_GB2312"/>
              </w:rPr>
              <w:t>必须为全新的、未使用过的合格产品，符合国家及行业相关标准。具体技术参数如下</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底盘</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采用</w:t>
            </w:r>
            <w:r>
              <w:rPr>
                <w:rFonts w:ascii="仿宋_GB2312" w:hAnsi="仿宋_GB2312" w:cs="仿宋_GB2312" w:eastAsia="仿宋_GB2312"/>
                <w:sz w:val="20"/>
              </w:rPr>
              <w:t>自卸式汽车底盘</w:t>
            </w:r>
            <w:r>
              <w:rPr>
                <w:rFonts w:ascii="仿宋_GB2312" w:hAnsi="仿宋_GB2312" w:cs="仿宋_GB2312" w:eastAsia="仿宋_GB2312"/>
                <w:sz w:val="20"/>
              </w:rPr>
              <w:t>，</w:t>
            </w:r>
            <w:r>
              <w:rPr>
                <w:rFonts w:ascii="仿宋_GB2312" w:hAnsi="仿宋_GB2312" w:cs="仿宋_GB2312" w:eastAsia="仿宋_GB2312"/>
                <w:sz w:val="20"/>
              </w:rPr>
              <w:t>国六排放标准；</w:t>
            </w:r>
          </w:p>
          <w:p>
            <w:pPr>
              <w:pStyle w:val="null3"/>
              <w:jc w:val="both"/>
            </w:pPr>
            <w:r>
              <w:rPr>
                <w:rFonts w:ascii="仿宋_GB2312" w:hAnsi="仿宋_GB2312" w:cs="仿宋_GB2312" w:eastAsia="仿宋_GB2312"/>
                <w:sz w:val="20"/>
              </w:rPr>
              <w:t>2、▲发动机功率≥2</w:t>
            </w:r>
            <w:r>
              <w:rPr>
                <w:rFonts w:ascii="仿宋_GB2312" w:hAnsi="仿宋_GB2312" w:cs="仿宋_GB2312" w:eastAsia="仿宋_GB2312"/>
                <w:sz w:val="20"/>
              </w:rPr>
              <w:t>9</w:t>
            </w:r>
            <w:r>
              <w:rPr>
                <w:rFonts w:ascii="仿宋_GB2312" w:hAnsi="仿宋_GB2312" w:cs="仿宋_GB2312" w:eastAsia="仿宋_GB2312"/>
                <w:sz w:val="20"/>
              </w:rPr>
              <w:t>0kw</w:t>
            </w:r>
            <w:r>
              <w:rPr>
                <w:rFonts w:ascii="仿宋_GB2312" w:hAnsi="仿宋_GB2312" w:cs="仿宋_GB2312" w:eastAsia="仿宋_GB2312"/>
                <w:sz w:val="20"/>
              </w:rPr>
              <w:t>，</w:t>
            </w:r>
            <w:r>
              <w:rPr>
                <w:rFonts w:ascii="仿宋_GB2312" w:hAnsi="仿宋_GB2312" w:cs="仿宋_GB2312" w:eastAsia="仿宋_GB2312"/>
                <w:sz w:val="20"/>
              </w:rPr>
              <w:t>发动机排量</w:t>
            </w:r>
            <w:r>
              <w:rPr>
                <w:rFonts w:ascii="仿宋_GB2312" w:hAnsi="仿宋_GB2312" w:cs="仿宋_GB2312" w:eastAsia="仿宋_GB2312"/>
                <w:sz w:val="20"/>
              </w:rPr>
              <w:t>≥9500ml</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★基本要求：整车外形尺寸（长宽高）：≥</w:t>
            </w:r>
            <w:r>
              <w:rPr>
                <w:rFonts w:ascii="仿宋_GB2312" w:hAnsi="仿宋_GB2312" w:cs="仿宋_GB2312" w:eastAsia="仿宋_GB2312"/>
                <w:sz w:val="20"/>
              </w:rPr>
              <w:t>9600</w:t>
            </w:r>
            <w:r>
              <w:rPr>
                <w:rFonts w:ascii="仿宋_GB2312" w:hAnsi="仿宋_GB2312" w:cs="仿宋_GB2312" w:eastAsia="仿宋_GB2312"/>
                <w:sz w:val="20"/>
              </w:rPr>
              <w:t>*2500*3100mm。总质量：≥25000kg；轴距</w:t>
            </w:r>
            <w:r>
              <w:rPr>
                <w:rFonts w:ascii="仿宋_GB2312" w:hAnsi="仿宋_GB2312" w:cs="仿宋_GB2312" w:eastAsia="仿宋_GB2312"/>
                <w:sz w:val="21"/>
              </w:rPr>
              <w:t xml:space="preserve"> </w:t>
            </w:r>
            <w:r>
              <w:rPr>
                <w:rFonts w:ascii="仿宋_GB2312" w:hAnsi="仿宋_GB2312" w:cs="仿宋_GB2312" w:eastAsia="仿宋_GB2312"/>
                <w:sz w:val="20"/>
              </w:rPr>
              <w:t>≥4</w:t>
            </w:r>
            <w:r>
              <w:rPr>
                <w:rFonts w:ascii="仿宋_GB2312" w:hAnsi="仿宋_GB2312" w:cs="仿宋_GB2312" w:eastAsia="仿宋_GB2312"/>
                <w:sz w:val="20"/>
              </w:rPr>
              <w:t>3</w:t>
            </w:r>
            <w:r>
              <w:rPr>
                <w:rFonts w:ascii="仿宋_GB2312" w:hAnsi="仿宋_GB2312" w:cs="仿宋_GB2312" w:eastAsia="仿宋_GB2312"/>
                <w:sz w:val="20"/>
              </w:rPr>
              <w:t>00+1350mm。</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车辆须列入国家工业和信息化部、税务总局发布的《免征车辆购置税目录》，上牌时可免征车辆购置税。</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除雪铲</w:t>
            </w:r>
          </w:p>
          <w:p>
            <w:pPr>
              <w:pStyle w:val="null3"/>
            </w:pPr>
            <w:r>
              <w:rPr>
                <w:rFonts w:ascii="仿宋_GB2312" w:hAnsi="仿宋_GB2312" w:cs="仿宋_GB2312" w:eastAsia="仿宋_GB2312"/>
                <w:sz w:val="20"/>
              </w:rPr>
              <w:t>1、推雪铲宽度(mm)≥3600；推雪铲高度(mm)≥1200；</w:t>
            </w:r>
            <w:r>
              <w:rPr>
                <w:rFonts w:ascii="仿宋_GB2312" w:hAnsi="仿宋_GB2312" w:cs="仿宋_GB2312" w:eastAsia="仿宋_GB2312"/>
                <w:sz w:val="20"/>
              </w:rPr>
              <w:t>左右摆角度</w:t>
            </w:r>
            <w:r>
              <w:rPr>
                <w:rFonts w:ascii="仿宋_GB2312" w:hAnsi="仿宋_GB2312" w:cs="仿宋_GB2312" w:eastAsia="仿宋_GB2312"/>
                <w:sz w:val="20"/>
              </w:rPr>
              <w:t>≥±30°</w:t>
            </w:r>
          </w:p>
          <w:p>
            <w:pPr>
              <w:pStyle w:val="null3"/>
            </w:pPr>
            <w:r>
              <w:rPr>
                <w:rFonts w:ascii="仿宋_GB2312" w:hAnsi="仿宋_GB2312" w:cs="仿宋_GB2312" w:eastAsia="仿宋_GB2312"/>
                <w:sz w:val="20"/>
              </w:rPr>
              <w:t>2、</w:t>
            </w:r>
            <w:r>
              <w:rPr>
                <w:rFonts w:ascii="仿宋_GB2312" w:hAnsi="仿宋_GB2312" w:cs="仿宋_GB2312" w:eastAsia="仿宋_GB2312"/>
                <w:sz w:val="20"/>
              </w:rPr>
              <w:t>▲推雪铲铲刃尺寸（mm）：≥200x15（宽x厚）（提供实物照片及实际测量尺寸图片）；</w:t>
            </w:r>
          </w:p>
          <w:p>
            <w:pPr>
              <w:pStyle w:val="null3"/>
            </w:pPr>
            <w:r>
              <w:rPr>
                <w:rFonts w:ascii="仿宋_GB2312" w:hAnsi="仿宋_GB2312" w:cs="仿宋_GB2312" w:eastAsia="仿宋_GB2312"/>
                <w:sz w:val="20"/>
              </w:rPr>
              <w:t>2、铲刃材质NM-450以上（提供证明材料）</w:t>
            </w:r>
          </w:p>
          <w:p>
            <w:pPr>
              <w:pStyle w:val="null3"/>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避障形式：需采用整体扭簧铲刃翻转式；</w:t>
            </w:r>
          </w:p>
          <w:p>
            <w:pPr>
              <w:pStyle w:val="null3"/>
            </w:pPr>
            <w:r>
              <w:rPr>
                <w:rFonts w:ascii="仿宋_GB2312" w:hAnsi="仿宋_GB2312" w:cs="仿宋_GB2312" w:eastAsia="仿宋_GB2312"/>
                <w:sz w:val="20"/>
              </w:rPr>
              <w:t>4、背部加强筋数量（条）≥8（提供实物图片）</w:t>
            </w:r>
          </w:p>
          <w:p>
            <w:pPr>
              <w:pStyle w:val="null3"/>
            </w:pPr>
            <w:r>
              <w:rPr>
                <w:rFonts w:ascii="仿宋_GB2312" w:hAnsi="仿宋_GB2312" w:cs="仿宋_GB2312" w:eastAsia="仿宋_GB2312"/>
                <w:sz w:val="20"/>
              </w:rPr>
              <w:t>5、铲体两侧有厚度≥25mm加强防撞结构，更能有效保护铲体边缘。</w:t>
            </w:r>
          </w:p>
          <w:p>
            <w:pPr>
              <w:pStyle w:val="null3"/>
            </w:pPr>
            <w:r>
              <w:rPr>
                <w:rFonts w:ascii="仿宋_GB2312" w:hAnsi="仿宋_GB2312" w:cs="仿宋_GB2312" w:eastAsia="仿宋_GB2312"/>
                <w:sz w:val="20"/>
              </w:rPr>
              <w:t>6、升降形式为铁链链接：上端链接独立托架。下端链接铲体推架，铁链具有多点链接特点，升降高低多点可调。</w:t>
            </w:r>
          </w:p>
          <w:p>
            <w:pPr>
              <w:pStyle w:val="null3"/>
            </w:pPr>
            <w:r>
              <w:rPr>
                <w:rFonts w:ascii="仿宋_GB2312" w:hAnsi="仿宋_GB2312" w:cs="仿宋_GB2312" w:eastAsia="仿宋_GB2312"/>
                <w:sz w:val="20"/>
              </w:rPr>
              <w:t>7、独特的自动平衡功能：当车辆颠簸或倾斜时，雪铲始终与路面水平切合，可防止连接件扭伤，又能保证除雪效果。</w:t>
            </w:r>
          </w:p>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除雪滚刷</w:t>
            </w:r>
          </w:p>
          <w:p>
            <w:pPr>
              <w:pStyle w:val="null3"/>
              <w:jc w:val="both"/>
            </w:pPr>
            <w:r>
              <w:rPr>
                <w:rFonts w:ascii="仿宋_GB2312" w:hAnsi="仿宋_GB2312" w:cs="仿宋_GB2312" w:eastAsia="仿宋_GB2312"/>
                <w:sz w:val="20"/>
              </w:rPr>
              <w:t>1、滚刷宽度≥3500（mm）</w:t>
            </w:r>
            <w:r>
              <w:rPr>
                <w:rFonts w:ascii="仿宋_GB2312" w:hAnsi="仿宋_GB2312" w:cs="仿宋_GB2312" w:eastAsia="仿宋_GB2312"/>
                <w:sz w:val="20"/>
              </w:rPr>
              <w:t>；</w:t>
            </w:r>
            <w:r>
              <w:rPr>
                <w:rFonts w:ascii="仿宋_GB2312" w:hAnsi="仿宋_GB2312" w:cs="仿宋_GB2312" w:eastAsia="仿宋_GB2312"/>
                <w:sz w:val="20"/>
              </w:rPr>
              <w:t>滚刷直径</w:t>
            </w:r>
            <w:r>
              <w:rPr>
                <w:rFonts w:ascii="仿宋_GB2312" w:hAnsi="仿宋_GB2312" w:cs="仿宋_GB2312" w:eastAsia="仿宋_GB2312"/>
                <w:sz w:val="20"/>
              </w:rPr>
              <w:t>≥800（mm）</w:t>
            </w:r>
            <w:r>
              <w:rPr>
                <w:rFonts w:ascii="仿宋_GB2312" w:hAnsi="仿宋_GB2312" w:cs="仿宋_GB2312" w:eastAsia="仿宋_GB2312"/>
                <w:sz w:val="20"/>
              </w:rPr>
              <w:t>，</w:t>
            </w:r>
            <w:r>
              <w:rPr>
                <w:rFonts w:ascii="仿宋_GB2312" w:hAnsi="仿宋_GB2312" w:cs="仿宋_GB2312" w:eastAsia="仿宋_GB2312"/>
                <w:sz w:val="20"/>
              </w:rPr>
              <w:t>工作转速</w:t>
            </w:r>
            <w:r>
              <w:rPr>
                <w:rFonts w:ascii="仿宋_GB2312" w:hAnsi="仿宋_GB2312" w:cs="仿宋_GB2312" w:eastAsia="仿宋_GB2312"/>
                <w:sz w:val="20"/>
              </w:rPr>
              <w:t>≥400rpm；</w:t>
            </w:r>
            <w:r>
              <w:rPr>
                <w:rFonts w:ascii="仿宋_GB2312" w:hAnsi="仿宋_GB2312" w:cs="仿宋_GB2312" w:eastAsia="仿宋_GB2312"/>
                <w:sz w:val="20"/>
              </w:rPr>
              <w:t>2、</w:t>
            </w:r>
            <w:r>
              <w:rPr>
                <w:rFonts w:ascii="仿宋_GB2312" w:hAnsi="仿宋_GB2312" w:cs="仿宋_GB2312" w:eastAsia="仿宋_GB2312"/>
                <w:sz w:val="20"/>
              </w:rPr>
              <w:t>左右摆角度</w:t>
            </w:r>
            <w:r>
              <w:rPr>
                <w:rFonts w:ascii="仿宋_GB2312" w:hAnsi="仿宋_GB2312" w:cs="仿宋_GB2312" w:eastAsia="仿宋_GB2312"/>
                <w:sz w:val="20"/>
              </w:rPr>
              <w:t>≥±30°</w:t>
            </w:r>
            <w:r>
              <w:rPr>
                <w:rFonts w:ascii="仿宋_GB2312" w:hAnsi="仿宋_GB2312" w:cs="仿宋_GB2312" w:eastAsia="仿宋_GB2312"/>
                <w:sz w:val="20"/>
              </w:rPr>
              <w:t>；</w:t>
            </w:r>
            <w:r>
              <w:rPr>
                <w:rFonts w:ascii="仿宋_GB2312" w:hAnsi="仿宋_GB2312" w:cs="仿宋_GB2312" w:eastAsia="仿宋_GB2312"/>
                <w:sz w:val="20"/>
              </w:rPr>
              <w:t>适应路面不平整度</w:t>
            </w:r>
            <w:r>
              <w:rPr>
                <w:rFonts w:ascii="仿宋_GB2312" w:hAnsi="仿宋_GB2312" w:cs="仿宋_GB2312" w:eastAsia="仿宋_GB2312"/>
                <w:sz w:val="20"/>
              </w:rPr>
              <w:t>≥10°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、马达排量</w:t>
            </w:r>
            <w:r>
              <w:rPr>
                <w:rFonts w:ascii="仿宋_GB2312" w:hAnsi="仿宋_GB2312" w:cs="仿宋_GB2312" w:eastAsia="仿宋_GB2312"/>
                <w:sz w:val="20"/>
              </w:rPr>
              <w:t>≥310ml/r</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、滚刷采用双侧液压马达驱动，马达与刷轴通过柔性联轴器连接，且马达外探部分有成型钢板保护。（提供</w:t>
            </w:r>
            <w:r>
              <w:rPr>
                <w:rFonts w:ascii="仿宋_GB2312" w:hAnsi="仿宋_GB2312" w:cs="仿宋_GB2312" w:eastAsia="仿宋_GB2312"/>
                <w:sz w:val="20"/>
              </w:rPr>
              <w:t>实物照片</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▲采用一体式白钢刷罩，耐腐蚀易清理。</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、刷苗采用圆盘式直列单片装，刷苗材质为聚丙烯刷丝</w:t>
            </w:r>
            <w:r>
              <w:rPr>
                <w:rFonts w:ascii="仿宋_GB2312" w:hAnsi="仿宋_GB2312" w:cs="仿宋_GB2312" w:eastAsia="仿宋_GB2312"/>
                <w:sz w:val="20"/>
              </w:rPr>
              <w:t>,单根刷丝拉伸强度≥1000（提供</w:t>
            </w:r>
            <w:r>
              <w:rPr>
                <w:rFonts w:ascii="仿宋_GB2312" w:hAnsi="仿宋_GB2312" w:cs="仿宋_GB2312" w:eastAsia="仿宋_GB2312"/>
                <w:sz w:val="20"/>
              </w:rPr>
              <w:t>第三方</w:t>
            </w:r>
            <w:r>
              <w:rPr>
                <w:rFonts w:ascii="仿宋_GB2312" w:hAnsi="仿宋_GB2312" w:cs="仿宋_GB2312" w:eastAsia="仿宋_GB2312"/>
                <w:sz w:val="20"/>
              </w:rPr>
              <w:t>检测报告）</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、整个系统的操作完全在驾驶室内进行，通过按钮实现滚刷的升</w:t>
            </w:r>
            <w:r>
              <w:rPr>
                <w:rFonts w:ascii="仿宋_GB2312" w:hAnsi="仿宋_GB2312" w:cs="仿宋_GB2312" w:eastAsia="仿宋_GB2312"/>
                <w:sz w:val="20"/>
              </w:rPr>
              <w:t>/降、左/右偏转、清扫等操作</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除雪滚刷</w:t>
            </w:r>
            <w:r>
              <w:rPr>
                <w:rFonts w:ascii="仿宋_GB2312" w:hAnsi="仿宋_GB2312" w:cs="仿宋_GB2312" w:eastAsia="仿宋_GB2312"/>
                <w:sz w:val="20"/>
              </w:rPr>
              <w:t>支撑机构采用单边单轮，实心</w:t>
            </w:r>
            <w:r>
              <w:rPr>
                <w:rFonts w:ascii="仿宋_GB2312" w:hAnsi="仿宋_GB2312" w:cs="仿宋_GB2312" w:eastAsia="仿宋_GB2312"/>
                <w:sz w:val="20"/>
              </w:rPr>
              <w:t>或充气</w:t>
            </w:r>
            <w:r>
              <w:rPr>
                <w:rFonts w:ascii="仿宋_GB2312" w:hAnsi="仿宋_GB2312" w:cs="仿宋_GB2312" w:eastAsia="仿宋_GB2312"/>
                <w:sz w:val="20"/>
              </w:rPr>
              <w:t>轮胎，随动转向，刷毛触地面积可通过支撑轮伸缩支柱调整。支撑轮直径</w:t>
            </w:r>
            <w:r>
              <w:rPr>
                <w:rFonts w:ascii="仿宋_GB2312" w:hAnsi="仿宋_GB2312" w:cs="仿宋_GB2312" w:eastAsia="仿宋_GB2312"/>
                <w:sz w:val="20"/>
              </w:rPr>
              <w:t>≥400mm，支撑轮宽≥150mm（提供实物</w:t>
            </w:r>
            <w:r>
              <w:rPr>
                <w:rFonts w:ascii="仿宋_GB2312" w:hAnsi="仿宋_GB2312" w:cs="仿宋_GB2312" w:eastAsia="仿宋_GB2312"/>
                <w:sz w:val="20"/>
              </w:rPr>
              <w:t>照片</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（四）</w:t>
            </w:r>
            <w:r>
              <w:rPr>
                <w:rFonts w:ascii="仿宋_GB2312" w:hAnsi="仿宋_GB2312" w:cs="仿宋_GB2312" w:eastAsia="仿宋_GB2312"/>
                <w:sz w:val="20"/>
              </w:rPr>
              <w:t>撒布机</w:t>
            </w:r>
          </w:p>
          <w:p>
            <w:pPr>
              <w:pStyle w:val="null3"/>
              <w:jc w:val="both"/>
            </w:pPr>
            <w:r>
              <w:rPr>
                <w:rFonts w:ascii="仿宋_GB2312" w:hAnsi="仿宋_GB2312" w:cs="仿宋_GB2312" w:eastAsia="仿宋_GB2312"/>
                <w:sz w:val="20"/>
              </w:rPr>
              <w:t>1、料仓容积≥</w:t>
            </w:r>
            <w:r>
              <w:rPr>
                <w:rFonts w:ascii="仿宋_GB2312" w:hAnsi="仿宋_GB2312" w:cs="仿宋_GB2312" w:eastAsia="仿宋_GB2312"/>
                <w:sz w:val="20"/>
              </w:rPr>
              <w:t>12</w:t>
            </w:r>
            <w:r>
              <w:rPr>
                <w:rFonts w:ascii="仿宋_GB2312" w:hAnsi="仿宋_GB2312" w:cs="仿宋_GB2312" w:eastAsia="仿宋_GB2312"/>
                <w:sz w:val="20"/>
              </w:rPr>
              <w:t>m³</w:t>
            </w:r>
          </w:p>
          <w:p>
            <w:pPr>
              <w:pStyle w:val="null3"/>
              <w:jc w:val="both"/>
            </w:pPr>
            <w:r>
              <w:rPr>
                <w:rFonts w:ascii="仿宋_GB2312" w:hAnsi="仿宋_GB2312" w:cs="仿宋_GB2312" w:eastAsia="仿宋_GB2312"/>
                <w:sz w:val="20"/>
              </w:rPr>
              <w:t>2、撒布盘直径≥490mm</w:t>
            </w:r>
          </w:p>
          <w:p>
            <w:pPr>
              <w:pStyle w:val="null3"/>
              <w:jc w:val="both"/>
            </w:pPr>
            <w:r>
              <w:rPr>
                <w:rFonts w:ascii="仿宋_GB2312" w:hAnsi="仿宋_GB2312" w:cs="仿宋_GB2312" w:eastAsia="仿宋_GB2312"/>
                <w:sz w:val="20"/>
              </w:rPr>
              <w:t>3、撒布宽度</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16米，撒布宽度可调</w:t>
            </w:r>
            <w:r>
              <w:rPr>
                <w:rFonts w:ascii="仿宋_GB2312" w:hAnsi="仿宋_GB2312" w:cs="仿宋_GB2312" w:eastAsia="仿宋_GB2312"/>
                <w:sz w:val="20"/>
              </w:rPr>
              <w:t>；</w:t>
            </w:r>
            <w:r>
              <w:rPr>
                <w:rFonts w:ascii="仿宋_GB2312" w:hAnsi="仿宋_GB2312" w:cs="仿宋_GB2312" w:eastAsia="仿宋_GB2312"/>
                <w:sz w:val="20"/>
              </w:rPr>
              <w:t>撒布密度范围</w:t>
            </w:r>
            <w:r>
              <w:rPr>
                <w:rFonts w:ascii="仿宋_GB2312" w:hAnsi="仿宋_GB2312" w:cs="仿宋_GB2312" w:eastAsia="仿宋_GB2312"/>
                <w:sz w:val="20"/>
              </w:rPr>
              <w:t>20～320g/㎡</w:t>
            </w:r>
          </w:p>
          <w:p>
            <w:pPr>
              <w:pStyle w:val="null3"/>
              <w:jc w:val="both"/>
            </w:pPr>
            <w:r>
              <w:rPr>
                <w:rFonts w:ascii="仿宋_GB2312" w:hAnsi="仿宋_GB2312" w:cs="仿宋_GB2312" w:eastAsia="仿宋_GB2312"/>
                <w:sz w:val="20"/>
              </w:rPr>
              <w:t>4、撒布速度≥30km/h；</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采用链条刮板式输送（提供实物图片</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、采用倒</w:t>
            </w:r>
            <w:r>
              <w:rPr>
                <w:rFonts w:ascii="仿宋_GB2312" w:hAnsi="仿宋_GB2312" w:cs="仿宋_GB2312" w:eastAsia="仿宋_GB2312"/>
                <w:sz w:val="20"/>
              </w:rPr>
              <w:t>V减压梁结构，减少输送链条刮板负载（提供实物图片)</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、料仓上盖有网栅，可有效过滤大块融雪剂</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、整机及料斗内外均采用碳钢板结构，达到三级及以上防腐处理</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、撒布装置后部设有电子警示灯（提供实物图片）</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、驶室内完成各项操作，采取机、电、液一体化控制方式，保证操作的简便性及控制的可靠性</w:t>
            </w:r>
          </w:p>
          <w:p>
            <w:pPr>
              <w:pStyle w:val="null3"/>
            </w:pPr>
            <w:r>
              <w:rPr>
                <w:rFonts w:ascii="仿宋_GB2312" w:hAnsi="仿宋_GB2312" w:cs="仿宋_GB2312" w:eastAsia="仿宋_GB2312"/>
                <w:sz w:val="20"/>
              </w:rPr>
              <w:t>（五）液压系统</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、液压系统工作压力</w:t>
            </w:r>
            <w:r>
              <w:rPr>
                <w:rFonts w:ascii="仿宋_GB2312" w:hAnsi="仿宋_GB2312" w:cs="仿宋_GB2312" w:eastAsia="仿宋_GB2312"/>
                <w:sz w:val="20"/>
              </w:rPr>
              <w:t>≥20MPa</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、液压系统流量</w:t>
            </w:r>
            <w:r>
              <w:rPr>
                <w:rFonts w:ascii="仿宋_GB2312" w:hAnsi="仿宋_GB2312" w:cs="仿宋_GB2312" w:eastAsia="仿宋_GB2312"/>
                <w:sz w:val="20"/>
              </w:rPr>
              <w:t>≥</w:t>
            </w:r>
            <w:r>
              <w:rPr>
                <w:rFonts w:ascii="仿宋_GB2312" w:hAnsi="仿宋_GB2312" w:cs="仿宋_GB2312" w:eastAsia="仿宋_GB2312"/>
                <w:sz w:val="20"/>
              </w:rPr>
              <w:t>180</w:t>
            </w:r>
            <w:r>
              <w:rPr>
                <w:rFonts w:ascii="仿宋_GB2312" w:hAnsi="仿宋_GB2312" w:cs="仿宋_GB2312" w:eastAsia="仿宋_GB2312"/>
                <w:sz w:val="20"/>
              </w:rPr>
              <w:t>L/min</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液压系统须安装有双联散热器</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除雪滚刷和除雪铲与底盘车连接须采用面板挂接式连接，</w:t>
            </w:r>
            <w:r>
              <w:rPr>
                <w:rFonts w:ascii="仿宋_GB2312" w:hAnsi="仿宋_GB2312" w:cs="仿宋_GB2312" w:eastAsia="仿宋_GB2312"/>
                <w:sz w:val="20"/>
              </w:rPr>
              <w:t>通过除雪车的液压系统驱动，无需</w:t>
            </w:r>
            <w:r>
              <w:rPr>
                <w:rFonts w:ascii="仿宋_GB2312" w:hAnsi="仿宋_GB2312" w:cs="仿宋_GB2312" w:eastAsia="仿宋_GB2312"/>
                <w:sz w:val="20"/>
              </w:rPr>
              <w:t>任何辅助工具，单人操作在</w:t>
            </w:r>
            <w:r>
              <w:rPr>
                <w:rFonts w:ascii="仿宋_GB2312" w:hAnsi="仿宋_GB2312" w:cs="仿宋_GB2312" w:eastAsia="仿宋_GB2312"/>
                <w:sz w:val="20"/>
              </w:rPr>
              <w:t>3～5分钟内就可完成安装和拆卸</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六</w:t>
            </w:r>
            <w:r>
              <w:rPr>
                <w:rFonts w:ascii="仿宋_GB2312" w:hAnsi="仿宋_GB2312" w:cs="仿宋_GB2312" w:eastAsia="仿宋_GB2312"/>
                <w:sz w:val="20"/>
              </w:rPr>
              <w:t>）</w:t>
            </w:r>
            <w:r>
              <w:rPr>
                <w:rFonts w:ascii="仿宋_GB2312" w:hAnsi="仿宋_GB2312" w:cs="仿宋_GB2312" w:eastAsia="仿宋_GB2312"/>
                <w:sz w:val="20"/>
              </w:rPr>
              <w:t>操作系统</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自卸式多功能除雪车配置：前置除雪滚刷和</w:t>
            </w:r>
            <w:r>
              <w:rPr>
                <w:rFonts w:ascii="仿宋_GB2312" w:hAnsi="仿宋_GB2312" w:cs="仿宋_GB2312" w:eastAsia="仿宋_GB2312"/>
                <w:sz w:val="20"/>
              </w:rPr>
              <w:t>除雪铲</w:t>
            </w:r>
            <w:r>
              <w:rPr>
                <w:rFonts w:ascii="仿宋_GB2312" w:hAnsi="仿宋_GB2312" w:cs="仿宋_GB2312" w:eastAsia="仿宋_GB2312"/>
                <w:sz w:val="20"/>
              </w:rPr>
              <w:t>，后置撒布机；操作者须能在驾驶室内完</w:t>
            </w:r>
            <w:r>
              <w:rPr>
                <w:rFonts w:ascii="仿宋_GB2312" w:hAnsi="仿宋_GB2312" w:cs="仿宋_GB2312" w:eastAsia="仿宋_GB2312"/>
                <w:sz w:val="20"/>
              </w:rPr>
              <w:t>成除雪滚刷的除雪作业或除雪铲的铲雪作业和撒布机撒布</w:t>
            </w:r>
            <w:r>
              <w:rPr>
                <w:rFonts w:ascii="仿宋_GB2312" w:hAnsi="仿宋_GB2312" w:cs="仿宋_GB2312" w:eastAsia="仿宋_GB2312"/>
                <w:sz w:val="20"/>
              </w:rPr>
              <w:t>融雪剂</w:t>
            </w:r>
            <w:r>
              <w:rPr>
                <w:rFonts w:ascii="仿宋_GB2312" w:hAnsi="仿宋_GB2312" w:cs="仿宋_GB2312" w:eastAsia="仿宋_GB2312"/>
                <w:sz w:val="20"/>
              </w:rPr>
              <w:t>的作业操作。</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除雪作业时</w:t>
            </w:r>
            <w:r>
              <w:rPr>
                <w:rFonts w:ascii="仿宋_GB2312" w:hAnsi="仿宋_GB2312" w:cs="仿宋_GB2312" w:eastAsia="仿宋_GB2312"/>
                <w:sz w:val="20"/>
              </w:rPr>
              <w:t>除雪滚刷和撒布机</w:t>
            </w:r>
            <w:r>
              <w:rPr>
                <w:rFonts w:ascii="仿宋_GB2312" w:hAnsi="仿宋_GB2312" w:cs="仿宋_GB2312" w:eastAsia="仿宋_GB2312"/>
                <w:sz w:val="20"/>
              </w:rPr>
              <w:t>可</w:t>
            </w:r>
            <w:r>
              <w:rPr>
                <w:rFonts w:ascii="仿宋_GB2312" w:hAnsi="仿宋_GB2312" w:cs="仿宋_GB2312" w:eastAsia="仿宋_GB2312"/>
                <w:sz w:val="20"/>
              </w:rPr>
              <w:t>同时进行扫雪和撒布作业，也可以分别单独作业。</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除雪车采用</w:t>
            </w:r>
            <w:r>
              <w:rPr>
                <w:rFonts w:ascii="仿宋_GB2312" w:hAnsi="仿宋_GB2312" w:cs="仿宋_GB2312" w:eastAsia="仿宋_GB2312"/>
                <w:sz w:val="20"/>
              </w:rPr>
              <w:t>“集成操作盒（运动控制器+拨钮开关）”的控制模式。操作盒具有故障诊断、故障报警、工作模式选择、实时操作等功能。除雪滚刷</w:t>
            </w:r>
            <w:r>
              <w:rPr>
                <w:rFonts w:ascii="仿宋_GB2312" w:hAnsi="仿宋_GB2312" w:cs="仿宋_GB2312" w:eastAsia="仿宋_GB2312"/>
                <w:sz w:val="20"/>
              </w:rPr>
              <w:t>（除雪铲）</w:t>
            </w:r>
            <w:r>
              <w:rPr>
                <w:rFonts w:ascii="仿宋_GB2312" w:hAnsi="仿宋_GB2312" w:cs="仿宋_GB2312" w:eastAsia="仿宋_GB2312"/>
                <w:sz w:val="20"/>
              </w:rPr>
              <w:t>旋转、举升、</w:t>
            </w:r>
            <w:r>
              <w:rPr>
                <w:rFonts w:ascii="仿宋_GB2312" w:hAnsi="仿宋_GB2312" w:cs="仿宋_GB2312" w:eastAsia="仿宋_GB2312"/>
                <w:sz w:val="20"/>
              </w:rPr>
              <w:t>摆动</w:t>
            </w:r>
            <w:r>
              <w:rPr>
                <w:rFonts w:ascii="仿宋_GB2312" w:hAnsi="仿宋_GB2312" w:cs="仿宋_GB2312" w:eastAsia="仿宋_GB2312"/>
                <w:sz w:val="20"/>
              </w:rPr>
              <w:t>、下压</w:t>
            </w:r>
            <w:r>
              <w:rPr>
                <w:rFonts w:ascii="仿宋_GB2312" w:hAnsi="仿宋_GB2312" w:cs="仿宋_GB2312" w:eastAsia="仿宋_GB2312"/>
                <w:sz w:val="20"/>
              </w:rPr>
              <w:t>等</w:t>
            </w:r>
            <w:r>
              <w:rPr>
                <w:rFonts w:ascii="仿宋_GB2312" w:hAnsi="仿宋_GB2312" w:cs="仿宋_GB2312" w:eastAsia="仿宋_GB2312"/>
                <w:sz w:val="20"/>
              </w:rPr>
              <w:t>动作</w:t>
            </w:r>
            <w:r>
              <w:rPr>
                <w:rFonts w:ascii="仿宋_GB2312" w:hAnsi="仿宋_GB2312" w:cs="仿宋_GB2312" w:eastAsia="仿宋_GB2312"/>
                <w:sz w:val="20"/>
              </w:rPr>
              <w:t>，</w:t>
            </w:r>
            <w:r>
              <w:rPr>
                <w:rFonts w:ascii="仿宋_GB2312" w:hAnsi="仿宋_GB2312" w:cs="仿宋_GB2312" w:eastAsia="仿宋_GB2312"/>
                <w:sz w:val="20"/>
              </w:rPr>
              <w:t>撒布机甩盘旋转</w:t>
            </w:r>
            <w:r>
              <w:rPr>
                <w:rFonts w:ascii="仿宋_GB2312" w:hAnsi="仿宋_GB2312" w:cs="仿宋_GB2312" w:eastAsia="仿宋_GB2312"/>
                <w:sz w:val="20"/>
              </w:rPr>
              <w:t>、</w:t>
            </w:r>
            <w:r>
              <w:rPr>
                <w:rFonts w:ascii="仿宋_GB2312" w:hAnsi="仿宋_GB2312" w:cs="仿宋_GB2312" w:eastAsia="仿宋_GB2312"/>
                <w:sz w:val="20"/>
              </w:rPr>
              <w:t>刮板链动作等须在驾驶室内操作完成。</w:t>
            </w:r>
          </w:p>
          <w:p>
            <w:pPr>
              <w:pStyle w:val="null3"/>
            </w:pPr>
            <w:r>
              <w:rPr>
                <w:rFonts w:ascii="仿宋_GB2312" w:hAnsi="仿宋_GB2312" w:cs="仿宋_GB2312" w:eastAsia="仿宋_GB2312"/>
                <w:sz w:val="21"/>
                <w:b/>
              </w:rPr>
              <w:t>说明：标注</w:t>
            </w:r>
            <w:r>
              <w:rPr>
                <w:rFonts w:ascii="仿宋_GB2312" w:hAnsi="仿宋_GB2312" w:cs="仿宋_GB2312" w:eastAsia="仿宋_GB2312"/>
                <w:sz w:val="21"/>
                <w:b/>
              </w:rPr>
              <w:t>“★”号的参数为实质性要求，不满足的投标无效。</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签订合同后乙方收到预付款后60个日历日内完成供货、安装、调试并交付使用。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进度款，全部设备供货完成，安装调试完毕并经最终验收合格后，乙方开具全额合法的机动车销售统一发票，达到付款条件起10个工作日内，支付合同总金额的50.0%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详见文件及合同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 1)企业投标的：营业执照 ，2)事业单位投标的：事业单位法人证书，3)其他组织投标的：登记证书，4)个体工商户投标的：个体工商户营业执照，5）自然人投标的：身份证；（2）税收缴纳证明：提供投标人自投标前1年以来已缴纳任意时段完税凭证或税务机关开具的完税证明（任意税种）；依法免税的应提供相关文件证明；（3）社会保障资金缴纳证明：提供投标人自投标前1年以来已缴存的任意时段的社会保障资金缴存单据或社保机构开具的社会保险参保缴费情况证明；依法不需要缴纳社会保障资金的应提供相关文件证明；（4）提供投标人具备履行合同所必需的设备和专业技术能力的证明材料；（5）投标人参加本次采购活动3年内，在经营活动中没有重大违法记录以及未被列入失信被执行人、重大税收违法案件当事人名单、政府采购严重违法失信行为记录名单的书面声明；（6）法定代表人（单位负责人）参加投标的，提供本人身份证；法定代表人（单位负责人）授权他人参加投标的，提供法定代表人授权委托书并出示被授权代表的身份证。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2024年度或2025年度经审计的财务会计报告，或者提供投标文件截止时间前3个月内其基本账户开户银行出具的资信证明。投标人成立不到1年的，可提供企业任意时段财务报表；投标人为公益类事业单位或者自然人的无需提供。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投标人资格条件证明文件.pdf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所投车辆须列入工信部《道路机动车辆生产企业及产品公告》</w:t>
            </w:r>
          </w:p>
        </w:tc>
        <w:tc>
          <w:tcPr>
            <w:tcW w:type="dxa" w:w="3322"/>
          </w:tcPr>
          <w:p>
            <w:pPr>
              <w:pStyle w:val="null3"/>
            </w:pPr>
            <w:r>
              <w:rPr>
                <w:rFonts w:ascii="仿宋_GB2312" w:hAnsi="仿宋_GB2312" w:cs="仿宋_GB2312" w:eastAsia="仿宋_GB2312"/>
              </w:rPr>
              <w:t>所投车辆须列入工信部《道路机动车辆生产企业及产品公告》，提供公告页复印件并加盖公章。</w:t>
            </w:r>
          </w:p>
        </w:tc>
        <w:tc>
          <w:tcPr>
            <w:tcW w:type="dxa" w:w="1661"/>
          </w:tcPr>
          <w:p>
            <w:pPr>
              <w:pStyle w:val="null3"/>
            </w:pPr>
            <w:r>
              <w:rPr>
                <w:rFonts w:ascii="仿宋_GB2312" w:hAnsi="仿宋_GB2312" w:cs="仿宋_GB2312" w:eastAsia="仿宋_GB2312"/>
              </w:rPr>
              <w:t>投标人资格条件证明文件.pdf 投标文件封面</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投标人所投货物全部由中小企业(包括残疾人福利性单位、监狱企业)制造，即投标人所投货物由中小企业生产且使用该中小企业商号或者注册商标</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开标一览表 本国产品说明 中小企业声明函 商务应答表 其他说明.pdf 中国境内生产的组件成本核算基本规则 投标人资格条件证明文件.pdf 产品技术参数表 分项报价表.docx 投标函 残疾人福利性单位声明函 标的清单 关于符合本国产品标准的声明函 1详细评审资料.pdf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投标文件投标有效期符合文件要求的(合格)，投标文件无投标有效期或有效期达不到文件要求的(不合格)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权利义务</w:t>
            </w:r>
          </w:p>
        </w:tc>
        <w:tc>
          <w:tcPr>
            <w:tcW w:type="dxa" w:w="3322"/>
          </w:tcPr>
          <w:p>
            <w:pPr>
              <w:pStyle w:val="null3"/>
            </w:pPr>
            <w:r>
              <w:rPr>
                <w:rFonts w:ascii="仿宋_GB2312" w:hAnsi="仿宋_GB2312" w:cs="仿宋_GB2312" w:eastAsia="仿宋_GB2312"/>
              </w:rPr>
              <w:t>符合“拟签订合同交本”条款中实质性要求和条件</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投标人必须满足招标文件中带“★”标识的技术参数</w:t>
            </w:r>
          </w:p>
        </w:tc>
        <w:tc>
          <w:tcPr>
            <w:tcW w:type="dxa" w:w="1661"/>
          </w:tcPr>
          <w:p>
            <w:pPr>
              <w:pStyle w:val="null3"/>
            </w:pPr>
            <w:r>
              <w:rPr>
                <w:rFonts w:ascii="仿宋_GB2312" w:hAnsi="仿宋_GB2312" w:cs="仿宋_GB2312" w:eastAsia="仿宋_GB2312"/>
              </w:rPr>
              <w:t>开标一览表 本国产品说明 中小企业声明函 商务应答表 其他说明.pdf 中国境内生产的组件成本核算基本规则 投标人资格条件证明文件.pdf 产品技术参数表 分项报价表.docx 投标函 残疾人福利性单位声明函 标的清单 关于符合本国产品标准的声明函 1详细评审资料.pdf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投标文件不含有采购人不能接受的附加条件的或其他情形</w:t>
            </w:r>
          </w:p>
        </w:tc>
        <w:tc>
          <w:tcPr>
            <w:tcW w:type="dxa" w:w="1661"/>
          </w:tcPr>
          <w:p>
            <w:pPr>
              <w:pStyle w:val="null3"/>
            </w:pPr>
            <w:r>
              <w:rPr>
                <w:rFonts w:ascii="仿宋_GB2312" w:hAnsi="仿宋_GB2312" w:cs="仿宋_GB2312" w:eastAsia="仿宋_GB2312"/>
              </w:rPr>
              <w:t>开标一览表 本国产品说明 中小企业声明函 商务应答表 其他说明.pdf 中国境内生产的组件成本核算基本规则 投标人资格条件证明文件.pdf 产品技术参数表 分项报价表.docx 投标函 残疾人福利性单位声明函 标的清单 关于符合本国产品标准的声明函 1详细评审资料.pdf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投标产品的技术指标满足招标文件要求的，得满分20分。 带“★”标识的参数需求为实质性要求，必须响应并满足参数需求。 1、带“▲”号技术参数共计5项，有一项不满足扣1分； 2、非“▲”和非“★”号技术参数共计30项每有一项负偏离扣0.5分， 注：对标“▲”和“★”号技术参数供应商必须提供相关技术参数佐证材料（不限于国家认可的检测机构出具的检测报告或制造商检验报告或产品彩页或官网功能截图等）予以证明其技术参数的响应性。未提供或评审委员会认定所提供材料无法有效证明的将视为不满足本参数要求。 3、对非“▲”非“★”号的技术参数投标人在投标文件中应尽可能多地提供技术支持资料予以证明其技术指标响应性，并在技术响应偏离表中标注对应页码及位置。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1详细评审资料.pdf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要求供货整体服务方案思路清晰，符合项目实际情况，包含但不限于货物供货安排、供货进度、运输实施方案、安装方案、验收方案等。 二、评审标准 1、完整性：方案须全面，对评审内容中的各项要求有详细描述； 2、可实施性：切合本项目实际情况，实施步骤清晰、合理、供货保证措施可靠性强； 3、针对性：方案能够紧扣本项目所采购设备种类等实际情况，内容科学合理。 三、赋分依据： 所提供的货物供货安排、供货进度、运输实施方案、安装方案、验收方案等，每完全满足一个评审标准得3分，每存在一项或一处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1详细评审资料.pdf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要求售后服务方案思路清晰，符合项目实际情况，包括但不限于售后服务团队配置、售后服务人员经验、响应时间、备品备件供货方案，定期安排技术人员进行回访、巡检、维护、保养等。 二、评审标准 1、完整性：方案须全面，对评审内容中的各项要求有详细描述； 2、可实施性：切合本项目实际情况，实施步骤清晰、合理、可靠性强； 3、针对性：方案能够紧扣本项目所采购设备种类等实际情况，内容科学合理。 三、赋分依据： 所提供的售后服务方案：售后服务团队配置、售后服务人员经验、响应时间、备品备件供货方案，定期安排技术人员进行回访、巡检、维护、保养等每完全满足一个评审标准得2分，每存在一项或一处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1详细评审资料.pdf</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项目保障能力</w:t>
            </w:r>
          </w:p>
        </w:tc>
        <w:tc>
          <w:tcPr>
            <w:tcW w:type="dxa" w:w="2492"/>
          </w:tcPr>
          <w:p>
            <w:pPr>
              <w:pStyle w:val="null3"/>
            </w:pPr>
            <w:r>
              <w:rPr>
                <w:rFonts w:ascii="仿宋_GB2312" w:hAnsi="仿宋_GB2312" w:cs="仿宋_GB2312" w:eastAsia="仿宋_GB2312"/>
              </w:rPr>
              <w:t>一、评审内容： 要求项目保障能力思路清晰，符合项目实际情况（包含但不限于质量保证、进度安排及人员安排等）。 二、评审标准 1、完整性：方案须全面，对评审内容中的各项要求有详细描述； 2、可实施性：切合本项目实际情况，实施步骤清晰、合理、可靠性强； 3、针对性：方案能够紧扣本项目所采购设备种类等实际情况，内容科学合理。 三、赋分依据： 所提供的对产品的质量保证、进度安排及人员安排等保障措施，每完全满足一个评审标准得2分，每存在一项或一处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1详细评审资料.pdf</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投标人在满足采购要求整车车辆基本配件配置的基础上，额外附赠除雪车实物配套类增值服务的（如硬件物资类，对标维修工具、备用铲刷配件、整车加装配套工装、平台、辅助装置等） 每提供一类得2分，最多得6分。（投标人需根据提供增值服务具体品类列明具体清单并同时提供承诺书）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1详细评审资料.pdf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投标人2023年01月01日至今（以合同签订时间为准）的与本项目类似供货业绩：每提供1个完整有效的业绩（中标通知书+合同复印件+发票复印件），得2.5分；本项最高得10分。注：同一项目不重复计分。业绩必须在投标文件中提供清晰的证明材料，否则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1详细评审资料.pdf</w:t>
            </w:r>
          </w:p>
        </w:tc>
      </w:tr>
      <w:tr>
        <w:tc>
          <w:tcPr>
            <w:tcW w:type="dxa" w:w="831"/>
            <w:vMerge/>
          </w:tcPr>
          <w:p/>
        </w:tc>
        <w:tc>
          <w:tcPr>
            <w:tcW w:type="dxa" w:w="1661"/>
          </w:tcPr>
          <w:p>
            <w:pPr>
              <w:pStyle w:val="null3"/>
            </w:pPr>
            <w:r>
              <w:rPr>
                <w:rFonts w:ascii="仿宋_GB2312" w:hAnsi="仿宋_GB2312" w:cs="仿宋_GB2312" w:eastAsia="仿宋_GB2312"/>
              </w:rPr>
              <w:t>服务评价</w:t>
            </w:r>
          </w:p>
        </w:tc>
        <w:tc>
          <w:tcPr>
            <w:tcW w:type="dxa" w:w="2492"/>
          </w:tcPr>
          <w:p>
            <w:pPr>
              <w:pStyle w:val="null3"/>
            </w:pPr>
            <w:r>
              <w:rPr>
                <w:rFonts w:ascii="仿宋_GB2312" w:hAnsi="仿宋_GB2312" w:cs="仿宋_GB2312" w:eastAsia="仿宋_GB2312"/>
              </w:rPr>
              <w:t>投标人提供2023年01月01日以来同类除雪或破冰或环卫或工程车辆维保等车辆服务类项目加盖甲方公章的业主良好评价意见，每份有效评价材料计1分，最多累计得3分，所提供评价文件均真实有效，加盖业主鲜章，否则不予认可。（如业主良好评价中无法体现车辆名称，可结合其他证明材料加以佐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1详细评审资料.pdf</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详见附件：投标人资格条件证明文件.pdf</w:t>
      </w:r>
    </w:p>
    <w:p>
      <w:pPr>
        <w:pStyle w:val="null3"/>
        <w:ind w:firstLine="960"/>
      </w:pPr>
      <w:r>
        <w:rPr>
          <w:rFonts w:ascii="仿宋_GB2312" w:hAnsi="仿宋_GB2312" w:cs="仿宋_GB2312" w:eastAsia="仿宋_GB2312"/>
        </w:rPr>
        <w:t>详见附件：其他说明.pdf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详见附件：1详细评审资料.pdf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详见附件：612除雪车采购项目政府采购货物合同.docx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