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版本号：ZXGJ-ZB14-2026-02220260529001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宝鸡陵塬机场改扩建工程可研报告编制项目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ZXGJ-ZB14-2026-022</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宝鸡陵塬机场改扩建工程可研报告编制项目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ZXGJ-ZB14-2026-022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宝鸡陵塬机场改扩建工程可研报告编制项目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宝鸡陵塬机场改扩建工程项目可研报告编制，该可研报告需重点围绕机场功能布局优化，飞行区，停机坪区及跑道扩建，应急指挥中心等核心内容开展研究，为后续改造工程的规划设计，施工作业及效果评估提供专业技术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2、企业备案：供应商须在“全国投资项目在线审批监管平台”工程咨询单位名录备案</w:t>
      </w:r>
    </w:p>
    <w:p>
      <w:pPr>
        <w:pStyle w:val="null3"/>
      </w:pPr>
      <w:r>
        <w:rPr>
          <w:rFonts w:ascii="仿宋_GB2312" w:hAnsi="仿宋_GB2312" w:cs="仿宋_GB2312" w:eastAsia="仿宋_GB2312"/>
        </w:rPr>
        <w:t>3、非联合体投标：本项目不接受联合体投标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029-61166095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王超、同秀秀、王涛、白丹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029-81317379-606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不足捌仟元按捌仟元收取。具体收费金额将在成交公告中公布。请将采购代理服务费汇至下列指定账户：开户名称：中昕国际项目管理有限公司；开户行：中国建设银行股份有限公司西安文景路支行；账号：61050178150000000278。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交的成果文件，由采购人组织内部力量或专家进行审核。审核内容包括但不限于：成果内容是否完整、是否符合合同约定的编制深度、是否落实了相关法律法规及政策要求、是否通过了采购人组织的专家评审。审核通过相关主管部门最终确认或备案后，视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联系人：王超、同秀秀</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宝鸡陵塬机场位于宝鸡市金台区，机场基准点经纬度坐标为E107°07′41.7″、N34°23′21.3″（北京54坐标系），真方位138°-318°，机场等级为林-3，对应民用机场飞行区指标为1A（升降带宽度60m）。常用航空器有：KA-32型、M-171型、Bell-412型、Bell-407型、AS-350型等各类重、中、轻型直升机；双尾蝎TB-A型三发多功能中空长航时无人机、HY600型大型长航时无人直升机等各类大、中、小型无人航空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宝鸡陵塬机场改扩建工程可研报告编制项目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标的名称：宝鸡陵塬机场改扩建工程可研报告编制项目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宝鸡陵塬机场</w:t>
            </w:r>
            <w:r>
              <w:rPr>
                <w:rFonts w:ascii="仿宋_GB2312" w:hAnsi="仿宋_GB2312" w:cs="仿宋_GB2312" w:eastAsia="仿宋_GB2312"/>
              </w:rPr>
              <w:t>位于宝鸡市金台区，机场基准点经纬度坐标为</w:t>
            </w:r>
            <w:r>
              <w:rPr>
                <w:rFonts w:ascii="仿宋_GB2312" w:hAnsi="仿宋_GB2312" w:cs="仿宋_GB2312" w:eastAsia="仿宋_GB2312"/>
              </w:rPr>
              <w:t>E107°07′41.7″、N34°23′21.3″（北京54坐标系），真方位138°-318°，机场等级为林-3，对应民用机场飞行区指标为1A（升降带宽度60m）。</w:t>
            </w:r>
            <w:r>
              <w:rPr>
                <w:rFonts w:ascii="仿宋_GB2312" w:hAnsi="仿宋_GB2312" w:cs="仿宋_GB2312" w:eastAsia="仿宋_GB2312"/>
              </w:rPr>
              <w:t>常用航空器有：</w:t>
            </w:r>
            <w:r>
              <w:rPr>
                <w:rFonts w:ascii="仿宋_GB2312" w:hAnsi="仿宋_GB2312" w:cs="仿宋_GB2312" w:eastAsia="仿宋_GB2312"/>
              </w:rPr>
              <w:t>KA-32型、M-171型、Bell-412型、Bell-407型、AS-350型等各类重、中、轻型直升机；双尾蝎TB-A型三发多功能中空长航时无人机、HY600型大型长航时无人直升机等各类大、中、小型无人航空器。</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本项目为宝鸡陵塬机场改扩建工程项目可研报告编制，该可研报告需重点围绕机场功能布局优化，飞行区，停机坪区及跑道扩建，应急指挥中心等核心内容开展研究，为后续改造工程的规划设计，施工作业及效果评估提供专业技术支撑。</w:t>
            </w:r>
          </w:p>
          <w:p>
            <w:pPr>
              <w:pStyle w:val="null3"/>
            </w:pPr>
            <w:r>
              <w:rPr>
                <w:rFonts w:ascii="仿宋_GB2312" w:hAnsi="仿宋_GB2312" w:cs="仿宋_GB2312" w:eastAsia="仿宋_GB2312"/>
              </w:rPr>
              <w:t>为满足区域持续增长的航空应急救援需求，构建功能齐全的</w:t>
            </w:r>
            <w:r>
              <w:rPr>
                <w:rFonts w:ascii="仿宋_GB2312" w:hAnsi="仿宋_GB2312" w:cs="仿宋_GB2312" w:eastAsia="仿宋_GB2312"/>
              </w:rPr>
              <w:t>“直升机+无人机”综合性应急救援保障枢纽，拟实施宝鸡陵塬机场改扩建工程。主要包括：</w:t>
            </w:r>
          </w:p>
          <w:p>
            <w:pPr>
              <w:pStyle w:val="null3"/>
            </w:pPr>
            <w:r>
              <w:rPr>
                <w:rFonts w:ascii="仿宋_GB2312" w:hAnsi="仿宋_GB2312" w:cs="仿宋_GB2312" w:eastAsia="仿宋_GB2312"/>
              </w:rPr>
              <w:t>（一）飞行区关键设施改造方面</w:t>
            </w:r>
          </w:p>
          <w:p>
            <w:pPr>
              <w:pStyle w:val="null3"/>
            </w:pPr>
            <w:r>
              <w:rPr>
                <w:rFonts w:ascii="仿宋_GB2312" w:hAnsi="仿宋_GB2312" w:cs="仿宋_GB2312" w:eastAsia="仿宋_GB2312"/>
              </w:rPr>
              <w:t>将对现有跑道进行重点扩建，扩建后的跑道不仅承载能力显著提升，更能精准适配多种航空器起降需求，可容纳各型直升机（含重型救援直升机）、大型固定翼无人机、中小型应急救援固定翼飞机等，有效打破原有航空器起降限制，为应急救援任务快速响应奠定基础，同时提升日常运行效率与安全性。</w:t>
            </w:r>
          </w:p>
          <w:p>
            <w:pPr>
              <w:pStyle w:val="null3"/>
            </w:pPr>
            <w:r>
              <w:rPr>
                <w:rFonts w:ascii="仿宋_GB2312" w:hAnsi="仿宋_GB2312" w:cs="仿宋_GB2312" w:eastAsia="仿宋_GB2312"/>
              </w:rPr>
              <w:t>（二）停机坪区域扩建</w:t>
            </w:r>
          </w:p>
          <w:p>
            <w:pPr>
              <w:pStyle w:val="null3"/>
            </w:pPr>
            <w:r>
              <w:rPr>
                <w:rFonts w:ascii="仿宋_GB2312" w:hAnsi="仿宋_GB2312" w:cs="仿宋_GB2312" w:eastAsia="仿宋_GB2312"/>
              </w:rPr>
              <w:t>扩建现有停机坪，用于缓解日常停机资源紧张问题，通过划分应急航空器停放区域，确保救援航空器可快速调度。</w:t>
            </w:r>
          </w:p>
          <w:p>
            <w:pPr>
              <w:pStyle w:val="null3"/>
            </w:pPr>
            <w:r>
              <w:rPr>
                <w:rFonts w:ascii="仿宋_GB2312" w:hAnsi="仿宋_GB2312" w:cs="仿宋_GB2312" w:eastAsia="仿宋_GB2312"/>
              </w:rPr>
              <w:t>（三）新建航空应急救援配套用房及设施</w:t>
            </w:r>
          </w:p>
          <w:p>
            <w:pPr>
              <w:pStyle w:val="null3"/>
            </w:pPr>
            <w:r>
              <w:rPr>
                <w:rFonts w:ascii="仿宋_GB2312" w:hAnsi="仿宋_GB2312" w:cs="仿宋_GB2312" w:eastAsia="仿宋_GB2312"/>
              </w:rPr>
              <w:t>新建包括航空应急指挥中心、塔台、机库、车库、油库、救援物资储备库、航空器快速检修工位、机降楼、食堂等，及配套的通信指挥、气象保障等专业设施设备和指挥管制系统，构建</w:t>
            </w:r>
            <w:r>
              <w:rPr>
                <w:rFonts w:ascii="仿宋_GB2312" w:hAnsi="仿宋_GB2312" w:cs="仿宋_GB2312" w:eastAsia="仿宋_GB2312"/>
              </w:rPr>
              <w:t>“起降-调度-救援-保障”全链条应急体系，大幅提升应对森林火灾、地质灾害、人员转运等突发情况的快速响应与处置能力。</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服务标准：满足国家及行业相关法规、规范、技术标准的要求。具体为：</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报告编制深度等应符合以下技术标准等的强制性规定及合同的要求：《政府投资项目可行性研究报告编写通用大纲（</w:t>
            </w:r>
            <w:r>
              <w:rPr>
                <w:rFonts w:ascii="仿宋_GB2312" w:hAnsi="仿宋_GB2312" w:cs="仿宋_GB2312" w:eastAsia="仿宋_GB2312"/>
              </w:rPr>
              <w:t>2023年版）》等；</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项目建设方案应符合以下法律、规范、技术标准等的强制性规定的要求：《民用机场管理条例》（国务院令第</w:t>
            </w:r>
            <w:r>
              <w:rPr>
                <w:rFonts w:ascii="仿宋_GB2312" w:hAnsi="仿宋_GB2312" w:cs="仿宋_GB2312" w:eastAsia="仿宋_GB2312"/>
              </w:rPr>
              <w:t>553号）、《民用机场建设管理规定》（中国民用航空局第215号令）、《民用机场飞行区技术标准》（MH5001-2021）、《国际民航组织公约附件十四》（2018年7月，第八版）、《建筑设计防火规范》（GB50016-2014）（2018版）、《飞机库设计防火规范》（GB50284-2008）等。</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工程项目投资估算的编制应符合以下国家规范及民航行业标准等：《财政部关于印发</w:t>
            </w:r>
            <w:r>
              <w:rPr>
                <w:rFonts w:ascii="仿宋_GB2312" w:hAnsi="仿宋_GB2312" w:cs="仿宋_GB2312" w:eastAsia="仿宋_GB2312"/>
              </w:rPr>
              <w:t>&lt;基本建设项目建设成本管理规定&gt;的通知》（财建〔2016〕504号）、《民航建设工程概算编制办法》（AP-129-CA-2008-01）、国家发改委《关于进一步放开建设项目专业服务价格的通知》（发改价格〔2015〕299号）</w:t>
            </w:r>
            <w:r>
              <w:rPr>
                <w:rFonts w:ascii="仿宋_GB2312" w:hAnsi="仿宋_GB2312" w:cs="仿宋_GB2312" w:eastAsia="仿宋_GB2312"/>
              </w:rPr>
              <w:t>等</w:t>
            </w:r>
          </w:p>
          <w:p>
            <w:pPr>
              <w:pStyle w:val="null3"/>
            </w:pPr>
            <w:r>
              <w:rPr>
                <w:rFonts w:ascii="仿宋_GB2312" w:hAnsi="仿宋_GB2312" w:cs="仿宋_GB2312" w:eastAsia="仿宋_GB2312"/>
              </w:rPr>
              <w:t>四、编制成果要求</w:t>
            </w:r>
          </w:p>
          <w:p>
            <w:pPr>
              <w:pStyle w:val="null3"/>
            </w:pPr>
            <w:r>
              <w:rPr>
                <w:rFonts w:ascii="仿宋_GB2312" w:hAnsi="仿宋_GB2312" w:cs="仿宋_GB2312" w:eastAsia="仿宋_GB2312"/>
              </w:rPr>
              <w:t>纸质版正式可研报告：</w:t>
            </w:r>
            <w:r>
              <w:rPr>
                <w:rFonts w:ascii="仿宋_GB2312" w:hAnsi="仿宋_GB2312" w:cs="仿宋_GB2312" w:eastAsia="仿宋_GB2312"/>
              </w:rPr>
              <w:t>5份；</w:t>
            </w:r>
          </w:p>
          <w:p>
            <w:pPr>
              <w:pStyle w:val="null3"/>
            </w:pPr>
            <w:r>
              <w:rPr>
                <w:rFonts w:ascii="仿宋_GB2312" w:hAnsi="仿宋_GB2312" w:cs="仿宋_GB2312" w:eastAsia="仿宋_GB2312"/>
              </w:rPr>
              <w:t>电子版报告（</w:t>
            </w:r>
            <w:r>
              <w:rPr>
                <w:rFonts w:ascii="仿宋_GB2312" w:hAnsi="仿宋_GB2312" w:cs="仿宋_GB2312" w:eastAsia="仿宋_GB2312"/>
              </w:rPr>
              <w:t>Word+PDF 格式）：全套可编辑文件 1 套；</w:t>
            </w:r>
          </w:p>
          <w:p>
            <w:pPr>
              <w:pStyle w:val="null3"/>
            </w:pPr>
            <w:r>
              <w:rPr>
                <w:rFonts w:ascii="仿宋_GB2312" w:hAnsi="仿宋_GB2312" w:cs="仿宋_GB2312" w:eastAsia="仿宋_GB2312"/>
              </w:rPr>
              <w:t>配套附表、附图、支撑材料等全套资料。</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1、服务期限：</w:t>
            </w:r>
            <w:r>
              <w:rPr>
                <w:rFonts w:ascii="仿宋_GB2312" w:hAnsi="仿宋_GB2312" w:cs="仿宋_GB2312" w:eastAsia="仿宋_GB2312"/>
              </w:rPr>
              <w:t>合同签订后</w:t>
            </w:r>
            <w:r>
              <w:rPr>
                <w:rFonts w:ascii="仿宋_GB2312" w:hAnsi="仿宋_GB2312" w:cs="仿宋_GB2312" w:eastAsia="仿宋_GB2312"/>
              </w:rPr>
              <w:t>60个日历天提交成果文件（并通过省发改委评审中心评审出具评审报告）。</w:t>
            </w:r>
          </w:p>
          <w:p>
            <w:pPr>
              <w:pStyle w:val="null3"/>
            </w:pPr>
            <w:r>
              <w:rPr>
                <w:rFonts w:ascii="仿宋_GB2312" w:hAnsi="仿宋_GB2312" w:cs="仿宋_GB2312" w:eastAsia="仿宋_GB2312"/>
              </w:rPr>
              <w:t>2、服务地点：采购人指定地点。</w:t>
            </w:r>
          </w:p>
          <w:p>
            <w:pPr>
              <w:pStyle w:val="null3"/>
            </w:pPr>
            <w:r>
              <w:rPr>
                <w:rFonts w:ascii="仿宋_GB2312" w:hAnsi="仿宋_GB2312" w:cs="仿宋_GB2312" w:eastAsia="仿宋_GB2312"/>
              </w:rPr>
              <w:t>3</w:t>
            </w:r>
            <w:r>
              <w:rPr>
                <w:rFonts w:ascii="仿宋_GB2312" w:hAnsi="仿宋_GB2312" w:cs="仿宋_GB2312" w:eastAsia="仿宋_GB2312"/>
              </w:rPr>
              <w:t>、付款方式：</w:t>
            </w:r>
            <w:r>
              <w:rPr>
                <w:rFonts w:ascii="仿宋_GB2312" w:hAnsi="仿宋_GB2312" w:cs="仿宋_GB2312" w:eastAsia="仿宋_GB2312"/>
              </w:rPr>
              <w:t>合同签订生效</w:t>
            </w:r>
            <w:r>
              <w:rPr>
                <w:rFonts w:ascii="仿宋_GB2312" w:hAnsi="仿宋_GB2312" w:cs="仿宋_GB2312" w:eastAsia="仿宋_GB2312"/>
              </w:rPr>
              <w:t>30个工作日内支付合同总金额的60％；服务完成提交成果报告并经甲方验收合格后30个工作日内支付合同剩余的40％。</w:t>
            </w:r>
            <w:r>
              <w:rPr>
                <w:rFonts w:ascii="仿宋_GB2312" w:hAnsi="仿宋_GB2312" w:cs="仿宋_GB2312" w:eastAsia="仿宋_GB2312"/>
              </w:rPr>
              <w:t>所有款项均以银行转账方式支付，每次甲方付款前乙方提供对应数额的税务发票。</w:t>
            </w:r>
          </w:p>
          <w:p>
            <w:pPr>
              <w:pStyle w:val="null3"/>
            </w:pPr>
            <w:r>
              <w:rPr>
                <w:rFonts w:ascii="仿宋_GB2312" w:hAnsi="仿宋_GB2312" w:cs="仿宋_GB2312" w:eastAsia="仿宋_GB2312"/>
              </w:rPr>
              <w:t>六、其他要求</w:t>
            </w:r>
          </w:p>
          <w:p>
            <w:pPr>
              <w:pStyle w:val="null3"/>
            </w:pPr>
            <w:r>
              <w:rPr>
                <w:rFonts w:ascii="仿宋_GB2312" w:hAnsi="仿宋_GB2312" w:cs="仿宋_GB2312" w:eastAsia="仿宋_GB2312"/>
              </w:rPr>
              <w:t>1、</w:t>
            </w:r>
            <w:r>
              <w:rPr>
                <w:rFonts w:ascii="仿宋_GB2312" w:hAnsi="仿宋_GB2312" w:cs="仿宋_GB2312" w:eastAsia="仿宋_GB2312"/>
              </w:rPr>
              <w:t>投标人</w:t>
            </w:r>
            <w:r>
              <w:rPr>
                <w:rFonts w:ascii="仿宋_GB2312" w:hAnsi="仿宋_GB2312" w:cs="仿宋_GB2312" w:eastAsia="仿宋_GB2312"/>
              </w:rPr>
              <w:t>应保证所提供的服务或其任何一部分均不会侵犯任何第三方的专利权、商标权或著作权。</w:t>
            </w:r>
          </w:p>
          <w:p>
            <w:pPr>
              <w:pStyle w:val="null3"/>
            </w:pPr>
            <w:r>
              <w:rPr>
                <w:rFonts w:ascii="仿宋_GB2312" w:hAnsi="仿宋_GB2312" w:cs="仿宋_GB2312" w:eastAsia="仿宋_GB2312"/>
              </w:rPr>
              <w:t>2、报价要求：（1）成交</w:t>
            </w:r>
            <w:r>
              <w:rPr>
                <w:rFonts w:ascii="仿宋_GB2312" w:hAnsi="仿宋_GB2312" w:cs="仿宋_GB2312" w:eastAsia="仿宋_GB2312"/>
              </w:rPr>
              <w:t>投标人</w:t>
            </w:r>
            <w:r>
              <w:rPr>
                <w:rFonts w:ascii="仿宋_GB2312" w:hAnsi="仿宋_GB2312" w:cs="仿宋_GB2312" w:eastAsia="仿宋_GB2312"/>
              </w:rPr>
              <w:t>在项目实施期间，若上级主管部门对本项目的完成时间、工作内容和技术要求有调整和变化的，</w:t>
            </w:r>
            <w:r>
              <w:rPr>
                <w:rFonts w:ascii="仿宋_GB2312" w:hAnsi="仿宋_GB2312" w:cs="仿宋_GB2312" w:eastAsia="仿宋_GB2312"/>
              </w:rPr>
              <w:t>投标人</w:t>
            </w:r>
            <w:r>
              <w:rPr>
                <w:rFonts w:ascii="仿宋_GB2312" w:hAnsi="仿宋_GB2312" w:cs="仿宋_GB2312" w:eastAsia="仿宋_GB2312"/>
              </w:rPr>
              <w:t>应无条件按照新要求执行，满足采购人和上级主管部门对本项目的部署与要求，所需一切费用包含在本次</w:t>
            </w:r>
            <w:r>
              <w:rPr>
                <w:rFonts w:ascii="仿宋_GB2312" w:hAnsi="仿宋_GB2312" w:cs="仿宋_GB2312" w:eastAsia="仿宋_GB2312"/>
              </w:rPr>
              <w:t>投标</w:t>
            </w:r>
            <w:r>
              <w:rPr>
                <w:rFonts w:ascii="仿宋_GB2312" w:hAnsi="仿宋_GB2312" w:cs="仿宋_GB2312" w:eastAsia="仿宋_GB2312"/>
              </w:rPr>
              <w:t>报价中。（</w:t>
            </w:r>
            <w:r>
              <w:rPr>
                <w:rFonts w:ascii="仿宋_GB2312" w:hAnsi="仿宋_GB2312" w:cs="仿宋_GB2312" w:eastAsia="仿宋_GB2312"/>
              </w:rPr>
              <w:t>2）项目总报价应当包括完成本项目可能发生的各项费用的总和，为包干费用，如人工费、成果编制费、仪器设备使用费、资料费、项目成果评审费、差旅费、保险费、管理费、招标代理服务费、税金等一切费用的体现，采购文件未列明而</w:t>
            </w:r>
            <w:r>
              <w:rPr>
                <w:rFonts w:ascii="仿宋_GB2312" w:hAnsi="仿宋_GB2312" w:cs="仿宋_GB2312" w:eastAsia="仿宋_GB2312"/>
              </w:rPr>
              <w:t>投标人</w:t>
            </w:r>
            <w:r>
              <w:rPr>
                <w:rFonts w:ascii="仿宋_GB2312" w:hAnsi="仿宋_GB2312" w:cs="仿宋_GB2312" w:eastAsia="仿宋_GB2312"/>
              </w:rPr>
              <w:t>认为其他必需的费用也须列入报价内。采购人不再另行支付成交金额以外的其他任何费用。</w:t>
            </w:r>
          </w:p>
          <w:p>
            <w:pPr>
              <w:pStyle w:val="null3"/>
            </w:pPr>
            <w:r>
              <w:rPr>
                <w:rFonts w:ascii="仿宋_GB2312" w:hAnsi="仿宋_GB2312" w:cs="仿宋_GB2312" w:eastAsia="仿宋_GB2312"/>
                <w:sz w:val="21"/>
              </w:rPr>
              <w:t>3、违约责任与解决争议的方法：（1）</w:t>
            </w:r>
            <w:r>
              <w:rPr>
                <w:rFonts w:ascii="仿宋_GB2312" w:hAnsi="仿宋_GB2312" w:cs="仿宋_GB2312" w:eastAsia="仿宋_GB2312"/>
                <w:sz w:val="21"/>
              </w:rPr>
              <w:t>投标人</w:t>
            </w:r>
            <w:r>
              <w:rPr>
                <w:rFonts w:ascii="仿宋_GB2312" w:hAnsi="仿宋_GB2312" w:cs="仿宋_GB2312" w:eastAsia="仿宋_GB2312"/>
                <w:sz w:val="21"/>
              </w:rPr>
              <w:t>和采购人必须遵守本合同并执行合同中的各项规定，保证本合同的正常履行。（</w:t>
            </w:r>
            <w:r>
              <w:rPr>
                <w:rFonts w:ascii="仿宋_GB2312" w:hAnsi="仿宋_GB2312" w:cs="仿宋_GB2312" w:eastAsia="仿宋_GB2312"/>
                <w:sz w:val="21"/>
              </w:rPr>
              <w:t>2）如因</w:t>
            </w:r>
            <w:r>
              <w:rPr>
                <w:rFonts w:ascii="仿宋_GB2312" w:hAnsi="仿宋_GB2312" w:cs="仿宋_GB2312" w:eastAsia="仿宋_GB2312"/>
                <w:sz w:val="21"/>
              </w:rPr>
              <w:t>投标人</w:t>
            </w:r>
            <w:r>
              <w:rPr>
                <w:rFonts w:ascii="仿宋_GB2312" w:hAnsi="仿宋_GB2312" w:cs="仿宋_GB2312" w:eastAsia="仿宋_GB2312"/>
                <w:sz w:val="21"/>
              </w:rPr>
              <w:t>工作人员在履行职务过程中的的疏忽、失职、过错等故意或者过失原因给采购人造成损失或侵害，包括但不限于采购人本身的财产损失、由此而导致的采购人对任何第三方的法律责任等，</w:t>
            </w:r>
            <w:r>
              <w:rPr>
                <w:rFonts w:ascii="仿宋_GB2312" w:hAnsi="仿宋_GB2312" w:cs="仿宋_GB2312" w:eastAsia="仿宋_GB2312"/>
                <w:sz w:val="21"/>
              </w:rPr>
              <w:t>投标人</w:t>
            </w:r>
            <w:r>
              <w:rPr>
                <w:rFonts w:ascii="仿宋_GB2312" w:hAnsi="仿宋_GB2312" w:cs="仿宋_GB2312" w:eastAsia="仿宋_GB2312"/>
                <w:sz w:val="21"/>
              </w:rPr>
              <w:t>对此均应承担全部的赔偿责任。解决争议的方法：（</w:t>
            </w:r>
            <w:r>
              <w:rPr>
                <w:rFonts w:ascii="仿宋_GB2312" w:hAnsi="仿宋_GB2312" w:cs="仿宋_GB2312" w:eastAsia="仿宋_GB2312"/>
                <w:sz w:val="21"/>
              </w:rPr>
              <w:t>1）在执行本合同中发生的或与本合同有关的争端，双方应通过友好协商解决，经协商不能达成协议时，应提交采购人所在地人民法院诉讼解决。（2）在诉讼期间，乙方不得停止服务，并应保证政府采购合同的继续履行执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合同签订后60个日历天提交成果文件（并通过省发改委评审中心评审出具评审报告）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关于进一步加强政府采购需求和履约验收管理的指导意见》（财库〔2016〕205号）等政府采购相关法律法规的要求组织验收，验收标准按采购文件规定的服务内容及要求、成交供应商的响应文件及承诺、合同约定标准以及行业规范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进度款，服务完成提交成果报告并经甲方验收合格后，达到付款条件起30个工作日内，支付合同总金额的40.0%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和采购人必须遵守本合同并执行合同中的各项规定，保证本合同的正常履行。（2）如因投标人工作人员在履行职务过程中的的疏忽、失职、过错等故意或者过失原因给采购人造成损失或侵害，包括但不限于采购人本身的财产损失、由此而导致的采购人对任何第三方的法律责任等，投标人对此均应承担全部的赔偿责任。解决争议的方法：（1）在执行本合同中发生的或与本合同有关的争端，双方应通过友好协商解决，经协商不能达成协议时，应提交采购人所在地人民法院诉讼解决。（2）在诉讼期间，乙方不得停止服务，并应保证政府采购合同的继续履行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提供纸质文件①为顺利推进政府采购电子化交易平台应用工作，投标人需要在线提交所有通过电子化交易平台实施的政府采购项目的响应文件，同时，线下提交纸质响应文件正本壹份、副本贰份。②纸质响应文件正、副本分别胶装，标明投标人名称密封递交，递交截止时间同在线递交电子响应文件截止时间一致，递交地址：西安市未央区西安经济技术开发区凤城十二路首创禧悦里25幢A座16层（纸质响应文件可顺丰邮寄，邮件发出时间应在递交电子响应文件截止时间之前，邮寄地址：西安市未央区西安经济技术开发区凤城十二路首创禧悦里25幢A座16层，联系人：同秀秀，联系电话：13379211324）。③若电子响应文件与纸质响应文件不一致的，以电子响应文件为准。二、投标人的投标报价是投标人响应投标项目要求的全部工作内容的价格体现，包括投标人完成本项目所需的直接费、间接费、利润、税金及其它相关的一切费用。包括但不限于：人工费、设备费、管理费、验收费、采购代理服务费、利润和税金等全部费用。在提供服务的过程中的任何遗漏，均由成交投标人免费提供，采购人将不再支付任何费用。三、投标有效期 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响应文件；投标人拒绝延长的，其响应文件失效，递交投标保证金的，投标人有权收回其投标保证金。 2.在投标有效期内，投标人撤销响应文件的，应承担投标文件和法律规定的责任。 3.成交投标人的投标有效期自动延长至合同终止为止。 四、若出现合格投标人少于3家时，采购人应依法重新组织采购活动。 五、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七、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投标人需在项目电子化交易系统中按要求填写《响应函》完成承诺并进行电子签章。（1）投标人的营业执照等证明文件，自然人的身份证明； (2) 法定代表人（单位负责人）参加投标的，提供本人身份证复印件；法定代表人（单位负责人）授权他人参加投标的，提供法定代表人（单位负责人）委托授权书并出示被授权代表的身份证复印件； （3）投标人2025年5月至今已缴纳任意一个月任意税种纳税凭证或税务机关开具的完税证明（个人所得税除外），依法免税的应提供相关文件证明；（4）投标人2025年5月至今已缴存的任意一个月的社会保障资金缴存单据或社保机构开具的社会保险参保缴费情况证明，依法不需要缴纳社会保障资金的投标人应提供相关文件证明； （5）具有履行合同所必需的设备和专业技术能力的承诺；（6）参加本次采购前3年内，在经营活动中没有重大违法记录的书面声明。注：1、按照《中华人民共和国政府采购法》有关规定，采购代理机构依法对投标人的资格进行审查，并组建资格审查小组。 2、资格审查小组，由1名采购人代表和2名采购代理机构工作人员3人组成，采购代理机构项目经理担任资格审查小组组长。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提供2024或2025年度经审计的财务会计报告或其提交响应文件截止时间前3个月内基本账户开户银行出具的资信证明。（以上形式的资料提供任何一种即可）要求： （1）投标人是企业法人的，应提供2024或2025全年度经审计的投标人财务报告，包括 “四表一注”即《资产负债表》《利润表》《现金流量表》《所有者权益变动表》及其附注，或者提交响应文件截止时间前3个月内基本账户开户银行出具的资信证明（附基本存款账户信息）； （2）投标人是执行《小企业会计准则》的小微企业的，应提供2024或2025全年度经审计的投标人财务报告，至少包括 《资产负债表》《利润表》《现金流量表》及其附注，或者提交响应文件截止时间前3个月内基本账户开户银行出具的资信证明（附基本存款账户信息）； （3）投标人是执行《事业单位会计准则》的事业单位法人的，应提供2024或2025全年度经审计的投标人财务报告，至少包括《资产负债表》《收入支出表或者收入费用表》《财政补助收入支出表》及其附注，或者提交响应文件截止时间前3个月内基本账户开户银行出具的资信证明（附基本存款账户信息）；（4）部分其他组织和自然人，提供提交响应文件截止时间前3个月内基本账户开户银行出具的资信证明（附账户信息）； （5）投标人是民办非企业单位的，应提供2024或2025全年度经审计的投标人财务报告，包括《资产负债表》《业务活动表》《现金流量表》及其附注或者提交响应文件截止时间前3个月内基本账户开户银行出具的资信证明（附账户信息）；（6）投标人成立不到1年（至提交响应文件截止时间）的，提供成立后任意一个月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企业备案</w:t>
            </w:r>
          </w:p>
        </w:tc>
        <w:tc>
          <w:tcPr>
            <w:tcW w:type="dxa" w:w="3322"/>
          </w:tcPr>
          <w:p>
            <w:pPr>
              <w:pStyle w:val="null3"/>
            </w:pPr>
            <w:r>
              <w:rPr>
                <w:rFonts w:ascii="仿宋_GB2312" w:hAnsi="仿宋_GB2312" w:cs="仿宋_GB2312" w:eastAsia="仿宋_GB2312"/>
              </w:rPr>
              <w:t>供应商须在“全国投资项目在线审批监管平台”工程咨询单位名录备案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服务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资格证明文件.docx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开标一览表 投标函 标的清单 投标文件封面 资格证明文件.docx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标的清单 商务技术部分.docx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商务技术部分.docx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投标函 商务技术部分.docx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投标函 商务技术部分.docx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供应商针对机场现状（跑道、升降带、直升机/无人机运行特点）及存在问题进行分析。 二、评审标准 1、完整性：完全掌握本项目实施的相关政策及背景，理解全面； 2、科学性：内容紧扣项目实际情况，逻辑完整、科学合理。 三、赋分依据 每完全满足一个评审标准得2.0分，每基本满足一个评审标准得1.0分，不满足或未提供不得分，满分4.0分。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供应商针对本项目可研编制制定整体服务方案。包括①服务目标、内容及标准②服务方法及策略③人员组织安排④配合验收方案。 二、评审标准 1、完整性：内容须全面，对评审内容中的各项要求描述详细； 2、可实施性：切合本项目实际情况，实施步骤清晰、合理； 3、针对性：能够紧扣项目实际情况，内容科学合理。 三、赋分依据 ①服务目标、内容及标准：每完全满足一个评审标准得2.0分，每基本满足一个评审标准得1.0分，不满足或未提供不得分，满分6分； ②服务方法及策略：每完全满足一个评审标准得2.0分，每基本满足一个评审标准得1.0分，不满足或未提供不得分，满分6分； ③人员组织安排：每完全满足一个评审标准得2.0分，每基本满足一个评审标准得1.0分，不满足或未提供不得分，满分6分； ④配合验收方案：每完全满足一个评审标准得2.0分，每基本满足一个评审标准得1.0分，不满足或未提供不得分，满分6分。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一、评审内容 供应商针对本项目制作各阶段工作流程。包括①前期准备②报告编制③报告审核、修改与最终上报。 二、评审标准 1、完整性：内容须全面，对评审内容中的各项要求描述详细； 2、可实施性：切合本项目实际情况，实施步骤清晰、合理； 3、针对性：能够紧扣项目实际情况，内容科学合理。 三、赋分依据 ①前期准备：每完全满足一个评审标准得1分，每基本满足一个评审标准得0.5分，不满足或未提供不得分，满分3分； ②报告编制：每完全满足一个评审标准得1分，每基本满足一个评审标准得0.5分，不满足或未提供不得分，满分3分； ③报告审核、修改与最终上报：每完全满足一个评审标准得1分，每基本满足一个评审标准得0.5分，不满足或未提供不得分，满分3分。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 供应商针对本项目制定进度保障方案。包括①编制进度安排及保障措施②突发情况的应急措施。 二、评审标准 1、完整性：内容须全面，对评审内容中的各项要求描述详细； 2、可实施性：切合本项目实际情况，实施步骤清晰、合理； 3、针对性：能够紧扣项目实际情况，内容科学合理。 三、赋分依据 ①编制进度安排及保障措施：每完全满足一个评审标准得1分，每基本满足一个评审标准得0.5分，不满足或未提供不得分，满分3分； ②突发情况的应急措施：每完全满足一个评审标准得1分，每基本满足一个评审标准得0.5分，不满足或未提供不得分，满分3分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供应商针对本项目制定质量保障方案。包括①质量规划、目标②保障措施③未达到质量标准的改进措施。 二、评审标准 1、完整性：内容须全面，对评审内容中的各项要求描述详细； 2、可实施性：切合本项目实际情况，实施步骤清晰、合理； 3、针对性：能够紧扣项目实际情况，内容科学合理。 三、赋分依据 ①质量规划、目标：每完全满足一个评审标准得1分，每基本满足一个评审标准得0.5分，不满足或未提供不得分，满分3分； ②保障措施：每完全满足一个评审标准得1分，每基本满足一个评审标准得0.5分，不满足或未提供不得分，满分3分； ③未达到质量标准的改进措施：每完全满足一个评审标准得1分，每基本满足一个评审标准得0.5分，不满足或未提供不得分，满分3分。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供应商针对本项目报告编制进行重难点分析。包括①重难点分析 ②对应解决方案。 二、评审标准 1、完整性：内容须全面，对评审内容中的各项要求描述详细； 2、可实施性：切合本项目实际情况，实施步骤清晰、合理； 3、针对性：能够紧扣项目实际情况，内容科学合理。 三、赋分依据 ①重难点分析：每完全满足一个评审标准得1分，每基本满足一个评审标准得0.5分，不满足或未提供不得分，满分3分； ②对应解决方案：每完全满足一个评审标准得1分，每基本满足一个评审标准得0.5分，不满足或未提供不得分，满分3分。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一、评审内容供应商针对本项目获悉的采购人相关信息制定完整可行的保密措施，具备完善的内部保密制度。包括①制度建设②保密措施。 二、评审标准 1、完整性：内容须全面，对评审内容中的各项要求描述详细； 2、可实施性：切合本项目实际情况，实施步骤清晰、合理； 3、针对性：能够紧扣项目实际情况，内容科学合理。 三、赋分依据 ①制度建设：每完全满足一个评审标准得1分，每基本满足一个评审标准得0.5分，不满足或未提供不得分，满分3分； ②保密措施：每完全满足一个评审标准得1分，每基本满足一个评审标准得0.5分，不满足或未提供不得分，满分3分。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成果交付资料</w:t>
            </w:r>
          </w:p>
        </w:tc>
        <w:tc>
          <w:tcPr>
            <w:tcW w:type="dxa" w:w="2492"/>
          </w:tcPr>
          <w:p>
            <w:pPr>
              <w:pStyle w:val="null3"/>
            </w:pPr>
            <w:r>
              <w:rPr>
                <w:rFonts w:ascii="仿宋_GB2312" w:hAnsi="仿宋_GB2312" w:cs="仿宋_GB2312" w:eastAsia="仿宋_GB2312"/>
              </w:rPr>
              <w:t>一、评审内容 供应商提供针对本项目的成果交付资料应真实、有效，符合采购人要求。若未达到采购人标准，提供具体的改进措施。 二、评审标准 1、完整性：内容须全面，对评审内容中的各项要求描述详细； 2、可实施性：切合本项目实际情况，实施步骤清晰、合理； 3、针对性：能够紧扣项目实际情况，内容科学合理。 三、赋分依据 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项目配备人员①具有工程相关专业高级及以上职称且同时具备注册咨询工程师证书1人得3分；②具备机场工程相关专业正高级职称1人得2分；满足以上任意一项即可计分，最高得10分。 （配备人员需提供身份证、学历证、本单位缴纳社保证明、职称证等相关证明材料，未提供或提供资料不完整的不得分。）注：供应商承诺，如若成交，服务团队人员不得随意更换。若因不可抗力因素，确需更换，要求至少提前7个工作日以书面形式通知采购人，并将拟更换的人员个人资料一并上报，经采购人审核同意后，方可更换。提供此承诺计1分，未提供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供应商承诺①配合相关验收工作，达到有关主管部门审批要求，负责配合采购人将成果上报有关主管部门并获得批准通过。②服务成果的相关资料知识产权归采购人所有。 每提供上述一个承诺计1.5分，共3分。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供应商从2023年1月1日以来（以合同签订日期为准）类似项目业绩，每提供一个1个计3分，最高得9分。 注：响应文件需要同时提供合同首页、服务内容页、盖章页复印件并加盖供应商公章，时间以合同签订时间为准，否则不得分。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有效供应商的最低报价（落实政府采购政策进行价格调整的，以调整后的价格计算）为基准价得10分，其他各供应商的报价得分按下列公式计算：（基准价/投标报价）×10％×100。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投标人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