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B15BC">
      <w:pPr>
        <w:keepNext w:val="0"/>
        <w:keepLines w:val="0"/>
        <w:pageBreakBefore w:val="0"/>
        <w:widowControl w:val="0"/>
        <w:kinsoku/>
        <w:wordWrap/>
        <w:overflowPunct/>
        <w:topLinePunct w:val="0"/>
        <w:autoSpaceDE/>
        <w:autoSpaceDN/>
        <w:bidi w:val="0"/>
        <w:adjustRightInd/>
        <w:snapToGrid/>
        <w:spacing w:line="480" w:lineRule="exact"/>
        <w:ind w:firstLine="1084" w:firstLineChars="300"/>
        <w:jc w:val="center"/>
        <w:textAlignment w:val="auto"/>
        <w:rPr>
          <w:rFonts w:hint="eastAsia" w:ascii="宋体" w:hAnsi="宋体" w:eastAsia="宋体" w:cs="宋体"/>
          <w:b/>
          <w:sz w:val="36"/>
          <w:szCs w:val="36"/>
          <w:lang w:eastAsia="zh-CN"/>
        </w:rPr>
      </w:pPr>
      <w:r>
        <w:rPr>
          <w:rFonts w:hint="eastAsia" w:ascii="宋体" w:hAnsi="宋体" w:eastAsia="宋体" w:cs="宋体"/>
          <w:b/>
          <w:bCs/>
          <w:sz w:val="36"/>
          <w:szCs w:val="36"/>
        </w:rPr>
        <w:t>合同</w:t>
      </w:r>
      <w:r>
        <w:rPr>
          <w:rFonts w:hint="eastAsia" w:ascii="宋体" w:hAnsi="宋体" w:eastAsia="宋体" w:cs="宋体"/>
          <w:b/>
          <w:bCs/>
          <w:sz w:val="36"/>
          <w:szCs w:val="36"/>
          <w:lang w:eastAsia="zh-CN"/>
        </w:rPr>
        <w:t>范本</w:t>
      </w:r>
    </w:p>
    <w:p w14:paraId="09A59B7A">
      <w:pPr>
        <w:keepNext/>
        <w:keepLines/>
        <w:pageBreakBefore w:val="0"/>
        <w:widowControl w:val="0"/>
        <w:kinsoku/>
        <w:wordWrap/>
        <w:overflowPunct/>
        <w:topLinePunct w:val="0"/>
        <w:autoSpaceDE/>
        <w:autoSpaceDN/>
        <w:bidi w:val="0"/>
        <w:spacing w:line="360" w:lineRule="auto"/>
        <w:textAlignment w:val="auto"/>
        <w:outlineLvl w:val="0"/>
        <w:rPr>
          <w:rFonts w:hint="default" w:ascii="宋体" w:hAnsi="宋体" w:eastAsia="宋体" w:cs="宋体"/>
          <w:b w:val="0"/>
          <w:bCs w:val="0"/>
          <w:color w:val="000000"/>
          <w:kern w:val="44"/>
          <w:sz w:val="24"/>
          <w:szCs w:val="24"/>
          <w:lang w:val="zh-CN" w:eastAsia="zh-CN"/>
        </w:rPr>
      </w:pPr>
      <w:bookmarkStart w:id="0" w:name="_Hlt503233640"/>
      <w:bookmarkEnd w:id="0"/>
      <w:bookmarkStart w:id="1" w:name="_Toc20167"/>
      <w:bookmarkStart w:id="2" w:name="_Toc84833376"/>
    </w:p>
    <w:bookmarkEnd w:id="1"/>
    <w:bookmarkEnd w:id="2"/>
    <w:p w14:paraId="7C85B140">
      <w:pPr>
        <w:keepNext/>
        <w:keepLines/>
        <w:pageBreakBefore w:val="0"/>
        <w:widowControl w:val="0"/>
        <w:kinsoku/>
        <w:wordWrap/>
        <w:overflowPunct/>
        <w:topLinePunct w:val="0"/>
        <w:autoSpaceDE/>
        <w:autoSpaceDN/>
        <w:bidi w:val="0"/>
        <w:spacing w:line="360" w:lineRule="auto"/>
        <w:ind w:firstLine="480" w:firstLineChars="200"/>
        <w:textAlignment w:val="auto"/>
        <w:outlineLvl w:val="0"/>
        <w:rPr>
          <w:rFonts w:hint="default" w:ascii="宋体" w:hAnsi="宋体" w:eastAsia="宋体" w:cs="宋体"/>
          <w:b w:val="0"/>
          <w:bCs w:val="0"/>
          <w:color w:val="000000"/>
          <w:kern w:val="44"/>
          <w:sz w:val="24"/>
          <w:szCs w:val="24"/>
          <w:lang w:val="zh-CN" w:eastAsia="zh-CN"/>
        </w:rPr>
      </w:pPr>
      <w:r>
        <w:rPr>
          <w:rFonts w:hint="default" w:ascii="宋体" w:hAnsi="宋体" w:eastAsia="宋体" w:cs="宋体"/>
          <w:b w:val="0"/>
          <w:bCs w:val="0"/>
          <w:color w:val="000000"/>
          <w:kern w:val="44"/>
          <w:sz w:val="24"/>
          <w:szCs w:val="24"/>
          <w:lang w:val="zh-CN" w:eastAsia="zh-CN"/>
        </w:rPr>
        <w:t>（此合同草案条款，除</w:t>
      </w:r>
      <w:r>
        <w:rPr>
          <w:rFonts w:hint="default" w:ascii="宋体" w:hAnsi="宋体" w:eastAsia="宋体" w:cs="宋体"/>
          <w:b w:val="0"/>
          <w:bCs w:val="0"/>
          <w:color w:val="000000"/>
          <w:kern w:val="44"/>
          <w:sz w:val="24"/>
          <w:szCs w:val="24"/>
          <w:lang w:val="en-US" w:eastAsia="zh-CN"/>
        </w:rPr>
        <w:t>商务要求</w:t>
      </w:r>
      <w:r>
        <w:rPr>
          <w:rFonts w:hint="default" w:ascii="宋体" w:hAnsi="宋体" w:eastAsia="宋体" w:cs="宋体"/>
          <w:b w:val="0"/>
          <w:bCs w:val="0"/>
          <w:color w:val="000000"/>
          <w:kern w:val="44"/>
          <w:sz w:val="24"/>
          <w:szCs w:val="24"/>
          <w:lang w:val="zh-CN" w:eastAsia="zh-CN"/>
        </w:rPr>
        <w:t>外，其余部分只作为参考，最终签订的合同以采购人确定的合同内容为准。）</w:t>
      </w:r>
    </w:p>
    <w:p w14:paraId="754BC513">
      <w:pPr>
        <w:pStyle w:val="4"/>
        <w:rPr>
          <w:rFonts w:hint="default" w:ascii="Times New Roman" w:hAnsi="Times New Roman" w:eastAsia="宋体" w:cs="Times New Roman"/>
          <w:b/>
          <w:color w:val="auto"/>
          <w:sz w:val="24"/>
          <w:highlight w:val="none"/>
          <w:lang w:val="zh-CN"/>
        </w:rPr>
      </w:pPr>
    </w:p>
    <w:p w14:paraId="3FD687FD">
      <w:pPr>
        <w:pStyle w:val="3"/>
        <w:rPr>
          <w:rFonts w:hint="default"/>
        </w:rPr>
      </w:pPr>
    </w:p>
    <w:p w14:paraId="75DDA262">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default" w:ascii="宋体" w:hAnsi="宋体" w:eastAsia="宋体" w:cs="宋体"/>
          <w:b w:val="0"/>
          <w:bCs w:val="0"/>
          <w:color w:val="000000"/>
          <w:kern w:val="44"/>
          <w:sz w:val="24"/>
          <w:szCs w:val="24"/>
          <w:lang w:val="en-US" w:eastAsia="zh-CN"/>
        </w:rPr>
      </w:pPr>
      <w:bookmarkStart w:id="3" w:name="_Toc7136"/>
      <w:bookmarkStart w:id="4" w:name="_Toc3954"/>
      <w:bookmarkStart w:id="5" w:name="_Toc10532"/>
      <w:bookmarkStart w:id="6" w:name="_Toc4511"/>
      <w:bookmarkStart w:id="7" w:name="_Toc14004"/>
      <w:bookmarkStart w:id="8" w:name="_Toc2826"/>
      <w:bookmarkStart w:id="9" w:name="_Toc15888"/>
      <w:bookmarkStart w:id="10" w:name="_Toc28343"/>
      <w:bookmarkStart w:id="11" w:name="_Toc23149"/>
      <w:bookmarkStart w:id="12" w:name="_Toc32599"/>
      <w:r>
        <w:rPr>
          <w:rFonts w:hint="eastAsia" w:ascii="宋体" w:hAnsi="宋体" w:eastAsia="宋体" w:cs="宋体"/>
          <w:b w:val="0"/>
          <w:bCs w:val="0"/>
          <w:color w:val="000000"/>
          <w:kern w:val="44"/>
          <w:sz w:val="24"/>
          <w:szCs w:val="24"/>
        </w:rPr>
        <w:t>甲方：</w:t>
      </w:r>
      <w:bookmarkEnd w:id="3"/>
      <w:bookmarkEnd w:id="4"/>
      <w:bookmarkEnd w:id="5"/>
      <w:bookmarkEnd w:id="6"/>
      <w:bookmarkEnd w:id="7"/>
      <w:bookmarkEnd w:id="8"/>
      <w:bookmarkEnd w:id="9"/>
      <w:bookmarkEnd w:id="10"/>
      <w:bookmarkEnd w:id="11"/>
      <w:r>
        <w:rPr>
          <w:rFonts w:hint="eastAsia" w:ascii="宋体" w:hAnsi="宋体" w:cs="宋体"/>
          <w:b w:val="0"/>
          <w:bCs w:val="0"/>
          <w:color w:val="000000"/>
          <w:kern w:val="44"/>
          <w:sz w:val="24"/>
          <w:szCs w:val="24"/>
          <w:lang w:val="en-US" w:eastAsia="zh-CN"/>
        </w:rPr>
        <w:t>陕西省应急管理厅</w:t>
      </w:r>
    </w:p>
    <w:p w14:paraId="7C822EBC">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宋体" w:hAnsi="宋体" w:eastAsia="宋体" w:cs="宋体"/>
          <w:b w:val="0"/>
          <w:bCs w:val="0"/>
          <w:color w:val="000000"/>
          <w:kern w:val="44"/>
          <w:sz w:val="24"/>
          <w:szCs w:val="24"/>
        </w:rPr>
      </w:pPr>
      <w:bookmarkStart w:id="13" w:name="_Toc3952"/>
      <w:bookmarkStart w:id="14" w:name="_Toc18406"/>
      <w:bookmarkStart w:id="15" w:name="_Toc18786"/>
      <w:bookmarkStart w:id="16" w:name="_Toc31568"/>
      <w:bookmarkStart w:id="17" w:name="_Toc24586"/>
      <w:bookmarkStart w:id="18" w:name="_Toc17900"/>
      <w:bookmarkStart w:id="19" w:name="_Toc24448"/>
      <w:bookmarkStart w:id="20" w:name="_Toc23108"/>
      <w:bookmarkStart w:id="21" w:name="_Toc24066"/>
      <w:r>
        <w:rPr>
          <w:rFonts w:hint="eastAsia" w:ascii="宋体" w:hAnsi="宋体" w:eastAsia="宋体" w:cs="宋体"/>
          <w:b w:val="0"/>
          <w:bCs w:val="0"/>
          <w:color w:val="000000"/>
          <w:kern w:val="44"/>
          <w:sz w:val="24"/>
          <w:szCs w:val="24"/>
        </w:rPr>
        <w:t>乙方：</w:t>
      </w:r>
      <w:bookmarkEnd w:id="13"/>
      <w:bookmarkEnd w:id="14"/>
      <w:bookmarkEnd w:id="15"/>
      <w:bookmarkEnd w:id="16"/>
      <w:bookmarkEnd w:id="17"/>
      <w:bookmarkEnd w:id="18"/>
      <w:bookmarkEnd w:id="19"/>
      <w:bookmarkEnd w:id="20"/>
      <w:bookmarkEnd w:id="21"/>
      <w:r>
        <w:rPr>
          <w:rFonts w:hint="eastAsia" w:ascii="宋体" w:hAnsi="宋体" w:eastAsia="宋体" w:cs="宋体"/>
          <w:b w:val="0"/>
          <w:bCs w:val="0"/>
          <w:color w:val="000000"/>
          <w:kern w:val="44"/>
          <w:sz w:val="24"/>
          <w:szCs w:val="24"/>
        </w:rPr>
        <w:t xml:space="preserve"> </w:t>
      </w:r>
    </w:p>
    <w:p w14:paraId="3131C7FF">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宋体" w:hAnsi="宋体" w:eastAsia="宋体" w:cs="宋体"/>
          <w:b w:val="0"/>
          <w:bCs w:val="0"/>
          <w:color w:val="000000"/>
          <w:kern w:val="44"/>
          <w:sz w:val="24"/>
          <w:szCs w:val="24"/>
        </w:rPr>
      </w:pPr>
      <w:bookmarkStart w:id="22" w:name="_Toc2068"/>
      <w:bookmarkStart w:id="23" w:name="_Toc1182"/>
      <w:bookmarkStart w:id="24" w:name="_Toc10322"/>
      <w:bookmarkStart w:id="25" w:name="_Toc30141"/>
      <w:bookmarkStart w:id="26" w:name="_Toc8684"/>
      <w:bookmarkStart w:id="27" w:name="_Toc26728"/>
      <w:bookmarkStart w:id="28" w:name="_Toc1390"/>
      <w:bookmarkStart w:id="29" w:name="_Toc28856"/>
      <w:bookmarkStart w:id="30" w:name="_Toc13764"/>
      <w:r>
        <w:rPr>
          <w:rFonts w:hint="eastAsia" w:ascii="宋体" w:hAnsi="宋体" w:eastAsia="宋体" w:cs="宋体"/>
          <w:b w:val="0"/>
          <w:bCs w:val="0"/>
          <w:color w:val="000000"/>
          <w:kern w:val="44"/>
          <w:sz w:val="24"/>
          <w:szCs w:val="24"/>
        </w:rPr>
        <w:t>依据《中华人民共和国</w:t>
      </w:r>
      <w:r>
        <w:rPr>
          <w:rFonts w:hint="eastAsia" w:ascii="宋体" w:hAnsi="宋体" w:eastAsia="宋体" w:cs="宋体"/>
          <w:b w:val="0"/>
          <w:bCs w:val="0"/>
          <w:color w:val="000000"/>
          <w:kern w:val="44"/>
          <w:sz w:val="24"/>
          <w:szCs w:val="24"/>
          <w:lang w:val="en-US" w:eastAsia="zh-CN"/>
        </w:rPr>
        <w:t>民法典</w:t>
      </w:r>
      <w:r>
        <w:rPr>
          <w:rFonts w:hint="eastAsia" w:ascii="宋体" w:hAnsi="宋体" w:eastAsia="宋体" w:cs="宋体"/>
          <w:b w:val="0"/>
          <w:bCs w:val="0"/>
          <w:color w:val="000000"/>
          <w:kern w:val="44"/>
          <w:sz w:val="24"/>
          <w:szCs w:val="24"/>
        </w:rPr>
        <w:t>》和《中华人民共和国招投标法》，经双方协商按下述条款和条件签署本合同。</w:t>
      </w:r>
      <w:bookmarkEnd w:id="22"/>
      <w:bookmarkEnd w:id="23"/>
      <w:bookmarkEnd w:id="24"/>
      <w:bookmarkEnd w:id="25"/>
      <w:bookmarkEnd w:id="26"/>
      <w:bookmarkEnd w:id="27"/>
      <w:bookmarkEnd w:id="28"/>
      <w:bookmarkEnd w:id="29"/>
      <w:bookmarkEnd w:id="30"/>
    </w:p>
    <w:p w14:paraId="696F8F0A">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31" w:name="_Toc17008"/>
      <w:bookmarkStart w:id="32" w:name="_Toc31298"/>
      <w:bookmarkStart w:id="33" w:name="_Toc989"/>
      <w:bookmarkStart w:id="34" w:name="_Toc29957"/>
      <w:bookmarkStart w:id="35" w:name="_Toc27336"/>
      <w:bookmarkStart w:id="36" w:name="_Toc16696"/>
      <w:bookmarkStart w:id="37" w:name="_Toc31362"/>
      <w:bookmarkStart w:id="38" w:name="_Toc23097"/>
      <w:bookmarkStart w:id="39" w:name="_Toc7701"/>
      <w:r>
        <w:rPr>
          <w:rFonts w:hint="default" w:ascii="Times New Roman" w:hAnsi="Times New Roman" w:eastAsia="宋体" w:cs="Times New Roman"/>
          <w:color w:val="000000"/>
          <w:sz w:val="24"/>
          <w:szCs w:val="24"/>
          <w:lang w:val="en-US" w:eastAsia="zh-CN"/>
        </w:rPr>
        <w:t>一、服务条件</w:t>
      </w:r>
      <w:bookmarkEnd w:id="12"/>
      <w:bookmarkEnd w:id="31"/>
      <w:bookmarkEnd w:id="32"/>
      <w:bookmarkEnd w:id="33"/>
      <w:bookmarkEnd w:id="34"/>
      <w:bookmarkEnd w:id="35"/>
      <w:bookmarkEnd w:id="36"/>
      <w:bookmarkEnd w:id="37"/>
      <w:bookmarkEnd w:id="38"/>
      <w:bookmarkEnd w:id="39"/>
    </w:p>
    <w:p w14:paraId="0FCC820F">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（一）</w:t>
      </w:r>
      <w:r>
        <w:rPr>
          <w:rFonts w:hint="eastAsia" w:ascii="宋体" w:hAnsi="宋体" w:eastAsia="宋体" w:cs="宋体"/>
          <w:color w:val="auto"/>
          <w:sz w:val="24"/>
          <w:szCs w:val="24"/>
          <w:highlight w:val="none"/>
          <w:lang w:val="en-US" w:eastAsia="zh-CN"/>
        </w:rPr>
        <w:t>项目名称：宝鸡陵塬机场改扩建工程可研报告编制项目</w:t>
      </w:r>
    </w:p>
    <w:p w14:paraId="0D222557">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二</w:t>
      </w:r>
      <w:r>
        <w:rPr>
          <w:rFonts w:hint="default" w:ascii="Times New Roman" w:hAnsi="Times New Roman" w:eastAsia="宋体" w:cs="Times New Roman"/>
          <w:color w:val="000000"/>
          <w:sz w:val="24"/>
          <w:szCs w:val="24"/>
          <w:highlight w:val="none"/>
        </w:rPr>
        <w:t>）</w:t>
      </w:r>
      <w:r>
        <w:rPr>
          <w:rFonts w:hint="eastAsia" w:ascii="宋体" w:hAnsi="宋体" w:eastAsia="宋体" w:cs="宋体"/>
          <w:color w:val="auto"/>
          <w:sz w:val="24"/>
          <w:szCs w:val="24"/>
          <w:highlight w:val="none"/>
          <w:lang w:val="en-US" w:eastAsia="zh-CN"/>
        </w:rPr>
        <w:t>项目编号：ZXGJ-ZB14-2026-02</w:t>
      </w:r>
      <w:r>
        <w:rPr>
          <w:rFonts w:hint="eastAsia" w:ascii="宋体" w:hAnsi="宋体" w:cs="宋体"/>
          <w:color w:val="auto"/>
          <w:sz w:val="24"/>
          <w:szCs w:val="24"/>
          <w:highlight w:val="none"/>
          <w:lang w:val="en-US" w:eastAsia="zh-CN"/>
        </w:rPr>
        <w:t>2</w:t>
      </w:r>
    </w:p>
    <w:p w14:paraId="75F4DE79">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三</w:t>
      </w:r>
      <w:r>
        <w:rPr>
          <w:rFonts w:hint="default" w:ascii="Times New Roman" w:hAnsi="Times New Roman" w:eastAsia="宋体" w:cs="Times New Roman"/>
          <w:color w:val="000000"/>
          <w:sz w:val="24"/>
          <w:szCs w:val="24"/>
          <w:highlight w:val="none"/>
        </w:rPr>
        <w:t>）</w:t>
      </w:r>
      <w:r>
        <w:rPr>
          <w:rFonts w:hint="eastAsia" w:ascii="宋体" w:hAnsi="宋体" w:eastAsia="宋体" w:cs="宋体"/>
          <w:color w:val="auto"/>
          <w:sz w:val="24"/>
          <w:szCs w:val="24"/>
          <w:highlight w:val="none"/>
          <w:lang w:val="en-US" w:eastAsia="zh-CN"/>
        </w:rPr>
        <w:t>服务期：</w:t>
      </w:r>
      <w:r>
        <w:rPr>
          <w:rFonts w:hint="eastAsia"/>
          <w:sz w:val="24"/>
          <w:szCs w:val="24"/>
          <w:lang w:val="en-US" w:eastAsia="zh-CN"/>
        </w:rPr>
        <w:t>合同签订后60个日历天提交成果文件（并通过省发改委评审中心评审出具评审报告）</w:t>
      </w:r>
      <w:r>
        <w:rPr>
          <w:rFonts w:hint="eastAsia" w:ascii="宋体" w:hAnsi="宋体" w:eastAsia="宋体" w:cs="宋体"/>
          <w:color w:val="auto"/>
          <w:sz w:val="24"/>
          <w:szCs w:val="24"/>
          <w:highlight w:val="none"/>
          <w:lang w:val="en-US" w:eastAsia="zh-CN"/>
        </w:rPr>
        <w:t>。</w:t>
      </w:r>
    </w:p>
    <w:p w14:paraId="3C06DD5C">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四</w:t>
      </w:r>
      <w:r>
        <w:rPr>
          <w:rFonts w:hint="default" w:ascii="Times New Roman" w:hAnsi="Times New Roman" w:eastAsia="宋体" w:cs="Times New Roman"/>
          <w:color w:val="000000"/>
          <w:sz w:val="24"/>
          <w:szCs w:val="24"/>
          <w:highlight w:val="none"/>
        </w:rPr>
        <w:t>）</w:t>
      </w:r>
      <w:r>
        <w:rPr>
          <w:rFonts w:hint="eastAsia" w:ascii="宋体" w:hAnsi="宋体" w:eastAsia="宋体" w:cs="宋体"/>
          <w:color w:val="auto"/>
          <w:sz w:val="24"/>
          <w:szCs w:val="24"/>
          <w:highlight w:val="none"/>
          <w:lang w:val="en-US" w:eastAsia="zh-CN"/>
        </w:rPr>
        <w:t>实施地点：</w:t>
      </w:r>
      <w:r>
        <w:rPr>
          <w:rFonts w:hint="eastAsia" w:ascii="宋体" w:hAnsi="宋体" w:cs="宋体"/>
          <w:color w:val="auto"/>
          <w:sz w:val="24"/>
          <w:szCs w:val="24"/>
          <w:highlight w:val="none"/>
          <w:lang w:val="en-US" w:eastAsia="zh-CN"/>
        </w:rPr>
        <w:t>采购人指定地点</w:t>
      </w:r>
    </w:p>
    <w:p w14:paraId="0A17B821">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40" w:name="_Toc13115"/>
      <w:bookmarkStart w:id="41" w:name="_Toc18100"/>
      <w:bookmarkStart w:id="42" w:name="_Toc25078"/>
      <w:bookmarkStart w:id="43" w:name="_Toc7016"/>
      <w:bookmarkStart w:id="44" w:name="_Toc31846"/>
      <w:bookmarkStart w:id="45" w:name="_Toc7498"/>
      <w:bookmarkStart w:id="46" w:name="_Toc11363"/>
      <w:bookmarkStart w:id="47" w:name="_Toc14644"/>
      <w:bookmarkStart w:id="48" w:name="_Toc8415"/>
      <w:bookmarkStart w:id="49" w:name="_Toc25040"/>
      <w:bookmarkStart w:id="50" w:name="_Toc323"/>
      <w:bookmarkStart w:id="51" w:name="_Toc84833377"/>
      <w:r>
        <w:rPr>
          <w:rFonts w:hint="default" w:ascii="Times New Roman" w:hAnsi="Times New Roman" w:eastAsia="宋体" w:cs="Times New Roman"/>
          <w:color w:val="000000"/>
          <w:sz w:val="24"/>
          <w:szCs w:val="24"/>
          <w:lang w:val="en-US" w:eastAsia="zh-CN"/>
        </w:rPr>
        <w:t>二、合同价款</w:t>
      </w:r>
      <w:bookmarkEnd w:id="40"/>
      <w:bookmarkEnd w:id="41"/>
      <w:bookmarkEnd w:id="42"/>
      <w:bookmarkEnd w:id="43"/>
      <w:bookmarkEnd w:id="44"/>
      <w:bookmarkEnd w:id="45"/>
      <w:bookmarkEnd w:id="46"/>
      <w:bookmarkEnd w:id="47"/>
      <w:bookmarkEnd w:id="48"/>
      <w:bookmarkEnd w:id="49"/>
      <w:bookmarkEnd w:id="50"/>
      <w:bookmarkEnd w:id="51"/>
    </w:p>
    <w:p w14:paraId="1918432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（一）合同总价款为人民币（大写）</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rPr>
        <w:t>）。</w:t>
      </w:r>
    </w:p>
    <w:p w14:paraId="420AC78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（二）合同总价包括：包括但不限于完成本次招标所要求的服务至验收合格的其他一切相关费用。</w:t>
      </w:r>
    </w:p>
    <w:p w14:paraId="247C2FD4">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（三）合同总价为固定总价，不受市场价格变化因素的影响。</w:t>
      </w:r>
    </w:p>
    <w:p w14:paraId="191CD9B8">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四</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项目总报价应当包括完成本项目可能发生的各项费用的总和，为包干费用，如人工费、成果编制费、仪器设备使用费、资料费、项目成果评审费、差旅费、保险费、管理费、税金等一切费用的体现，采购文件未列明而供应商认为其他必需的费用也须列入报价内。采购人不再另行支付成交金额以外的其他任何费用。</w:t>
      </w:r>
    </w:p>
    <w:p w14:paraId="3D9937BC">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52" w:name="_Toc30031"/>
      <w:bookmarkStart w:id="53" w:name="_Toc27361"/>
      <w:bookmarkStart w:id="54" w:name="_Toc31071"/>
      <w:bookmarkStart w:id="55" w:name="_Toc23527"/>
      <w:bookmarkStart w:id="56" w:name="_Toc84833378"/>
      <w:bookmarkStart w:id="57" w:name="_Toc20341"/>
      <w:bookmarkStart w:id="58" w:name="_Toc5529"/>
      <w:bookmarkStart w:id="59" w:name="_Toc30158"/>
      <w:bookmarkStart w:id="60" w:name="_Toc10780"/>
      <w:bookmarkStart w:id="61" w:name="_Toc9850"/>
      <w:bookmarkStart w:id="62" w:name="_Toc7685"/>
      <w:bookmarkStart w:id="63" w:name="_Toc26773"/>
      <w:r>
        <w:rPr>
          <w:rFonts w:hint="default" w:ascii="Times New Roman" w:hAnsi="Times New Roman" w:eastAsia="宋体" w:cs="Times New Roman"/>
          <w:color w:val="000000"/>
          <w:sz w:val="24"/>
          <w:szCs w:val="24"/>
          <w:lang w:val="en-US" w:eastAsia="zh-CN"/>
        </w:rPr>
        <w:t>三、款项结算</w:t>
      </w:r>
      <w:bookmarkEnd w:id="52"/>
      <w:bookmarkEnd w:id="53"/>
      <w:bookmarkEnd w:id="54"/>
      <w:bookmarkEnd w:id="55"/>
      <w:bookmarkEnd w:id="56"/>
      <w:bookmarkEnd w:id="57"/>
      <w:bookmarkEnd w:id="58"/>
      <w:bookmarkEnd w:id="59"/>
      <w:bookmarkEnd w:id="60"/>
      <w:bookmarkEnd w:id="61"/>
      <w:bookmarkEnd w:id="62"/>
      <w:bookmarkEnd w:id="63"/>
    </w:p>
    <w:p w14:paraId="5D89FE8D">
      <w:pPr>
        <w:pageBreakBefore w:val="0"/>
        <w:widowControl w:val="0"/>
        <w:kinsoku/>
        <w:wordWrap/>
        <w:overflowPunct/>
        <w:topLinePunct w:val="0"/>
        <w:autoSpaceDE/>
        <w:autoSpaceDN/>
        <w:bidi w:val="0"/>
        <w:spacing w:line="480" w:lineRule="exac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（一）支付方式：银行转账</w:t>
      </w:r>
    </w:p>
    <w:p w14:paraId="17B86DA7">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宋体" w:hAnsi="宋体" w:eastAsia="宋体" w:cs="宋体"/>
          <w:bCs/>
          <w:color w:val="auto"/>
          <w:sz w:val="24"/>
          <w:szCs w:val="24"/>
        </w:rPr>
      </w:pPr>
      <w:r>
        <w:rPr>
          <w:rFonts w:hint="default" w:ascii="Times New Roman" w:hAnsi="Times New Roman" w:eastAsia="宋体" w:cs="Times New Roman"/>
          <w:color w:val="auto"/>
          <w:sz w:val="24"/>
          <w:szCs w:val="24"/>
        </w:rPr>
        <w:t>（</w:t>
      </w:r>
      <w:r>
        <w:rPr>
          <w:rFonts w:hint="eastAsia" w:ascii="宋体" w:hAnsi="宋体" w:eastAsia="宋体" w:cs="宋体"/>
          <w:color w:val="auto"/>
          <w:sz w:val="24"/>
          <w:szCs w:val="24"/>
        </w:rPr>
        <w:t>二）</w:t>
      </w:r>
      <w:r>
        <w:rPr>
          <w:rFonts w:hint="eastAsia" w:ascii="宋体" w:hAnsi="宋体" w:eastAsia="宋体" w:cs="宋体"/>
          <w:bCs/>
          <w:color w:val="auto"/>
          <w:sz w:val="24"/>
          <w:szCs w:val="24"/>
        </w:rPr>
        <w:t>货币单位：人民币</w:t>
      </w:r>
    </w:p>
    <w:p w14:paraId="2EE32F35">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color w:val="000000"/>
          <w:sz w:val="24"/>
          <w:szCs w:val="24"/>
          <w:lang w:val="en-US" w:eastAsia="zh-CN"/>
        </w:rPr>
        <w:t>（三）</w:t>
      </w:r>
      <w:r>
        <w:rPr>
          <w:rFonts w:hint="eastAsia" w:ascii="Times New Roman" w:hAnsi="Times New Roman" w:eastAsia="宋体" w:cs="Times New Roman"/>
          <w:color w:val="000000"/>
          <w:sz w:val="24"/>
          <w:szCs w:val="24"/>
        </w:rPr>
        <w:t>结算条</w:t>
      </w:r>
      <w:r>
        <w:rPr>
          <w:rFonts w:hint="eastAsia" w:ascii="Times New Roman" w:hAnsi="Times New Roman" w:eastAsia="宋体" w:cs="Times New Roman"/>
          <w:color w:val="000000"/>
          <w:sz w:val="24"/>
          <w:szCs w:val="24"/>
          <w:highlight w:val="none"/>
        </w:rPr>
        <w:t>件：</w:t>
      </w:r>
      <w:r>
        <w:rPr>
          <w:rFonts w:hint="eastAsia" w:cs="Times New Roman"/>
          <w:color w:val="000000"/>
          <w:sz w:val="24"/>
          <w:szCs w:val="24"/>
          <w:highlight w:val="none"/>
          <w:lang w:val="en-US" w:eastAsia="zh-CN"/>
        </w:rPr>
        <w:t>中标人</w:t>
      </w:r>
      <w:r>
        <w:rPr>
          <w:rFonts w:hint="eastAsia" w:ascii="Times New Roman" w:hAnsi="Times New Roman" w:eastAsia="宋体" w:cs="Times New Roman"/>
          <w:color w:val="000000"/>
          <w:sz w:val="24"/>
          <w:szCs w:val="24"/>
          <w:highlight w:val="none"/>
        </w:rPr>
        <w:t>在</w:t>
      </w:r>
      <w:r>
        <w:rPr>
          <w:rFonts w:hint="eastAsia" w:ascii="宋体" w:hAnsi="宋体" w:eastAsia="宋体" w:cs="宋体"/>
          <w:color w:val="auto"/>
          <w:sz w:val="24"/>
          <w:szCs w:val="24"/>
          <w:highlight w:val="none"/>
        </w:rPr>
        <w:t>接受付款前开具全额发票给</w:t>
      </w:r>
      <w:r>
        <w:rPr>
          <w:rFonts w:hint="eastAsia" w:ascii="Times New Roman" w:hAnsi="Times New Roman" w:eastAsia="宋体" w:cs="Times New Roman"/>
          <w:color w:val="000000"/>
          <w:sz w:val="24"/>
          <w:szCs w:val="24"/>
          <w:highlight w:val="none"/>
        </w:rPr>
        <w:t>采购人</w:t>
      </w:r>
      <w:r>
        <w:rPr>
          <w:rFonts w:hint="eastAsia" w:ascii="宋体" w:hAnsi="宋体" w:eastAsia="宋体" w:cs="宋体"/>
          <w:bCs/>
          <w:color w:val="auto"/>
          <w:sz w:val="28"/>
          <w:szCs w:val="28"/>
          <w:highlight w:val="none"/>
          <w:lang w:eastAsia="zh-CN"/>
        </w:rPr>
        <w:t>。</w:t>
      </w:r>
    </w:p>
    <w:p w14:paraId="3FD294EE">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宋体" w:hAnsi="宋体" w:eastAsia="宋体" w:cs="宋体"/>
          <w:b w:val="0"/>
          <w:bCs w:val="0"/>
          <w:color w:val="000000"/>
          <w:sz w:val="24"/>
          <w:szCs w:val="24"/>
          <w:highlight w:val="none"/>
          <w:lang w:val="en-US" w:eastAsia="zh-CN"/>
        </w:rPr>
      </w:pPr>
      <w:bookmarkStart w:id="64" w:name="_Toc21981"/>
      <w:bookmarkStart w:id="65" w:name="_Toc22402"/>
      <w:bookmarkStart w:id="66" w:name="_Toc8058"/>
      <w:bookmarkStart w:id="67" w:name="_Toc19074"/>
      <w:bookmarkStart w:id="68" w:name="_Toc20599"/>
      <w:bookmarkStart w:id="69" w:name="_Toc7937"/>
      <w:bookmarkStart w:id="70" w:name="_Toc9520"/>
      <w:bookmarkStart w:id="71" w:name="_Toc27218"/>
      <w:bookmarkStart w:id="72" w:name="_Toc32520"/>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lang w:val="en-US" w:eastAsia="zh-CN"/>
        </w:rPr>
        <w:t>付款</w:t>
      </w:r>
      <w:r>
        <w:rPr>
          <w:rFonts w:hint="eastAsia" w:ascii="宋体" w:hAnsi="宋体" w:eastAsia="宋体" w:cs="宋体"/>
          <w:b w:val="0"/>
          <w:bCs w:val="0"/>
          <w:color w:val="000000"/>
          <w:sz w:val="24"/>
          <w:szCs w:val="24"/>
          <w:highlight w:val="none"/>
        </w:rPr>
        <w:t>方式：</w:t>
      </w:r>
      <w:bookmarkEnd w:id="64"/>
      <w:bookmarkEnd w:id="65"/>
      <w:bookmarkEnd w:id="66"/>
      <w:bookmarkEnd w:id="67"/>
      <w:bookmarkEnd w:id="68"/>
      <w:bookmarkEnd w:id="69"/>
      <w:bookmarkEnd w:id="70"/>
      <w:bookmarkEnd w:id="71"/>
      <w:bookmarkEnd w:id="72"/>
      <w:bookmarkStart w:id="73" w:name="_Toc30003"/>
      <w:r>
        <w:rPr>
          <w:rFonts w:hint="eastAsia" w:ascii="宋体" w:hAnsi="宋体" w:cs="宋体"/>
          <w:b w:val="0"/>
          <w:bCs w:val="0"/>
          <w:color w:val="000000"/>
          <w:sz w:val="24"/>
          <w:szCs w:val="24"/>
          <w:highlight w:val="none"/>
          <w:lang w:val="en-US" w:eastAsia="zh-CN"/>
        </w:rPr>
        <w:t>分期支付</w:t>
      </w:r>
    </w:p>
    <w:p w14:paraId="19C5CB50">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Times New Roman" w:hAnsi="Times New Roman" w:eastAsia="宋体" w:cs="Times New Roman"/>
          <w:b/>
          <w:bCs/>
          <w:color w:val="000000"/>
          <w:kern w:val="44"/>
          <w:sz w:val="30"/>
          <w:szCs w:val="30"/>
          <w:highlight w:val="none"/>
        </w:rPr>
      </w:pPr>
      <w:r>
        <w:rPr>
          <w:rFonts w:hint="eastAsia" w:ascii="宋体" w:hAnsi="宋体" w:eastAsia="宋体" w:cs="宋体"/>
          <w:b w:val="0"/>
          <w:bCs w:val="0"/>
          <w:color w:val="000000"/>
          <w:sz w:val="24"/>
          <w:szCs w:val="24"/>
          <w:highlight w:val="none"/>
          <w:lang w:val="en-US" w:eastAsia="zh-CN"/>
        </w:rPr>
        <w:t>合同签订生效30</w:t>
      </w:r>
      <w:r>
        <w:rPr>
          <w:rFonts w:hint="eastAsia" w:ascii="宋体" w:hAnsi="宋体" w:cs="宋体"/>
          <w:b w:val="0"/>
          <w:bCs w:val="0"/>
          <w:color w:val="000000"/>
          <w:sz w:val="24"/>
          <w:szCs w:val="24"/>
          <w:highlight w:val="none"/>
          <w:lang w:val="en-US" w:eastAsia="zh-CN"/>
        </w:rPr>
        <w:t>个工作日</w:t>
      </w:r>
      <w:r>
        <w:rPr>
          <w:rFonts w:hint="eastAsia" w:ascii="宋体" w:hAnsi="宋体" w:eastAsia="宋体" w:cs="宋体"/>
          <w:b w:val="0"/>
          <w:bCs w:val="0"/>
          <w:color w:val="000000"/>
          <w:sz w:val="24"/>
          <w:szCs w:val="24"/>
          <w:highlight w:val="none"/>
          <w:lang w:val="en-US" w:eastAsia="zh-CN"/>
        </w:rPr>
        <w:t>内支付合同总金额的60％；服务完成提交成果报告并经甲方验收合格后30</w:t>
      </w:r>
      <w:r>
        <w:rPr>
          <w:rFonts w:hint="eastAsia" w:ascii="宋体" w:hAnsi="宋体" w:cs="宋体"/>
          <w:b w:val="0"/>
          <w:bCs w:val="0"/>
          <w:color w:val="000000"/>
          <w:sz w:val="24"/>
          <w:szCs w:val="24"/>
          <w:highlight w:val="none"/>
          <w:lang w:val="en-US" w:eastAsia="zh-CN"/>
        </w:rPr>
        <w:t>个工作日</w:t>
      </w:r>
      <w:r>
        <w:rPr>
          <w:rFonts w:hint="eastAsia" w:ascii="宋体" w:hAnsi="宋体" w:eastAsia="宋体" w:cs="宋体"/>
          <w:b w:val="0"/>
          <w:bCs w:val="0"/>
          <w:color w:val="000000"/>
          <w:sz w:val="24"/>
          <w:szCs w:val="24"/>
          <w:highlight w:val="none"/>
          <w:lang w:val="en-US" w:eastAsia="zh-CN"/>
        </w:rPr>
        <w:t>内支付合同剩余的40％。所有款项均以银行转账方式支付，每次甲方付款前乙方提供对应数额的税务发票。</w:t>
      </w:r>
      <w:r>
        <w:rPr>
          <w:rFonts w:hint="eastAsia" w:ascii="Times New Roman" w:hAnsi="Times New Roman" w:eastAsia="宋体" w:cs="Times New Roman"/>
          <w:b/>
          <w:bCs/>
          <w:color w:val="000000"/>
          <w:kern w:val="44"/>
          <w:sz w:val="30"/>
          <w:szCs w:val="30"/>
          <w:highlight w:val="none"/>
          <w:lang w:val="en-US" w:eastAsia="zh-CN"/>
        </w:rPr>
        <w:t xml:space="preserve">       </w:t>
      </w:r>
    </w:p>
    <w:p w14:paraId="0C65A4A9">
      <w:pPr>
        <w:pageBreakBefore w:val="0"/>
        <w:widowControl w:val="0"/>
        <w:kinsoku/>
        <w:wordWrap/>
        <w:overflowPunct/>
        <w:topLinePunct w:val="0"/>
        <w:bidi w:val="0"/>
        <w:snapToGrid/>
        <w:spacing w:line="480" w:lineRule="exact"/>
        <w:ind w:firstLine="480" w:firstLineChars="200"/>
        <w:textAlignment w:val="auto"/>
        <w:rPr>
          <w:rFonts w:hint="eastAsia" w:ascii="Times New Roman" w:hAnsi="Times New Roman" w:eastAsia="宋体" w:cs="Times New Roman"/>
          <w:color w:val="000000"/>
          <w:sz w:val="24"/>
          <w:szCs w:val="24"/>
          <w:lang w:val="en-US" w:eastAsia="zh-CN"/>
        </w:rPr>
      </w:pPr>
      <w:bookmarkStart w:id="74" w:name="_Toc30664"/>
      <w:bookmarkStart w:id="75" w:name="_Toc11130"/>
      <w:bookmarkStart w:id="76" w:name="_Toc16269"/>
      <w:bookmarkStart w:id="77" w:name="_Toc8233"/>
      <w:bookmarkStart w:id="78" w:name="_Toc31658"/>
      <w:bookmarkStart w:id="79" w:name="_Toc19732"/>
      <w:bookmarkStart w:id="80" w:name="_Toc21309"/>
      <w:bookmarkStart w:id="81" w:name="_Toc18375"/>
      <w:bookmarkStart w:id="82" w:name="_Toc3012"/>
      <w:bookmarkStart w:id="83" w:name="_Toc31210"/>
      <w:r>
        <w:rPr>
          <w:rFonts w:hint="eastAsia" w:ascii="Times New Roman" w:hAnsi="Times New Roman" w:eastAsia="宋体" w:cs="Times New Roman"/>
          <w:color w:val="000000"/>
          <w:sz w:val="24"/>
          <w:szCs w:val="24"/>
          <w:lang w:val="en-US" w:eastAsia="zh-CN"/>
        </w:rPr>
        <w:t>四、服务质量保证</w:t>
      </w:r>
      <w:bookmarkEnd w:id="74"/>
      <w:bookmarkEnd w:id="75"/>
      <w:bookmarkEnd w:id="76"/>
      <w:bookmarkEnd w:id="77"/>
      <w:bookmarkEnd w:id="78"/>
      <w:bookmarkEnd w:id="79"/>
      <w:bookmarkEnd w:id="80"/>
      <w:bookmarkEnd w:id="81"/>
      <w:bookmarkEnd w:id="82"/>
      <w:bookmarkStart w:id="138" w:name="_GoBack"/>
      <w:bookmarkEnd w:id="138"/>
    </w:p>
    <w:p w14:paraId="2D60AD48">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宋体" w:hAnsi="宋体" w:eastAsia="宋体" w:cs="宋体"/>
          <w:b w:val="0"/>
          <w:bCs w:val="0"/>
          <w:color w:val="auto"/>
          <w:sz w:val="24"/>
          <w:szCs w:val="24"/>
          <w:highlight w:val="none"/>
        </w:rPr>
      </w:pPr>
      <w:bookmarkStart w:id="84" w:name="_Toc30695"/>
      <w:bookmarkStart w:id="85" w:name="_Toc21481"/>
      <w:bookmarkStart w:id="86" w:name="_Toc21083"/>
      <w:bookmarkStart w:id="87" w:name="_Toc3886"/>
      <w:bookmarkStart w:id="88" w:name="_Toc4826"/>
      <w:bookmarkStart w:id="89" w:name="_Toc12070"/>
      <w:bookmarkStart w:id="90" w:name="_Toc12546"/>
      <w:bookmarkStart w:id="91" w:name="_Toc12984"/>
      <w:bookmarkStart w:id="92" w:name="_Toc3187"/>
      <w:r>
        <w:rPr>
          <w:rFonts w:hint="default" w:ascii="Times New Roman" w:hAnsi="Times New Roman" w:eastAsia="宋体" w:cs="Times New Roman"/>
          <w:color w:val="000000"/>
          <w:sz w:val="24"/>
          <w:szCs w:val="24"/>
          <w:highlight w:val="none"/>
        </w:rPr>
        <w:t>（一）</w:t>
      </w:r>
      <w:r>
        <w:rPr>
          <w:rFonts w:hint="eastAsia" w:ascii="宋体" w:hAnsi="宋体" w:eastAsia="宋体" w:cs="宋体"/>
          <w:b w:val="0"/>
          <w:bCs w:val="0"/>
          <w:color w:val="000000"/>
          <w:kern w:val="44"/>
          <w:sz w:val="24"/>
          <w:szCs w:val="24"/>
          <w:highlight w:val="none"/>
        </w:rPr>
        <w:t>乙方需派一名</w:t>
      </w:r>
      <w:r>
        <w:rPr>
          <w:rFonts w:hint="eastAsia" w:ascii="宋体" w:hAnsi="宋体" w:eastAsia="宋体" w:cs="宋体"/>
          <w:b w:val="0"/>
          <w:bCs w:val="0"/>
          <w:color w:val="auto"/>
          <w:sz w:val="24"/>
          <w:szCs w:val="24"/>
          <w:highlight w:val="none"/>
        </w:rPr>
        <w:t>项目负责人，直接与甲方沟通，项目负责人接收甲方提出的问题与要求，并及时反馈给工作组，解决在项目实施过程中遇到的问题。</w:t>
      </w:r>
      <w:bookmarkEnd w:id="84"/>
      <w:bookmarkEnd w:id="85"/>
      <w:bookmarkEnd w:id="86"/>
      <w:bookmarkEnd w:id="87"/>
      <w:bookmarkEnd w:id="88"/>
      <w:bookmarkEnd w:id="89"/>
      <w:bookmarkEnd w:id="90"/>
      <w:bookmarkEnd w:id="91"/>
      <w:bookmarkEnd w:id="92"/>
    </w:p>
    <w:p w14:paraId="25354E83">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（二）项目在实施过程中会出现不可预料的需求变更，乙方需积极配合甲方的需求变更，并按照变更后的需求继续进行方案实施。</w:t>
      </w:r>
    </w:p>
    <w:p w14:paraId="646F2D0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（三）乙方需提交所有</w:t>
      </w:r>
      <w:r>
        <w:rPr>
          <w:rFonts w:hint="eastAsia" w:ascii="宋体" w:hAnsi="宋体" w:eastAsia="宋体" w:cs="宋体"/>
          <w:b w:val="0"/>
          <w:bCs w:val="0"/>
          <w:color w:val="auto"/>
          <w:sz w:val="24"/>
          <w:szCs w:val="24"/>
          <w:highlight w:val="none"/>
          <w:lang w:eastAsia="zh-CN"/>
        </w:rPr>
        <w:t>建设方案</w:t>
      </w:r>
      <w:r>
        <w:rPr>
          <w:rFonts w:hint="eastAsia" w:ascii="宋体" w:hAnsi="宋体" w:eastAsia="宋体" w:cs="宋体"/>
          <w:b w:val="0"/>
          <w:bCs w:val="0"/>
          <w:color w:val="auto"/>
          <w:sz w:val="24"/>
          <w:szCs w:val="24"/>
          <w:highlight w:val="none"/>
        </w:rPr>
        <w:t>流程及说明文档。</w:t>
      </w:r>
    </w:p>
    <w:p w14:paraId="77675A66">
      <w:pPr>
        <w:pageBreakBefore w:val="0"/>
        <w:widowControl w:val="0"/>
        <w:kinsoku/>
        <w:wordWrap/>
        <w:overflowPunct/>
        <w:topLinePunct w:val="0"/>
        <w:bidi w:val="0"/>
        <w:snapToGrid/>
        <w:spacing w:line="480" w:lineRule="exact"/>
        <w:ind w:firstLine="480" w:firstLineChars="200"/>
        <w:textAlignment w:val="auto"/>
        <w:rPr>
          <w:rFonts w:hint="eastAsia" w:ascii="Times New Roman" w:hAnsi="Times New Roman" w:eastAsia="宋体" w:cs="Times New Roman"/>
          <w:color w:val="000000"/>
          <w:sz w:val="24"/>
          <w:szCs w:val="24"/>
          <w:lang w:val="en-US" w:eastAsia="zh-CN"/>
        </w:rPr>
      </w:pPr>
      <w:bookmarkStart w:id="93" w:name="_Toc29450"/>
      <w:bookmarkStart w:id="94" w:name="_Toc14984"/>
      <w:bookmarkStart w:id="95" w:name="_Toc13410"/>
      <w:bookmarkStart w:id="96" w:name="_Toc5623"/>
      <w:bookmarkStart w:id="97" w:name="_Toc28293"/>
      <w:bookmarkStart w:id="98" w:name="_Toc5795"/>
      <w:bookmarkStart w:id="99" w:name="_Toc28921"/>
      <w:bookmarkStart w:id="100" w:name="_Toc8420"/>
      <w:bookmarkStart w:id="101" w:name="_Toc6690"/>
      <w:r>
        <w:rPr>
          <w:rFonts w:hint="eastAsia" w:ascii="Times New Roman" w:hAnsi="Times New Roman" w:eastAsia="宋体" w:cs="Times New Roman"/>
          <w:color w:val="000000"/>
          <w:sz w:val="24"/>
          <w:szCs w:val="24"/>
          <w:lang w:val="en-US" w:eastAsia="zh-CN"/>
        </w:rPr>
        <w:t>五、验收</w:t>
      </w:r>
      <w:bookmarkEnd w:id="93"/>
      <w:bookmarkEnd w:id="94"/>
      <w:bookmarkEnd w:id="95"/>
      <w:bookmarkEnd w:id="96"/>
      <w:bookmarkEnd w:id="97"/>
      <w:bookmarkEnd w:id="98"/>
      <w:bookmarkEnd w:id="99"/>
      <w:bookmarkEnd w:id="100"/>
      <w:bookmarkEnd w:id="101"/>
    </w:p>
    <w:p w14:paraId="705B2FC9">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（一）</w:t>
      </w:r>
      <w:r>
        <w:rPr>
          <w:rFonts w:hint="eastAsia" w:ascii="宋体" w:hAnsi="宋体" w:eastAsia="宋体" w:cs="宋体"/>
          <w:b w:val="0"/>
          <w:bCs w:val="0"/>
          <w:color w:val="auto"/>
          <w:sz w:val="24"/>
          <w:szCs w:val="24"/>
          <w:highlight w:val="none"/>
        </w:rPr>
        <w:t>所</w:t>
      </w:r>
      <w:r>
        <w:rPr>
          <w:rFonts w:hint="eastAsia" w:ascii="宋体" w:hAnsi="宋体" w:eastAsia="宋体" w:cs="宋体"/>
          <w:b w:val="0"/>
          <w:bCs w:val="0"/>
          <w:color w:val="auto"/>
          <w:sz w:val="24"/>
          <w:szCs w:val="24"/>
          <w:highlight w:val="none"/>
          <w:lang w:val="en-US" w:eastAsia="zh-CN"/>
        </w:rPr>
        <w:t>提供的服务，</w:t>
      </w:r>
      <w:r>
        <w:rPr>
          <w:rFonts w:hint="eastAsia" w:ascii="宋体" w:hAnsi="宋体" w:eastAsia="宋体" w:cs="宋体"/>
          <w:b w:val="0"/>
          <w:bCs w:val="0"/>
          <w:color w:val="auto"/>
          <w:sz w:val="24"/>
          <w:szCs w:val="24"/>
          <w:highlight w:val="none"/>
        </w:rPr>
        <w:t>最终验收达不到</w:t>
      </w:r>
      <w:r>
        <w:rPr>
          <w:rFonts w:hint="eastAsia" w:ascii="宋体" w:hAnsi="宋体" w:cs="宋体"/>
          <w:b w:val="0"/>
          <w:bCs w:val="0"/>
          <w:color w:val="auto"/>
          <w:sz w:val="24"/>
          <w:szCs w:val="24"/>
          <w:highlight w:val="none"/>
          <w:lang w:val="en-US" w:eastAsia="zh-CN"/>
        </w:rPr>
        <w:t>招标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要求和</w:t>
      </w:r>
      <w:r>
        <w:rPr>
          <w:rFonts w:hint="eastAsia" w:ascii="宋体" w:hAnsi="宋体" w:cs="宋体"/>
          <w:b w:val="0"/>
          <w:bCs w:val="0"/>
          <w:color w:val="auto"/>
          <w:sz w:val="24"/>
          <w:szCs w:val="24"/>
          <w:highlight w:val="none"/>
          <w:lang w:val="en-US" w:eastAsia="zh-CN"/>
        </w:rPr>
        <w:t>投标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承诺的，或在</w:t>
      </w:r>
      <w:r>
        <w:rPr>
          <w:rFonts w:hint="eastAsia" w:ascii="宋体" w:hAnsi="宋体" w:eastAsia="宋体" w:cs="宋体"/>
          <w:b w:val="0"/>
          <w:bCs w:val="0"/>
          <w:color w:val="auto"/>
          <w:sz w:val="24"/>
          <w:szCs w:val="24"/>
          <w:highlight w:val="none"/>
          <w:lang w:val="en-US" w:eastAsia="zh-CN"/>
        </w:rPr>
        <w:t>服务</w:t>
      </w:r>
      <w:r>
        <w:rPr>
          <w:rFonts w:hint="eastAsia" w:ascii="宋体" w:hAnsi="宋体" w:eastAsia="宋体" w:cs="宋体"/>
          <w:b w:val="0"/>
          <w:bCs w:val="0"/>
          <w:color w:val="auto"/>
          <w:sz w:val="24"/>
          <w:szCs w:val="24"/>
          <w:highlight w:val="none"/>
        </w:rPr>
        <w:t>中发现采购人不能容忍的缺陷等，将视为</w:t>
      </w:r>
      <w:r>
        <w:rPr>
          <w:rFonts w:hint="eastAsia" w:ascii="宋体" w:hAnsi="宋体" w:eastAsia="宋体" w:cs="宋体"/>
          <w:b w:val="0"/>
          <w:bCs w:val="0"/>
          <w:color w:val="auto"/>
          <w:sz w:val="24"/>
          <w:szCs w:val="24"/>
          <w:highlight w:val="none"/>
          <w:lang w:val="en-US" w:eastAsia="zh-CN"/>
        </w:rPr>
        <w:t>服务验收</w:t>
      </w:r>
      <w:r>
        <w:rPr>
          <w:rFonts w:hint="eastAsia" w:ascii="宋体" w:hAnsi="宋体" w:eastAsia="宋体" w:cs="宋体"/>
          <w:b w:val="0"/>
          <w:bCs w:val="0"/>
          <w:color w:val="auto"/>
          <w:sz w:val="24"/>
          <w:szCs w:val="24"/>
          <w:highlight w:val="none"/>
        </w:rPr>
        <w:t>不合格，</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应在采购人要求的时间内无条件免费</w:t>
      </w:r>
      <w:r>
        <w:rPr>
          <w:rFonts w:hint="eastAsia" w:ascii="宋体" w:hAnsi="宋体" w:eastAsia="宋体" w:cs="宋体"/>
          <w:b w:val="0"/>
          <w:bCs w:val="0"/>
          <w:color w:val="auto"/>
          <w:sz w:val="24"/>
          <w:szCs w:val="24"/>
          <w:highlight w:val="none"/>
          <w:lang w:val="en-US" w:eastAsia="zh-CN"/>
        </w:rPr>
        <w:t>更改</w:t>
      </w:r>
      <w:r>
        <w:rPr>
          <w:rFonts w:hint="eastAsia" w:ascii="宋体" w:hAnsi="宋体" w:eastAsia="宋体" w:cs="宋体"/>
          <w:b w:val="0"/>
          <w:bCs w:val="0"/>
          <w:color w:val="auto"/>
          <w:sz w:val="24"/>
          <w:szCs w:val="24"/>
          <w:highlight w:val="none"/>
        </w:rPr>
        <w:t>。</w:t>
      </w:r>
    </w:p>
    <w:p w14:paraId="1DF81208">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二</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若发现</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有弄虚作假的，本合同解除，</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赔偿采购人相应的损失。</w:t>
      </w:r>
    </w:p>
    <w:p w14:paraId="5E2AF2F6">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三</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验收标准：按</w:t>
      </w:r>
      <w:r>
        <w:rPr>
          <w:rFonts w:hint="eastAsia" w:ascii="宋体" w:hAnsi="宋体" w:cs="宋体"/>
          <w:b w:val="0"/>
          <w:bCs w:val="0"/>
          <w:color w:val="auto"/>
          <w:sz w:val="24"/>
          <w:szCs w:val="24"/>
          <w:highlight w:val="none"/>
          <w:lang w:val="en-US" w:eastAsia="zh-CN"/>
        </w:rPr>
        <w:t>招标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投标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及澄清函等技术指标进行验收。各项指标均应符合验收标准及要求。</w:t>
      </w:r>
    </w:p>
    <w:p w14:paraId="0EB181D2">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四</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验收合格后，填写验收单，双方签字生效。</w:t>
      </w:r>
    </w:p>
    <w:p w14:paraId="53042E2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五</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验收依据：</w:t>
      </w:r>
    </w:p>
    <w:p w14:paraId="0A1AFDC2">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5.1</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合同文本；</w:t>
      </w:r>
    </w:p>
    <w:p w14:paraId="5CEFBD5E">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5.2</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lang w:val="en-US" w:eastAsia="zh-CN"/>
        </w:rPr>
        <w:t>投标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及澄清函、</w:t>
      </w:r>
      <w:r>
        <w:rPr>
          <w:rFonts w:hint="eastAsia" w:ascii="宋体" w:hAnsi="宋体" w:cs="宋体"/>
          <w:b w:val="0"/>
          <w:bCs w:val="0"/>
          <w:color w:val="auto"/>
          <w:sz w:val="24"/>
          <w:szCs w:val="24"/>
          <w:highlight w:val="none"/>
          <w:lang w:val="en-US" w:eastAsia="zh-CN"/>
        </w:rPr>
        <w:t>招标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w:t>
      </w:r>
    </w:p>
    <w:p w14:paraId="5A594AFC">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5.3</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国家和行业制定的相应的标准和规范；</w:t>
      </w:r>
    </w:p>
    <w:p w14:paraId="08BAC117">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5.4</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验收清单。</w:t>
      </w:r>
    </w:p>
    <w:bookmarkEnd w:id="73"/>
    <w:bookmarkEnd w:id="83"/>
    <w:p w14:paraId="33213416">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102" w:name="_Toc12822"/>
      <w:bookmarkStart w:id="103" w:name="_Toc3200"/>
      <w:bookmarkStart w:id="104" w:name="_Toc20749"/>
      <w:bookmarkStart w:id="105" w:name="_Toc25746"/>
      <w:bookmarkStart w:id="106" w:name="_Toc84833380"/>
      <w:bookmarkStart w:id="107" w:name="_Toc1133"/>
      <w:bookmarkStart w:id="108" w:name="_Toc6296"/>
      <w:bookmarkStart w:id="109" w:name="_Toc28692"/>
      <w:bookmarkStart w:id="110" w:name="_Toc29051"/>
      <w:bookmarkStart w:id="111" w:name="_Toc12386"/>
      <w:bookmarkStart w:id="112" w:name="_Toc869"/>
      <w:bookmarkStart w:id="113" w:name="_Toc30500"/>
      <w:r>
        <w:rPr>
          <w:rFonts w:hint="eastAsia" w:ascii="Times New Roman" w:hAnsi="Times New Roman" w:eastAsia="宋体" w:cs="Times New Roman"/>
          <w:color w:val="000000"/>
          <w:sz w:val="24"/>
          <w:szCs w:val="24"/>
          <w:lang w:val="en-US" w:eastAsia="zh-CN"/>
        </w:rPr>
        <w:t>六、</w:t>
      </w:r>
      <w:r>
        <w:rPr>
          <w:rFonts w:hint="default" w:ascii="Times New Roman" w:hAnsi="Times New Roman" w:eastAsia="宋体" w:cs="Times New Roman"/>
          <w:color w:val="000000"/>
          <w:sz w:val="24"/>
          <w:szCs w:val="24"/>
          <w:lang w:val="en-US" w:eastAsia="zh-CN"/>
        </w:rPr>
        <w:t>违约责任</w:t>
      </w:r>
      <w:bookmarkEnd w:id="102"/>
      <w:bookmarkEnd w:id="103"/>
      <w:bookmarkEnd w:id="104"/>
      <w:bookmarkEnd w:id="105"/>
      <w:bookmarkEnd w:id="106"/>
      <w:bookmarkEnd w:id="107"/>
      <w:bookmarkEnd w:id="108"/>
      <w:bookmarkEnd w:id="109"/>
      <w:bookmarkEnd w:id="110"/>
      <w:bookmarkEnd w:id="111"/>
      <w:bookmarkEnd w:id="112"/>
      <w:bookmarkEnd w:id="113"/>
    </w:p>
    <w:p w14:paraId="3333D839">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highlight w:val="none"/>
        </w:rPr>
        <w:t>（一）按《</w:t>
      </w:r>
      <w:r>
        <w:rPr>
          <w:rFonts w:hint="eastAsia" w:ascii="Times New Roman" w:hAnsi="Times New Roman" w:eastAsia="宋体" w:cs="Times New Roman"/>
          <w:color w:val="000000"/>
          <w:sz w:val="24"/>
          <w:szCs w:val="24"/>
          <w:highlight w:val="none"/>
          <w:lang w:val="en-US" w:eastAsia="zh-CN"/>
        </w:rPr>
        <w:t>民法典</w:t>
      </w:r>
      <w:r>
        <w:rPr>
          <w:rFonts w:hint="default" w:ascii="Times New Roman" w:hAnsi="Times New Roman" w:eastAsia="宋体" w:cs="Times New Roman"/>
          <w:color w:val="000000"/>
          <w:sz w:val="24"/>
          <w:szCs w:val="24"/>
        </w:rPr>
        <w:t>》中的相关条款执行。</w:t>
      </w:r>
    </w:p>
    <w:p w14:paraId="2BC5A409">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（二）未按合同要求提供服务或服务质量不能满足合同要求，甲方有权依据《</w:t>
      </w:r>
      <w:r>
        <w:rPr>
          <w:rFonts w:hint="eastAsia" w:ascii="Times New Roman" w:hAnsi="Times New Roman" w:eastAsia="宋体" w:cs="Times New Roman"/>
          <w:color w:val="000000"/>
          <w:sz w:val="24"/>
          <w:szCs w:val="24"/>
          <w:lang w:val="en-US" w:eastAsia="zh-CN"/>
        </w:rPr>
        <w:t>民法典</w:t>
      </w:r>
      <w:r>
        <w:rPr>
          <w:rFonts w:hint="default" w:ascii="Times New Roman" w:hAnsi="Times New Roman" w:eastAsia="宋体" w:cs="Times New Roman"/>
          <w:color w:val="000000"/>
          <w:sz w:val="24"/>
          <w:szCs w:val="24"/>
        </w:rPr>
        <w:t>》有关条款及合同约定终止合同，并要求</w:t>
      </w:r>
      <w:r>
        <w:rPr>
          <w:rFonts w:hint="eastAsia" w:ascii="Times New Roman" w:hAnsi="Times New Roman" w:eastAsia="宋体" w:cs="Times New Roman"/>
          <w:color w:val="000000"/>
          <w:sz w:val="24"/>
          <w:szCs w:val="24"/>
          <w:lang w:eastAsia="zh-CN"/>
        </w:rPr>
        <w:t>投标人</w:t>
      </w:r>
      <w:r>
        <w:rPr>
          <w:rFonts w:hint="default" w:ascii="Times New Roman" w:hAnsi="Times New Roman" w:eastAsia="宋体" w:cs="Times New Roman"/>
          <w:color w:val="000000"/>
          <w:sz w:val="24"/>
          <w:szCs w:val="24"/>
        </w:rPr>
        <w:t>承担违约责任。</w:t>
      </w:r>
    </w:p>
    <w:p w14:paraId="468C2310">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114" w:name="_Toc84833381"/>
      <w:bookmarkStart w:id="115" w:name="_Toc12792"/>
      <w:bookmarkStart w:id="116" w:name="_Toc22070"/>
      <w:bookmarkStart w:id="117" w:name="_Toc30184"/>
      <w:bookmarkStart w:id="118" w:name="_Toc30766"/>
      <w:bookmarkStart w:id="119" w:name="_Toc11388"/>
      <w:bookmarkStart w:id="120" w:name="_Toc23313"/>
      <w:bookmarkStart w:id="121" w:name="_Toc9029"/>
      <w:bookmarkStart w:id="122" w:name="_Toc27905"/>
      <w:bookmarkStart w:id="123" w:name="_Toc2393"/>
      <w:bookmarkStart w:id="124" w:name="_Toc15483"/>
      <w:bookmarkStart w:id="125" w:name="_Toc31485"/>
      <w:r>
        <w:rPr>
          <w:rFonts w:hint="eastAsia" w:ascii="Times New Roman" w:hAnsi="Times New Roman" w:eastAsia="宋体" w:cs="Times New Roman"/>
          <w:color w:val="000000"/>
          <w:sz w:val="24"/>
          <w:szCs w:val="24"/>
          <w:lang w:val="en-US" w:eastAsia="zh-CN"/>
        </w:rPr>
        <w:t>七</w:t>
      </w:r>
      <w:r>
        <w:rPr>
          <w:rFonts w:hint="default" w:ascii="Times New Roman" w:hAnsi="Times New Roman" w:eastAsia="宋体" w:cs="Times New Roman"/>
          <w:color w:val="000000"/>
          <w:sz w:val="24"/>
          <w:szCs w:val="24"/>
          <w:lang w:val="en-US" w:eastAsia="zh-CN"/>
        </w:rPr>
        <w:t>、争议解决</w:t>
      </w:r>
      <w:bookmarkEnd w:id="114"/>
      <w:bookmarkEnd w:id="115"/>
      <w:bookmarkEnd w:id="116"/>
      <w:bookmarkEnd w:id="117"/>
      <w:bookmarkEnd w:id="118"/>
      <w:bookmarkEnd w:id="119"/>
      <w:bookmarkEnd w:id="120"/>
      <w:bookmarkEnd w:id="121"/>
      <w:bookmarkEnd w:id="122"/>
      <w:bookmarkEnd w:id="123"/>
      <w:bookmarkEnd w:id="124"/>
      <w:bookmarkEnd w:id="125"/>
    </w:p>
    <w:p w14:paraId="6DFE0C3C">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b/>
          <w:color w:val="000000"/>
          <w:sz w:val="24"/>
          <w:szCs w:val="24"/>
        </w:rPr>
      </w:pPr>
      <w:r>
        <w:rPr>
          <w:rFonts w:hint="eastAsia" w:ascii="Times New Roman" w:hAnsi="Times New Roman" w:eastAsia="宋体" w:cs="Times New Roman"/>
          <w:color w:val="000000"/>
          <w:sz w:val="24"/>
          <w:szCs w:val="24"/>
        </w:rPr>
        <w:t>合同执行中发生争议的，当事人双方应协商解决，协商达不成一致时，可选择仲裁解决合同争议</w:t>
      </w:r>
      <w:r>
        <w:rPr>
          <w:rFonts w:hint="default" w:ascii="Times New Roman" w:hAnsi="Times New Roman" w:eastAsia="宋体" w:cs="Times New Roman"/>
          <w:color w:val="000000"/>
          <w:sz w:val="24"/>
          <w:szCs w:val="24"/>
        </w:rPr>
        <w:t>。</w:t>
      </w:r>
    </w:p>
    <w:p w14:paraId="64CCD094">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126" w:name="_Toc10457"/>
      <w:bookmarkStart w:id="127" w:name="_Toc32692"/>
      <w:bookmarkStart w:id="128" w:name="_Toc12700"/>
      <w:bookmarkStart w:id="129" w:name="_Toc24457"/>
      <w:bookmarkStart w:id="130" w:name="_Toc29929"/>
      <w:bookmarkStart w:id="131" w:name="_Toc6800"/>
      <w:bookmarkStart w:id="132" w:name="_Toc8075"/>
      <w:bookmarkStart w:id="133" w:name="_Toc32374"/>
      <w:bookmarkStart w:id="134" w:name="_Toc28030"/>
      <w:bookmarkStart w:id="135" w:name="_Toc84833382"/>
      <w:bookmarkStart w:id="136" w:name="_Toc26949"/>
      <w:bookmarkStart w:id="137" w:name="_Toc13310"/>
      <w:r>
        <w:rPr>
          <w:rFonts w:hint="eastAsia" w:ascii="Times New Roman" w:hAnsi="Times New Roman" w:eastAsia="宋体" w:cs="Times New Roman"/>
          <w:color w:val="000000"/>
          <w:sz w:val="24"/>
          <w:szCs w:val="24"/>
          <w:lang w:val="en-US" w:eastAsia="zh-CN"/>
        </w:rPr>
        <w:t>八</w:t>
      </w:r>
      <w:r>
        <w:rPr>
          <w:rFonts w:hint="default" w:ascii="Times New Roman" w:hAnsi="Times New Roman" w:eastAsia="宋体" w:cs="Times New Roman"/>
          <w:color w:val="000000"/>
          <w:sz w:val="24"/>
          <w:szCs w:val="24"/>
          <w:lang w:val="en-US" w:eastAsia="zh-CN"/>
        </w:rPr>
        <w:t>、合同生效及其他</w:t>
      </w:r>
      <w:bookmarkEnd w:id="126"/>
      <w:bookmarkEnd w:id="127"/>
      <w:bookmarkEnd w:id="128"/>
      <w:bookmarkEnd w:id="129"/>
      <w:bookmarkEnd w:id="130"/>
      <w:bookmarkEnd w:id="131"/>
      <w:bookmarkEnd w:id="132"/>
      <w:bookmarkEnd w:id="133"/>
      <w:bookmarkEnd w:id="134"/>
      <w:bookmarkEnd w:id="135"/>
      <w:bookmarkEnd w:id="136"/>
      <w:bookmarkEnd w:id="137"/>
    </w:p>
    <w:p w14:paraId="0FA98525">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1、本合同自签订之日起生效。</w:t>
      </w:r>
    </w:p>
    <w:p w14:paraId="4C3F2B13">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2、合同一式</w:t>
      </w:r>
      <w:r>
        <w:rPr>
          <w:rFonts w:hint="default"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rPr>
        <w:t>份，双方各执</w:t>
      </w:r>
      <w:r>
        <w:rPr>
          <w:rFonts w:hint="default"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u w:val="none"/>
        </w:rPr>
        <w:t>份。</w:t>
      </w:r>
    </w:p>
    <w:tbl>
      <w:tblPr>
        <w:tblStyle w:val="5"/>
        <w:tblpPr w:leftFromText="180" w:rightFromText="180" w:vertAnchor="text" w:horzAnchor="page" w:tblpX="1615" w:tblpY="11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5C15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08B3EC31">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2C1F34A">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乙  方</w:t>
            </w:r>
          </w:p>
        </w:tc>
      </w:tr>
      <w:tr w14:paraId="6B66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7BF925">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5538C4C">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全称（盖章）</w:t>
            </w:r>
          </w:p>
        </w:tc>
      </w:tr>
      <w:tr w14:paraId="7998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F0BA317">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AC740E2">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地址：</w:t>
            </w:r>
          </w:p>
        </w:tc>
      </w:tr>
      <w:tr w14:paraId="155C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587CB7B">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DF598D2">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邮编：</w:t>
            </w:r>
          </w:p>
        </w:tc>
      </w:tr>
      <w:tr w14:paraId="7666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D2921D">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法定代表人：</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42F3515">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法定代表人：</w:t>
            </w:r>
          </w:p>
        </w:tc>
      </w:tr>
      <w:tr w14:paraId="47E5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1356E8D">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被授权代表：（签字）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58911BE">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被授权代表：（签字）</w:t>
            </w:r>
          </w:p>
        </w:tc>
      </w:tr>
      <w:tr w14:paraId="63EE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6D6BB950">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5616A35">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电话：</w:t>
            </w:r>
          </w:p>
        </w:tc>
      </w:tr>
      <w:tr w14:paraId="2B55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F5C38AB">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1D3E85C">
            <w:pPr>
              <w:autoSpaceDE w:val="0"/>
              <w:autoSpaceDN w:val="0"/>
              <w:adjustRightInd w:val="0"/>
              <w:spacing w:line="360" w:lineRule="auto"/>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eastAsia="宋体" w:cs="Times New Roman"/>
                <w:bCs/>
                <w:sz w:val="24"/>
                <w:szCs w:val="24"/>
              </w:rPr>
              <w:t>开户银行：</w:t>
            </w:r>
          </w:p>
        </w:tc>
      </w:tr>
      <w:tr w14:paraId="657B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D6871BD">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B54EB68">
            <w:pPr>
              <w:autoSpaceDE w:val="0"/>
              <w:autoSpaceDN w:val="0"/>
              <w:adjustRightInd w:val="0"/>
              <w:spacing w:line="360" w:lineRule="auto"/>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eastAsia="宋体" w:cs="Times New Roman"/>
                <w:bCs/>
                <w:sz w:val="24"/>
                <w:szCs w:val="24"/>
              </w:rPr>
              <w:t>账号:</w:t>
            </w:r>
          </w:p>
        </w:tc>
      </w:tr>
      <w:tr w14:paraId="305F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C2A0B94">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BBEEB1C">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日期：  年   月   日</w:t>
            </w:r>
          </w:p>
        </w:tc>
      </w:tr>
    </w:tbl>
    <w:p w14:paraId="301331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mE0NTUzNmJjNTgzNjZlZGMxODJmNGIwNzI5ZDEifQ=="/>
  </w:docVars>
  <w:rsids>
    <w:rsidRoot w:val="00000000"/>
    <w:rsid w:val="0E4E1184"/>
    <w:rsid w:val="318528A5"/>
    <w:rsid w:val="530022F3"/>
    <w:rsid w:val="65E0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b/>
      <w:sz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1273</Words>
  <Characters>1303</Characters>
  <Lines>0</Lines>
  <Paragraphs>0</Paragraphs>
  <TotalTime>0</TotalTime>
  <ScaleCrop>false</ScaleCrop>
  <LinksUpToDate>false</LinksUpToDate>
  <CharactersWithSpaces>1361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2023-09-11T02:29:00Z</dcterms:created>
  <dc:creator>Administrator</dc:creator>
  <cp:lastModifiedBy>冰</cp:lastModifiedBy>
  <dcterms:modified xsi:type="dcterms:W3CDTF">2026-05-29T04:11:19Z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17F27255860C40628DB08CD3B18D193F_12</vt:lpwstr>
  </property>
  <property fmtid="{D5CDD505-2E9C-101B-9397-08002B2CF9AE}" pid="4" name="KSOTemplateDocerSaveRecord">
    <vt:lpwstr>eyJoZGlkIjoiNzY0NzcyNTM5MDIwNTNmMTRiZjQyNTdiYWFkOGZiMTgiLCJ1c2VySWQiOiIyNjY0ODEzNjMifQ==</vt:lpwstr>
  </property>
</Properties>
</file>