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EE9C9">
      <w:pPr>
        <w:keepNext/>
        <w:keepLines/>
        <w:spacing w:line="240" w:lineRule="auto"/>
        <w:jc w:val="center"/>
        <w:outlineLvl w:val="0"/>
        <w:rPr>
          <w:rFonts w:hint="eastAsia" w:ascii="黑体" w:hAnsi="黑体" w:eastAsia="黑体" w:cs="黑体"/>
          <w:b w:val="0"/>
          <w:bCs/>
          <w:color w:val="auto"/>
          <w:kern w:val="44"/>
          <w:sz w:val="32"/>
          <w:szCs w:val="40"/>
          <w:lang w:val="en-US" w:eastAsia="zh-CN" w:bidi="ar-SA"/>
        </w:rPr>
      </w:pPr>
      <w:bookmarkStart w:id="0" w:name="_Toc10476_WPSOffice_Level1"/>
      <w:bookmarkStart w:id="1" w:name="_Toc6345"/>
      <w:bookmarkStart w:id="2" w:name="_Toc31517"/>
      <w:bookmarkStart w:id="3" w:name="_Toc22915"/>
      <w:bookmarkStart w:id="4" w:name="_Toc2772"/>
      <w:r>
        <w:rPr>
          <w:rFonts w:hint="eastAsia" w:ascii="黑体" w:hAnsi="黑体" w:eastAsia="黑体" w:cs="黑体"/>
          <w:b w:val="0"/>
          <w:bCs/>
          <w:color w:val="auto"/>
          <w:kern w:val="44"/>
          <w:sz w:val="32"/>
          <w:szCs w:val="40"/>
          <w:lang w:val="en-US" w:eastAsia="zh-CN" w:bidi="ar-SA"/>
        </w:rPr>
        <w:t>第三章  磋商内容及采</w:t>
      </w:r>
      <w:bookmarkEnd w:id="0"/>
      <w:r>
        <w:rPr>
          <w:rFonts w:hint="eastAsia" w:ascii="黑体" w:hAnsi="黑体" w:eastAsia="黑体" w:cs="黑体"/>
          <w:b w:val="0"/>
          <w:bCs/>
          <w:color w:val="auto"/>
          <w:kern w:val="44"/>
          <w:sz w:val="32"/>
          <w:szCs w:val="40"/>
          <w:lang w:val="en-US" w:eastAsia="zh-CN" w:bidi="ar-SA"/>
        </w:rPr>
        <w:t>购要求</w:t>
      </w:r>
      <w:bookmarkEnd w:id="1"/>
      <w:bookmarkEnd w:id="2"/>
      <w:bookmarkEnd w:id="3"/>
      <w:bookmarkEnd w:id="4"/>
    </w:p>
    <w:p w14:paraId="467E3637">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一、服务范围及内容要求</w:t>
      </w:r>
    </w:p>
    <w:p w14:paraId="62B9414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（一）</w:t>
      </w:r>
      <w:r>
        <w:rPr>
          <w:rFonts w:hint="eastAsia" w:ascii="仿宋_GB2312" w:hAnsi="仿宋_GB2312" w:eastAsia="仿宋_GB2312" w:cs="仿宋_GB2312"/>
          <w:b w:val="0"/>
          <w:i w:val="0"/>
          <w:spacing w:val="0"/>
          <w:kern w:val="0"/>
          <w:sz w:val="28"/>
          <w:szCs w:val="28"/>
        </w:rPr>
        <w:t>项目概况与服务模式</w:t>
      </w:r>
    </w:p>
    <w:p w14:paraId="103D5A3C">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项目名称：汉中市第一医院保洁及电梯管理服务项目。</w:t>
      </w:r>
    </w:p>
    <w:p w14:paraId="7BAF1A1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rPr>
        <w:t>服务地点：汉中市第一医院指定区域。</w:t>
      </w:r>
    </w:p>
    <w:p w14:paraId="2D4A3E2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both"/>
        <w:textAlignment w:val="auto"/>
        <w:rPr>
          <w:rFonts w:hint="eastAsia" w:ascii="仿宋_GB2312" w:hAnsi="仿宋_GB2312" w:eastAsia="仿宋_GB2312" w:cs="仿宋_GB2312"/>
          <w:color w:val="auto"/>
          <w:kern w:val="0"/>
          <w:sz w:val="28"/>
          <w:szCs w:val="28"/>
          <w:highlight w:val="none"/>
          <w:lang w:val="en-US" w:eastAsia="zh-CN" w:bidi="ar"/>
        </w:rPr>
      </w:pPr>
      <w:r>
        <w:rPr>
          <w:rFonts w:hint="eastAsia" w:ascii="仿宋_GB2312" w:hAnsi="仿宋_GB2312" w:eastAsia="仿宋_GB2312" w:cs="仿宋_GB2312"/>
          <w:b w:val="0"/>
          <w:i w:val="0"/>
          <w:spacing w:val="0"/>
          <w:kern w:val="0"/>
          <w:sz w:val="28"/>
          <w:szCs w:val="28"/>
          <w:lang w:val="en-US" w:eastAsia="zh-CN"/>
        </w:rPr>
        <w:t>3.</w:t>
      </w:r>
      <w:r>
        <w:rPr>
          <w:rFonts w:hint="eastAsia" w:ascii="仿宋_GB2312" w:hAnsi="仿宋_GB2312" w:eastAsia="仿宋_GB2312" w:cs="仿宋_GB2312"/>
          <w:b w:val="0"/>
          <w:i w:val="0"/>
          <w:spacing w:val="0"/>
          <w:kern w:val="0"/>
          <w:sz w:val="28"/>
          <w:szCs w:val="28"/>
        </w:rPr>
        <w:t>服务期限：</w:t>
      </w:r>
      <w:r>
        <w:rPr>
          <w:rFonts w:hint="eastAsia" w:ascii="仿宋_GB2312" w:hAnsi="仿宋_GB2312" w:eastAsia="仿宋_GB2312" w:cs="仿宋_GB2312"/>
          <w:color w:val="auto"/>
          <w:kern w:val="0"/>
          <w:sz w:val="28"/>
          <w:szCs w:val="28"/>
          <w:highlight w:val="none"/>
          <w:lang w:val="en-US" w:eastAsia="zh-CN" w:bidi="ar"/>
        </w:rPr>
        <w:t>一年。本项目采用一次采购沿用三年，实行一年一考核一签合同的办法。服务期满后，在预算有保障，政府采购管理部门同意的前提下，由成交供应商提出申请，经采购人考核合格后，可以续签合同。</w:t>
      </w:r>
    </w:p>
    <w:p w14:paraId="035B3D2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both"/>
        <w:textAlignment w:val="auto"/>
        <w:rPr>
          <w:rFonts w:hint="eastAsia" w:ascii="仿宋_GB2312" w:hAnsi="仿宋_GB2312" w:eastAsia="仿宋_GB2312" w:cs="仿宋_GB2312"/>
          <w:color w:val="auto"/>
          <w:kern w:val="0"/>
          <w:sz w:val="28"/>
          <w:szCs w:val="28"/>
          <w:highlight w:val="none"/>
          <w:lang w:val="en-US" w:eastAsia="zh-CN" w:bidi="ar"/>
        </w:rPr>
      </w:pPr>
      <w:r>
        <w:rPr>
          <w:rFonts w:hint="eastAsia" w:ascii="仿宋_GB2312" w:hAnsi="仿宋_GB2312" w:eastAsia="仿宋_GB2312" w:cs="仿宋_GB2312"/>
          <w:color w:val="auto"/>
          <w:kern w:val="0"/>
          <w:sz w:val="28"/>
          <w:szCs w:val="28"/>
          <w:highlight w:val="none"/>
          <w:lang w:val="en-US" w:eastAsia="zh-CN" w:bidi="ar"/>
        </w:rPr>
        <w:t>（二）服务范围</w:t>
      </w:r>
    </w:p>
    <w:p w14:paraId="7EC3B70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服务范围为汉中市第一医院的以下区域：1号楼（门急诊住院综合楼）、2号楼、3号楼、4号楼、5号楼、学术厅、院区内所有公共区域及道路、所属社区卫生服务中心。</w:t>
      </w:r>
    </w:p>
    <w:p w14:paraId="377829FE">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eastAsia="zh-CN"/>
        </w:rPr>
        <w:t>（三</w:t>
      </w:r>
      <w:r>
        <w:rPr>
          <w:rFonts w:hint="eastAsia" w:ascii="仿宋_GB2312" w:hAnsi="仿宋_GB2312" w:eastAsia="仿宋_GB2312" w:cs="仿宋_GB2312"/>
          <w:b w:val="0"/>
          <w:i w:val="0"/>
          <w:spacing w:val="0"/>
          <w:kern w:val="0"/>
          <w:sz w:val="28"/>
          <w:szCs w:val="28"/>
          <w:lang w:val="en-US" w:eastAsia="zh-CN"/>
        </w:rPr>
        <w:t>)</w:t>
      </w:r>
      <w:r>
        <w:rPr>
          <w:rFonts w:hint="eastAsia" w:ascii="仿宋_GB2312" w:hAnsi="仿宋_GB2312" w:eastAsia="仿宋_GB2312" w:cs="仿宋_GB2312"/>
          <w:b w:val="0"/>
          <w:i w:val="0"/>
          <w:spacing w:val="0"/>
          <w:kern w:val="0"/>
          <w:sz w:val="28"/>
          <w:szCs w:val="28"/>
        </w:rPr>
        <w:t>服务内容</w:t>
      </w:r>
    </w:p>
    <w:p w14:paraId="5659D8CB">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日常保洁：负责服务范围内所有区域的地面、墙面、天花板、门窗、楼梯、卫生间、茶水间、办公区、诊疗区、病房等的日常清扫、拖拭、除尘、垃圾收集与清运。</w:t>
      </w:r>
    </w:p>
    <w:p w14:paraId="15C380E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rPr>
        <w:t>专项保洁：</w:t>
      </w:r>
    </w:p>
    <w:p w14:paraId="6E1DF62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2.1</w:t>
      </w:r>
      <w:r>
        <w:rPr>
          <w:rFonts w:hint="eastAsia" w:ascii="仿宋_GB2312" w:hAnsi="仿宋_GB2312" w:eastAsia="仿宋_GB2312" w:cs="仿宋_GB2312"/>
          <w:b w:val="0"/>
          <w:i w:val="0"/>
          <w:spacing w:val="0"/>
          <w:kern w:val="0"/>
          <w:sz w:val="28"/>
          <w:szCs w:val="28"/>
        </w:rPr>
        <w:t>消毒：按照国家《医疗机构环境表面清洁与消毒管理规范》（WS/T 512-2016）的要求，对重点区域（如ICU、手术室、血透室、检验科等）及高频接触表面（如门把手、电梯按钮、床头柜等）进行定期消毒。</w:t>
      </w:r>
    </w:p>
    <w:p w14:paraId="7CA0247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2.2</w:t>
      </w:r>
      <w:r>
        <w:rPr>
          <w:rFonts w:hint="eastAsia" w:ascii="仿宋_GB2312" w:hAnsi="仿宋_GB2312" w:eastAsia="仿宋_GB2312" w:cs="仿宋_GB2312"/>
          <w:b w:val="0"/>
          <w:i w:val="0"/>
          <w:spacing w:val="0"/>
          <w:kern w:val="0"/>
          <w:sz w:val="28"/>
          <w:szCs w:val="28"/>
        </w:rPr>
        <w:t>PVC地板保养：</w:t>
      </w:r>
      <w:r>
        <w:rPr>
          <w:rFonts w:hint="eastAsia" w:ascii="仿宋_GB2312" w:hAnsi="仿宋_GB2312" w:eastAsia="仿宋_GB2312" w:cs="仿宋_GB2312"/>
          <w:b w:val="0"/>
          <w:i w:val="0"/>
          <w:spacing w:val="0"/>
          <w:kern w:val="0"/>
          <w:sz w:val="28"/>
          <w:szCs w:val="28"/>
          <w:lang w:eastAsia="zh-CN"/>
        </w:rPr>
        <w:t>一</w:t>
      </w:r>
      <w:r>
        <w:rPr>
          <w:rFonts w:hint="eastAsia" w:ascii="仿宋_GB2312" w:hAnsi="仿宋_GB2312" w:eastAsia="仿宋_GB2312" w:cs="仿宋_GB2312"/>
          <w:b w:val="0"/>
          <w:i w:val="0"/>
          <w:spacing w:val="0"/>
          <w:kern w:val="0"/>
          <w:sz w:val="28"/>
          <w:szCs w:val="28"/>
        </w:rPr>
        <w:t>年内至少完成院内各科室PVC地板打蜡保养1次，所需设备及耗材费用包含在总报价中。</w:t>
      </w:r>
    </w:p>
    <w:p w14:paraId="77FDF3D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2.3</w:t>
      </w:r>
      <w:r>
        <w:rPr>
          <w:rFonts w:hint="eastAsia" w:ascii="仿宋_GB2312" w:hAnsi="仿宋_GB2312" w:eastAsia="仿宋_GB2312" w:cs="仿宋_GB2312"/>
          <w:b w:val="0"/>
          <w:i w:val="0"/>
          <w:spacing w:val="0"/>
          <w:kern w:val="0"/>
          <w:sz w:val="28"/>
          <w:szCs w:val="28"/>
        </w:rPr>
        <w:t>医疗废物管理：负责将各科室产生的医疗废物和生活垃圾进行分类收集、规范装袋，并转运至医院指定的医疗废物暂存点。</w:t>
      </w:r>
    </w:p>
    <w:p w14:paraId="7B818D0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2.4</w:t>
      </w:r>
      <w:r>
        <w:rPr>
          <w:rFonts w:hint="eastAsia" w:ascii="仿宋_GB2312" w:hAnsi="仿宋_GB2312" w:eastAsia="仿宋_GB2312" w:cs="仿宋_GB2312"/>
          <w:b w:val="0"/>
          <w:i w:val="0"/>
          <w:spacing w:val="0"/>
          <w:kern w:val="0"/>
          <w:sz w:val="28"/>
          <w:szCs w:val="28"/>
        </w:rPr>
        <w:t>其他：负责下水道疏通、高空玻璃清洁、配合“除四害”工作以及院方交办的临时性、突发性保洁任务。</w:t>
      </w:r>
    </w:p>
    <w:p w14:paraId="3C9771AC">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2.5</w:t>
      </w:r>
      <w:r>
        <w:rPr>
          <w:rFonts w:hint="eastAsia" w:ascii="仿宋_GB2312" w:hAnsi="仿宋_GB2312" w:eastAsia="仿宋_GB2312" w:cs="仿宋_GB2312"/>
          <w:b w:val="0"/>
          <w:i w:val="0"/>
          <w:spacing w:val="0"/>
          <w:kern w:val="0"/>
          <w:sz w:val="28"/>
          <w:szCs w:val="28"/>
        </w:rPr>
        <w:t>电梯管理：负责全院9部直梯及6部扶梯的运行值守、秩序维护、轿厢内部清洁、应急情况上报与初步处理。</w:t>
      </w:r>
    </w:p>
    <w:p w14:paraId="0F51D22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二、</w:t>
      </w:r>
      <w:r>
        <w:rPr>
          <w:rFonts w:hint="eastAsia" w:ascii="仿宋_GB2312" w:hAnsi="仿宋_GB2312" w:eastAsia="仿宋_GB2312" w:cs="仿宋_GB2312"/>
          <w:b w:val="0"/>
          <w:i w:val="0"/>
          <w:spacing w:val="0"/>
          <w:kern w:val="0"/>
          <w:sz w:val="28"/>
          <w:szCs w:val="28"/>
        </w:rPr>
        <w:t>人员配置要求</w:t>
      </w:r>
    </w:p>
    <w:p w14:paraId="1923FD46">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eastAsia="zh-CN"/>
        </w:rPr>
        <w:t>（一）成交供应商</w:t>
      </w:r>
      <w:r>
        <w:rPr>
          <w:rFonts w:hint="eastAsia" w:ascii="仿宋_GB2312" w:hAnsi="仿宋_GB2312" w:eastAsia="仿宋_GB2312" w:cs="仿宋_GB2312"/>
          <w:b w:val="0"/>
          <w:i w:val="0"/>
          <w:spacing w:val="0"/>
          <w:kern w:val="0"/>
          <w:sz w:val="28"/>
          <w:szCs w:val="28"/>
        </w:rPr>
        <w:t>拟派的服务团队总人数不得少于45人，具体配置及职责如下：</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360"/>
        <w:gridCol w:w="1500"/>
        <w:gridCol w:w="5420"/>
      </w:tblGrid>
      <w:tr w14:paraId="2E94B1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1" w:hRule="atLeast"/>
          <w:jc w:val="center"/>
        </w:trPr>
        <w:tc>
          <w:tcPr>
            <w:tcW w:w="1360" w:type="dxa"/>
          </w:tcPr>
          <w:p w14:paraId="459E02A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岗位</w:t>
            </w:r>
          </w:p>
        </w:tc>
        <w:tc>
          <w:tcPr>
            <w:tcW w:w="1500" w:type="dxa"/>
          </w:tcPr>
          <w:p w14:paraId="12D34DD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人数</w:t>
            </w:r>
          </w:p>
        </w:tc>
        <w:tc>
          <w:tcPr>
            <w:tcW w:w="5420" w:type="dxa"/>
          </w:tcPr>
          <w:p w14:paraId="2300617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岗位职责与要求</w:t>
            </w:r>
          </w:p>
        </w:tc>
      </w:tr>
      <w:tr w14:paraId="191B70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10" w:hRule="atLeast"/>
          <w:jc w:val="center"/>
        </w:trPr>
        <w:tc>
          <w:tcPr>
            <w:tcW w:w="1360" w:type="dxa"/>
          </w:tcPr>
          <w:p w14:paraId="7D2984A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righ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 xml:space="preserve">保洁人员 </w:t>
            </w:r>
          </w:p>
        </w:tc>
        <w:tc>
          <w:tcPr>
            <w:tcW w:w="1500" w:type="dxa"/>
          </w:tcPr>
          <w:p w14:paraId="5C1F4D0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38人</w:t>
            </w:r>
          </w:p>
        </w:tc>
        <w:tc>
          <w:tcPr>
            <w:tcW w:w="5420" w:type="dxa"/>
          </w:tcPr>
          <w:p w14:paraId="170FC30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病区保洁（20人）：负责13个病区的日常循环保洁、终末消毒等工作。重点科室专岗（7人）：为检验科、血透室、手术室、ICU、供应室等院感高风险区域配置专职保洁员。公共及外围区域（11人）：负责门诊、行政楼、公共区域、院外环境及社区卫生服务中心的保洁。</w:t>
            </w:r>
          </w:p>
        </w:tc>
      </w:tr>
      <w:tr w14:paraId="3EC392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1360" w:type="dxa"/>
            <w:vAlign w:val="center"/>
          </w:tcPr>
          <w:p w14:paraId="411FC45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righ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电梯管理人员</w:t>
            </w:r>
          </w:p>
        </w:tc>
        <w:tc>
          <w:tcPr>
            <w:tcW w:w="1500" w:type="dxa"/>
            <w:vAlign w:val="center"/>
          </w:tcPr>
          <w:p w14:paraId="0B30255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3人</w:t>
            </w:r>
          </w:p>
        </w:tc>
        <w:tc>
          <w:tcPr>
            <w:tcW w:w="5420" w:type="dxa"/>
          </w:tcPr>
          <w:p w14:paraId="5111160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负责全院9部直梯及6部扶梯的运行值守、秩序引导及轿厢清洁。</w:t>
            </w:r>
          </w:p>
        </w:tc>
      </w:tr>
      <w:tr w14:paraId="73459E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1360" w:type="dxa"/>
            <w:vAlign w:val="center"/>
          </w:tcPr>
          <w:p w14:paraId="3F9A4F9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righ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项目管理人</w:t>
            </w:r>
          </w:p>
        </w:tc>
        <w:tc>
          <w:tcPr>
            <w:tcW w:w="1500" w:type="dxa"/>
            <w:vAlign w:val="center"/>
          </w:tcPr>
          <w:p w14:paraId="02BDD2FB">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1人</w:t>
            </w:r>
          </w:p>
        </w:tc>
        <w:tc>
          <w:tcPr>
            <w:tcW w:w="5420" w:type="dxa"/>
          </w:tcPr>
          <w:p w14:paraId="4CBA692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具备护理专业技能，</w:t>
            </w:r>
            <w:r>
              <w:rPr>
                <w:rFonts w:hint="eastAsia" w:ascii="仿宋_GB2312" w:hAnsi="仿宋_GB2312" w:eastAsia="仿宋_GB2312" w:cs="仿宋_GB2312"/>
                <w:b w:val="0"/>
                <w:i w:val="0"/>
                <w:spacing w:val="0"/>
                <w:kern w:val="0"/>
                <w:sz w:val="28"/>
                <w:szCs w:val="28"/>
                <w:lang w:eastAsia="zh-CN"/>
              </w:rPr>
              <w:t>熟悉医院院感防控知识，</w:t>
            </w:r>
            <w:r>
              <w:rPr>
                <w:rFonts w:hint="eastAsia" w:ascii="仿宋_GB2312" w:hAnsi="仿宋_GB2312" w:eastAsia="仿宋_GB2312" w:cs="仿宋_GB2312"/>
                <w:b w:val="0"/>
                <w:i w:val="0"/>
                <w:spacing w:val="0"/>
                <w:kern w:val="0"/>
                <w:sz w:val="28"/>
                <w:szCs w:val="28"/>
              </w:rPr>
              <w:t>全面负责项目运营，重点强化院感防控管理，作为与院方的第一对接人。</w:t>
            </w:r>
          </w:p>
        </w:tc>
      </w:tr>
      <w:tr w14:paraId="00690F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1360" w:type="dxa"/>
            <w:vAlign w:val="center"/>
          </w:tcPr>
          <w:p w14:paraId="42FACB5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righ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机动人员</w:t>
            </w:r>
          </w:p>
        </w:tc>
        <w:tc>
          <w:tcPr>
            <w:tcW w:w="1500" w:type="dxa"/>
            <w:vAlign w:val="center"/>
          </w:tcPr>
          <w:p w14:paraId="6E7C312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3人</w:t>
            </w:r>
          </w:p>
        </w:tc>
        <w:tc>
          <w:tcPr>
            <w:tcW w:w="5420" w:type="dxa"/>
          </w:tcPr>
          <w:p w14:paraId="6A83AF7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用于顶替保洁人员因请假、病假、事假或突发情况产生的岗位空缺，确保服务不间断；同时协助处理突发应急事件的保洁任务。</w:t>
            </w:r>
          </w:p>
        </w:tc>
      </w:tr>
    </w:tbl>
    <w:p w14:paraId="5FC34561">
      <w:pPr>
        <w:keepNext w:val="0"/>
        <w:keepLines w:val="0"/>
        <w:pageBreakBefore w:val="0"/>
        <w:widowControl w:val="0"/>
        <w:numPr>
          <w:ilvl w:val="0"/>
          <w:numId w:val="1"/>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拟派项目管理人（现场负责人）具有三年以上医院保洁或医院物业管理工作经验（提供社保缴纳证明或单位工作证明等材料）。</w:t>
      </w:r>
    </w:p>
    <w:p w14:paraId="247FE7DB">
      <w:pPr>
        <w:keepNext w:val="0"/>
        <w:keepLines w:val="0"/>
        <w:pageBreakBefore w:val="0"/>
        <w:widowControl w:val="0"/>
        <w:numPr>
          <w:ilvl w:val="0"/>
          <w:numId w:val="1"/>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响应人须承诺成交后为所有上岗员工购买足额的工伤保险及商业意外险（其中人身意外险保额不低于50万元/人），并提供书面承诺函加盖公章。</w:t>
      </w:r>
    </w:p>
    <w:p w14:paraId="1A5A706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三、</w:t>
      </w:r>
      <w:r>
        <w:rPr>
          <w:rFonts w:hint="eastAsia" w:ascii="仿宋_GB2312" w:hAnsi="仿宋_GB2312" w:eastAsia="仿宋_GB2312" w:cs="仿宋_GB2312"/>
          <w:b w:val="0"/>
          <w:i w:val="0"/>
          <w:spacing w:val="0"/>
          <w:kern w:val="0"/>
          <w:sz w:val="28"/>
          <w:szCs w:val="28"/>
        </w:rPr>
        <w:t>服务标准</w:t>
      </w:r>
    </w:p>
    <w:p w14:paraId="42D61C0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总体要求：服务质量需符合国家及地方相关卫生标准，并满足《医疗机构环境表面清洁与消毒管理规范》（WS/T 512-2016）的要求。</w:t>
      </w:r>
    </w:p>
    <w:p w14:paraId="607D45D6">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rPr>
        <w:t>具体标准：</w:t>
      </w:r>
      <w:r>
        <w:rPr>
          <w:rFonts w:hint="eastAsia" w:ascii="仿宋_GB2312" w:hAnsi="仿宋_GB2312" w:eastAsia="仿宋_GB2312" w:cs="仿宋_GB2312"/>
          <w:b w:val="0"/>
          <w:i w:val="0"/>
          <w:spacing w:val="0"/>
          <w:kern w:val="0"/>
          <w:sz w:val="28"/>
          <w:szCs w:val="28"/>
          <w:lang w:eastAsia="zh-CN"/>
        </w:rPr>
        <w:t>以《</w:t>
      </w:r>
      <w:r>
        <w:rPr>
          <w:rFonts w:hint="eastAsia" w:ascii="仿宋_GB2312" w:hAnsi="仿宋_GB2312" w:eastAsia="仿宋_GB2312" w:cs="仿宋_GB2312"/>
          <w:b w:val="0"/>
          <w:i w:val="0"/>
          <w:spacing w:val="0"/>
          <w:kern w:val="0"/>
          <w:sz w:val="28"/>
          <w:szCs w:val="28"/>
        </w:rPr>
        <w:t>汉中市第一医院保洁服务标准操作规程</w:t>
      </w:r>
      <w:r>
        <w:rPr>
          <w:rFonts w:hint="eastAsia" w:ascii="仿宋_GB2312" w:hAnsi="仿宋_GB2312" w:eastAsia="仿宋_GB2312" w:cs="仿宋_GB2312"/>
          <w:b w:val="0"/>
          <w:i w:val="0"/>
          <w:spacing w:val="0"/>
          <w:kern w:val="0"/>
          <w:sz w:val="28"/>
          <w:szCs w:val="28"/>
          <w:lang w:eastAsia="zh-CN"/>
        </w:rPr>
        <w:t>》为准，见附件</w:t>
      </w:r>
      <w:r>
        <w:rPr>
          <w:rFonts w:hint="eastAsia" w:ascii="仿宋_GB2312" w:hAnsi="仿宋_GB2312" w:eastAsia="仿宋_GB2312" w:cs="仿宋_GB2312"/>
          <w:b w:val="0"/>
          <w:i w:val="0"/>
          <w:spacing w:val="0"/>
          <w:kern w:val="0"/>
          <w:sz w:val="28"/>
          <w:szCs w:val="28"/>
          <w:lang w:val="en-US" w:eastAsia="zh-CN"/>
        </w:rPr>
        <w:t>3。</w:t>
      </w:r>
    </w:p>
    <w:p w14:paraId="1CAB772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四、</w:t>
      </w:r>
      <w:r>
        <w:rPr>
          <w:rFonts w:hint="eastAsia" w:ascii="仿宋_GB2312" w:hAnsi="仿宋_GB2312" w:eastAsia="仿宋_GB2312" w:cs="仿宋_GB2312"/>
          <w:b w:val="0"/>
          <w:i w:val="0"/>
          <w:spacing w:val="0"/>
          <w:kern w:val="0"/>
          <w:sz w:val="28"/>
          <w:szCs w:val="28"/>
        </w:rPr>
        <w:t>费用调整机制</w:t>
      </w:r>
    </w:p>
    <w:p w14:paraId="2BC4F32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费用增加：因重大疫情、新增科室等重大变更导致服务任务量实质性增加，双方可协商按《</w:t>
      </w:r>
      <w:r>
        <w:rPr>
          <w:rFonts w:hint="eastAsia" w:ascii="仿宋_GB2312" w:hAnsi="仿宋_GB2312" w:eastAsia="仿宋_GB2312" w:cs="仿宋_GB2312"/>
          <w:b w:val="0"/>
          <w:i w:val="0"/>
          <w:spacing w:val="0"/>
          <w:kern w:val="0"/>
          <w:sz w:val="28"/>
          <w:szCs w:val="28"/>
          <w:lang w:eastAsia="zh-CN"/>
        </w:rPr>
        <w:t>分项报价表</w:t>
      </w:r>
      <w:r>
        <w:rPr>
          <w:rFonts w:hint="eastAsia" w:ascii="仿宋_GB2312" w:hAnsi="仿宋_GB2312" w:eastAsia="仿宋_GB2312" w:cs="仿宋_GB2312"/>
          <w:b w:val="0"/>
          <w:i w:val="0"/>
          <w:spacing w:val="0"/>
          <w:kern w:val="0"/>
          <w:sz w:val="28"/>
          <w:szCs w:val="28"/>
        </w:rPr>
        <w:t>》中对应岗位的“每人每月服务单价”结算增加的服务费用。</w:t>
      </w:r>
    </w:p>
    <w:p w14:paraId="6C37AE1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费用核减：若因科室合并、业务取消、重大业务变更等导致服务人数实质性减少，总服务费须按《</w:t>
      </w:r>
      <w:r>
        <w:rPr>
          <w:rFonts w:hint="eastAsia" w:ascii="仿宋_GB2312" w:hAnsi="仿宋_GB2312" w:eastAsia="仿宋_GB2312" w:cs="仿宋_GB2312"/>
          <w:b w:val="0"/>
          <w:i w:val="0"/>
          <w:spacing w:val="0"/>
          <w:kern w:val="0"/>
          <w:sz w:val="28"/>
          <w:szCs w:val="28"/>
          <w:lang w:eastAsia="zh-CN"/>
        </w:rPr>
        <w:t>分项报价</w:t>
      </w:r>
      <w:r>
        <w:rPr>
          <w:rFonts w:hint="eastAsia" w:ascii="仿宋_GB2312" w:hAnsi="仿宋_GB2312" w:eastAsia="仿宋_GB2312" w:cs="仿宋_GB2312"/>
          <w:b w:val="0"/>
          <w:i w:val="0"/>
          <w:spacing w:val="0"/>
          <w:kern w:val="0"/>
          <w:sz w:val="28"/>
          <w:szCs w:val="28"/>
        </w:rPr>
        <w:t>表》中对应岗位的“每人每月服务单价”相应核减。</w:t>
      </w:r>
    </w:p>
    <w:p w14:paraId="7AAB984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调整前提：以上任何费用的增加或减少，其影响的服务时间须连续超过30天以上方可启动调整程序。</w:t>
      </w:r>
    </w:p>
    <w:p w14:paraId="0E0A65E3">
      <w:pPr>
        <w:keepNext w:val="0"/>
        <w:keepLines w:val="0"/>
        <w:pageBreakBefore w:val="0"/>
        <w:widowControl w:val="0"/>
        <w:numPr>
          <w:ilvl w:val="0"/>
          <w:numId w:val="2"/>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eastAsia="zh-CN"/>
        </w:rPr>
        <w:t>报价构成、</w:t>
      </w:r>
      <w:r>
        <w:rPr>
          <w:rFonts w:hint="eastAsia" w:ascii="仿宋_GB2312" w:hAnsi="仿宋_GB2312" w:eastAsia="仿宋_GB2312" w:cs="仿宋_GB2312"/>
          <w:b w:val="0"/>
          <w:i w:val="0"/>
          <w:spacing w:val="0"/>
          <w:kern w:val="0"/>
          <w:sz w:val="28"/>
          <w:szCs w:val="28"/>
        </w:rPr>
        <w:t>付款方式与考核</w:t>
      </w:r>
    </w:p>
    <w:p w14:paraId="5B7E7ACF">
      <w:pPr>
        <w:keepNext w:val="0"/>
        <w:keepLines w:val="0"/>
        <w:pageBreakBefore w:val="0"/>
        <w:widowControl w:val="0"/>
        <w:numPr>
          <w:ilvl w:val="0"/>
          <w:numId w:val="3"/>
        </w:numPr>
        <w:kinsoku/>
        <w:wordWrap/>
        <w:overflowPunct/>
        <w:topLinePunct w:val="0"/>
        <w:autoSpaceDE/>
        <w:autoSpaceDN/>
        <w:bidi w:val="0"/>
        <w:adjustRightInd/>
        <w:snapToGrid/>
        <w:spacing w:after="0" w:line="500" w:lineRule="exact"/>
        <w:ind w:leftChars="200" w:right="0" w:rightChars="0"/>
        <w:jc w:val="left"/>
        <w:textAlignment w:val="auto"/>
        <w:rPr>
          <w:rFonts w:hint="eastAsia" w:ascii="仿宋_GB2312" w:hAnsi="仿宋_GB2312" w:eastAsia="仿宋_GB2312" w:cs="仿宋_GB2312"/>
          <w:b w:val="0"/>
          <w:i w:val="0"/>
          <w:spacing w:val="0"/>
          <w:kern w:val="0"/>
          <w:sz w:val="28"/>
          <w:szCs w:val="28"/>
          <w:lang w:eastAsia="zh-CN"/>
        </w:rPr>
      </w:pPr>
      <w:r>
        <w:rPr>
          <w:rFonts w:hint="eastAsia" w:ascii="仿宋_GB2312" w:hAnsi="仿宋_GB2312" w:eastAsia="仿宋_GB2312" w:cs="仿宋_GB2312"/>
          <w:b w:val="0"/>
          <w:i w:val="0"/>
          <w:spacing w:val="0"/>
          <w:kern w:val="0"/>
          <w:sz w:val="28"/>
          <w:szCs w:val="28"/>
          <w:lang w:eastAsia="zh-CN"/>
        </w:rPr>
        <w:t>报价构成</w:t>
      </w:r>
    </w:p>
    <w:p w14:paraId="77EB21B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 xml:space="preserve">    磋商总价应为完成本项目全部服务内容所需的全部费用，包括但不限于：</w:t>
      </w:r>
    </w:p>
    <w:p w14:paraId="54CDFD9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1.所有服务人员的工资、社会保险、福利、加班费、服装费、培训费。</w:t>
      </w:r>
    </w:p>
    <w:p w14:paraId="6A6A6CA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2.保洁及电梯管理所需的全部设备、工具、药剂、耗材、劳保用品。</w:t>
      </w:r>
    </w:p>
    <w:p w14:paraId="652BCBD9">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3.专项工程（如PVC地板打蜡）费用。</w:t>
      </w:r>
    </w:p>
    <w:p w14:paraId="12010C9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firstLine="560" w:firstLineChars="200"/>
        <w:jc w:val="left"/>
        <w:textAlignment w:val="auto"/>
        <w:rPr>
          <w:rFonts w:hint="default"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4.企业管理费、利润、税金及合同实施过程中的所有风险、责任等一切费用。</w:t>
      </w:r>
    </w:p>
    <w:p w14:paraId="0D240A8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（二）</w:t>
      </w:r>
      <w:r>
        <w:rPr>
          <w:rFonts w:hint="eastAsia" w:ascii="仿宋_GB2312" w:hAnsi="仿宋_GB2312" w:eastAsia="仿宋_GB2312" w:cs="仿宋_GB2312"/>
          <w:b w:val="0"/>
          <w:i w:val="0"/>
          <w:spacing w:val="0"/>
          <w:kern w:val="0"/>
          <w:sz w:val="28"/>
          <w:szCs w:val="28"/>
        </w:rPr>
        <w:t>付款方式</w:t>
      </w:r>
    </w:p>
    <w:p w14:paraId="3B2D145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服务费按月支付。每月服务费=（</w:t>
      </w:r>
      <w:r>
        <w:rPr>
          <w:rFonts w:hint="eastAsia" w:ascii="仿宋_GB2312" w:hAnsi="仿宋_GB2312" w:eastAsia="仿宋_GB2312" w:cs="仿宋_GB2312"/>
          <w:b w:val="0"/>
          <w:i w:val="0"/>
          <w:spacing w:val="0"/>
          <w:kern w:val="0"/>
          <w:sz w:val="28"/>
          <w:szCs w:val="28"/>
          <w:lang w:eastAsia="zh-CN"/>
        </w:rPr>
        <w:t>成交供应商</w:t>
      </w:r>
      <w:r>
        <w:rPr>
          <w:rFonts w:hint="eastAsia" w:ascii="仿宋_GB2312" w:hAnsi="仿宋_GB2312" w:eastAsia="仿宋_GB2312" w:cs="仿宋_GB2312"/>
          <w:b w:val="0"/>
          <w:i w:val="0"/>
          <w:spacing w:val="0"/>
          <w:kern w:val="0"/>
          <w:sz w:val="28"/>
          <w:szCs w:val="28"/>
        </w:rPr>
        <w:t>《</w:t>
      </w:r>
      <w:r>
        <w:rPr>
          <w:rFonts w:hint="eastAsia" w:ascii="仿宋_GB2312" w:hAnsi="仿宋_GB2312" w:eastAsia="仿宋_GB2312" w:cs="仿宋_GB2312"/>
          <w:b w:val="0"/>
          <w:i w:val="0"/>
          <w:spacing w:val="0"/>
          <w:kern w:val="0"/>
          <w:sz w:val="28"/>
          <w:szCs w:val="28"/>
          <w:lang w:eastAsia="zh-CN"/>
        </w:rPr>
        <w:t>分项报价</w:t>
      </w:r>
      <w:r>
        <w:rPr>
          <w:rFonts w:hint="eastAsia" w:ascii="仿宋_GB2312" w:hAnsi="仿宋_GB2312" w:eastAsia="仿宋_GB2312" w:cs="仿宋_GB2312"/>
          <w:b w:val="0"/>
          <w:i w:val="0"/>
          <w:spacing w:val="0"/>
          <w:kern w:val="0"/>
          <w:sz w:val="28"/>
          <w:szCs w:val="28"/>
        </w:rPr>
        <w:t>表》中的月度总价）×月度考核系数。</w:t>
      </w:r>
    </w:p>
    <w:p w14:paraId="0149DF7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lang w:eastAsia="zh-CN"/>
        </w:rPr>
        <w:t>成交供应商</w:t>
      </w:r>
      <w:r>
        <w:rPr>
          <w:rFonts w:hint="eastAsia" w:ascii="仿宋_GB2312" w:hAnsi="仿宋_GB2312" w:eastAsia="仿宋_GB2312" w:cs="仿宋_GB2312"/>
          <w:b w:val="0"/>
          <w:i w:val="0"/>
          <w:spacing w:val="0"/>
          <w:kern w:val="0"/>
          <w:sz w:val="28"/>
          <w:szCs w:val="28"/>
        </w:rPr>
        <w:t>应于每月5日前向采购人提交上月服务工作报告及服务费支付申请。</w:t>
      </w:r>
    </w:p>
    <w:p w14:paraId="45F0C9C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3.</w:t>
      </w:r>
      <w:r>
        <w:rPr>
          <w:rFonts w:hint="eastAsia" w:ascii="仿宋_GB2312" w:hAnsi="仿宋_GB2312" w:eastAsia="仿宋_GB2312" w:cs="仿宋_GB2312"/>
          <w:b w:val="0"/>
          <w:i w:val="0"/>
          <w:spacing w:val="0"/>
          <w:kern w:val="0"/>
          <w:sz w:val="28"/>
          <w:szCs w:val="28"/>
        </w:rPr>
        <w:t>采购人根据月度考核结果确定考核系数，并在收到申请后15个工作日内完成审核并支付。</w:t>
      </w:r>
    </w:p>
    <w:p w14:paraId="0BD4DEF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（三）</w:t>
      </w:r>
      <w:r>
        <w:rPr>
          <w:rFonts w:hint="eastAsia" w:ascii="仿宋_GB2312" w:hAnsi="仿宋_GB2312" w:eastAsia="仿宋_GB2312" w:cs="仿宋_GB2312"/>
          <w:b w:val="0"/>
          <w:i w:val="0"/>
          <w:spacing w:val="0"/>
          <w:kern w:val="0"/>
          <w:sz w:val="28"/>
          <w:szCs w:val="28"/>
        </w:rPr>
        <w:t>月度考核</w:t>
      </w:r>
    </w:p>
    <w:p w14:paraId="79D339F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采购人将成立考核小组，依据《月度考核表》对</w:t>
      </w:r>
      <w:r>
        <w:rPr>
          <w:rFonts w:hint="eastAsia" w:ascii="仿宋_GB2312" w:hAnsi="仿宋_GB2312" w:eastAsia="仿宋_GB2312" w:cs="仿宋_GB2312"/>
          <w:b w:val="0"/>
          <w:i w:val="0"/>
          <w:spacing w:val="0"/>
          <w:kern w:val="0"/>
          <w:sz w:val="28"/>
          <w:szCs w:val="28"/>
          <w:lang w:eastAsia="zh-CN"/>
        </w:rPr>
        <w:t>成交供应商</w:t>
      </w:r>
      <w:r>
        <w:rPr>
          <w:rFonts w:hint="eastAsia" w:ascii="仿宋_GB2312" w:hAnsi="仿宋_GB2312" w:eastAsia="仿宋_GB2312" w:cs="仿宋_GB2312"/>
          <w:b w:val="0"/>
          <w:i w:val="0"/>
          <w:spacing w:val="0"/>
          <w:kern w:val="0"/>
          <w:sz w:val="28"/>
          <w:szCs w:val="28"/>
        </w:rPr>
        <w:t>的服务质量进行考核。</w:t>
      </w:r>
    </w:p>
    <w:p w14:paraId="4FD620E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rPr>
        <w:t>考核结果与服务费支付直接挂钩，具体系数如下：</w:t>
      </w:r>
    </w:p>
    <w:p w14:paraId="3C7496B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月度考核得分≥90分，考核系数为100%。</w:t>
      </w:r>
    </w:p>
    <w:p w14:paraId="4283E6B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rPr>
        <w:t>80分≤月度考核得分&lt;90分，每低1分，扣除当月服务费的0.5%。</w:t>
      </w:r>
    </w:p>
    <w:p w14:paraId="5243DDDC">
      <w:pPr>
        <w:keepNext w:val="0"/>
        <w:keepLines w:val="0"/>
        <w:pageBreakBefore w:val="0"/>
        <w:widowControl w:val="0"/>
        <w:numPr>
          <w:ilvl w:val="0"/>
          <w:numId w:val="4"/>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月度考核得分&lt;80分，考核系数为80%，并</w:t>
      </w:r>
      <w:r>
        <w:rPr>
          <w:rFonts w:hint="eastAsia" w:ascii="仿宋_GB2312" w:hAnsi="仿宋_GB2312" w:eastAsia="仿宋_GB2312" w:cs="仿宋_GB2312"/>
          <w:b w:val="0"/>
          <w:i w:val="0"/>
          <w:spacing w:val="0"/>
          <w:kern w:val="0"/>
          <w:sz w:val="28"/>
          <w:szCs w:val="28"/>
          <w:lang w:eastAsia="zh-CN"/>
        </w:rPr>
        <w:t>要求</w:t>
      </w:r>
      <w:r>
        <w:rPr>
          <w:rFonts w:hint="eastAsia" w:ascii="仿宋_GB2312" w:hAnsi="仿宋_GB2312" w:eastAsia="仿宋_GB2312" w:cs="仿宋_GB2312"/>
          <w:b w:val="0"/>
          <w:i w:val="0"/>
          <w:spacing w:val="0"/>
          <w:kern w:val="0"/>
          <w:sz w:val="28"/>
          <w:szCs w:val="28"/>
        </w:rPr>
        <w:t>限期整改</w:t>
      </w:r>
      <w:r>
        <w:rPr>
          <w:rFonts w:hint="eastAsia" w:ascii="仿宋_GB2312" w:hAnsi="仿宋_GB2312" w:eastAsia="仿宋_GB2312" w:cs="仿宋_GB2312"/>
          <w:b w:val="0"/>
          <w:i w:val="0"/>
          <w:spacing w:val="0"/>
          <w:kern w:val="0"/>
          <w:sz w:val="28"/>
          <w:szCs w:val="28"/>
          <w:lang w:eastAsia="zh-CN"/>
        </w:rPr>
        <w:t>；同时，</w:t>
      </w:r>
      <w:r>
        <w:rPr>
          <w:rFonts w:hint="eastAsia" w:ascii="仿宋_GB2312" w:hAnsi="仿宋_GB2312" w:eastAsia="仿宋_GB2312" w:cs="仿宋_GB2312"/>
          <w:b w:val="0"/>
          <w:i w:val="0"/>
          <w:spacing w:val="0"/>
          <w:kern w:val="0"/>
          <w:sz w:val="28"/>
          <w:szCs w:val="28"/>
          <w:lang w:val="en-US" w:eastAsia="zh-CN"/>
        </w:rPr>
        <w:t>还须向采购人支付当月服务费5%的违约金。</w:t>
      </w:r>
    </w:p>
    <w:p w14:paraId="6C4B043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rPr>
        <w:t>扣款计算示例：若月度总价为120,000元，考核得分为85分，则扣除服务费为120,000×(90-85)×0.5%=3,000元，实付117,000元。</w:t>
      </w:r>
    </w:p>
    <w:p w14:paraId="3A4CB56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（四）</w:t>
      </w:r>
      <w:r>
        <w:rPr>
          <w:rFonts w:hint="eastAsia" w:ascii="仿宋_GB2312" w:hAnsi="仿宋_GB2312" w:eastAsia="仿宋_GB2312" w:cs="仿宋_GB2312"/>
          <w:b w:val="0"/>
          <w:i w:val="0"/>
          <w:spacing w:val="0"/>
          <w:kern w:val="0"/>
          <w:sz w:val="28"/>
          <w:szCs w:val="28"/>
        </w:rPr>
        <w:t>年终考核及续签要求</w:t>
      </w:r>
    </w:p>
    <w:p w14:paraId="6FF7448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年度终了，采购人将综合全年12个月的月度考核结果、满意度调查及日常检查情况，对</w:t>
      </w:r>
      <w:r>
        <w:rPr>
          <w:rFonts w:hint="eastAsia" w:ascii="仿宋_GB2312" w:hAnsi="仿宋_GB2312" w:eastAsia="仿宋_GB2312" w:cs="仿宋_GB2312"/>
          <w:b w:val="0"/>
          <w:i w:val="0"/>
          <w:spacing w:val="0"/>
          <w:kern w:val="0"/>
          <w:sz w:val="28"/>
          <w:szCs w:val="28"/>
          <w:lang w:eastAsia="zh-CN"/>
        </w:rPr>
        <w:t>成交供应商</w:t>
      </w:r>
      <w:r>
        <w:rPr>
          <w:rFonts w:hint="eastAsia" w:ascii="仿宋_GB2312" w:hAnsi="仿宋_GB2312" w:eastAsia="仿宋_GB2312" w:cs="仿宋_GB2312"/>
          <w:b w:val="0"/>
          <w:i w:val="0"/>
          <w:spacing w:val="0"/>
          <w:kern w:val="0"/>
          <w:sz w:val="28"/>
          <w:szCs w:val="28"/>
        </w:rPr>
        <w:t>进行年度考核。</w:t>
      </w:r>
    </w:p>
    <w:p w14:paraId="259BE1E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rPr>
        <w:t>续签条件：</w:t>
      </w:r>
    </w:p>
    <w:p w14:paraId="69C8A11E">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（1）</w:t>
      </w:r>
      <w:r>
        <w:rPr>
          <w:rFonts w:hint="eastAsia" w:ascii="仿宋_GB2312" w:hAnsi="仿宋_GB2312" w:eastAsia="仿宋_GB2312" w:cs="仿宋_GB2312"/>
          <w:b w:val="0"/>
          <w:i w:val="0"/>
          <w:spacing w:val="0"/>
          <w:kern w:val="0"/>
          <w:sz w:val="28"/>
          <w:szCs w:val="28"/>
        </w:rPr>
        <w:t>年度考核得分≥85分，且全年月度考核得分低于80分的次数不超过2次，双方可续签下一年度合同。</w:t>
      </w:r>
    </w:p>
    <w:p w14:paraId="34908D96">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rPr>
      </w:pPr>
      <w:r>
        <w:rPr>
          <w:rFonts w:hint="eastAsia" w:ascii="仿宋_GB2312" w:hAnsi="仿宋_GB2312" w:eastAsia="仿宋_GB2312" w:cs="仿宋_GB2312"/>
          <w:b w:val="0"/>
          <w:i w:val="0"/>
          <w:spacing w:val="0"/>
          <w:kern w:val="0"/>
          <w:sz w:val="28"/>
          <w:szCs w:val="28"/>
          <w:lang w:val="en-US" w:eastAsia="zh-CN"/>
        </w:rPr>
        <w:t>（2）</w:t>
      </w:r>
      <w:r>
        <w:rPr>
          <w:rFonts w:hint="eastAsia" w:ascii="仿宋_GB2312" w:hAnsi="仿宋_GB2312" w:eastAsia="仿宋_GB2312" w:cs="仿宋_GB2312"/>
          <w:b w:val="0"/>
          <w:i w:val="0"/>
          <w:spacing w:val="0"/>
          <w:kern w:val="0"/>
          <w:sz w:val="28"/>
          <w:szCs w:val="28"/>
        </w:rPr>
        <w:t>若年度考核得分&lt;85分，或全年月度考核得分低于80分的次数超过2次，采购人有权不再续签合同，并追究</w:t>
      </w:r>
      <w:r>
        <w:rPr>
          <w:rFonts w:hint="eastAsia" w:ascii="仿宋_GB2312" w:hAnsi="仿宋_GB2312" w:eastAsia="仿宋_GB2312" w:cs="仿宋_GB2312"/>
          <w:b w:val="0"/>
          <w:i w:val="0"/>
          <w:spacing w:val="0"/>
          <w:kern w:val="0"/>
          <w:sz w:val="28"/>
          <w:szCs w:val="28"/>
          <w:lang w:eastAsia="zh-CN"/>
        </w:rPr>
        <w:t>成交供应商</w:t>
      </w:r>
      <w:r>
        <w:rPr>
          <w:rFonts w:hint="eastAsia" w:ascii="仿宋_GB2312" w:hAnsi="仿宋_GB2312" w:eastAsia="仿宋_GB2312" w:cs="仿宋_GB2312"/>
          <w:b w:val="0"/>
          <w:i w:val="0"/>
          <w:spacing w:val="0"/>
          <w:kern w:val="0"/>
          <w:sz w:val="28"/>
          <w:szCs w:val="28"/>
        </w:rPr>
        <w:t>违约责任。</w:t>
      </w:r>
    </w:p>
    <w:p w14:paraId="2EE7F0EF">
      <w:pPr>
        <w:widowControl/>
        <w:spacing w:line="400" w:lineRule="exact"/>
        <w:rPr>
          <w:rFonts w:hint="eastAsia" w:ascii="黑体" w:hAnsi="黑体" w:eastAsia="黑体" w:cs="黑体"/>
          <w:b w:val="0"/>
          <w:i w:val="0"/>
          <w:spacing w:val="0"/>
          <w:kern w:val="0"/>
          <w:sz w:val="28"/>
          <w:szCs w:val="28"/>
          <w:lang w:eastAsia="zh-CN"/>
        </w:rPr>
      </w:pPr>
    </w:p>
    <w:p w14:paraId="3DBCA4A9">
      <w:pPr>
        <w:widowControl/>
        <w:spacing w:line="400" w:lineRule="exact"/>
        <w:rPr>
          <w:rFonts w:hint="eastAsia" w:ascii="黑体" w:hAnsi="黑体" w:eastAsia="黑体" w:cs="黑体"/>
          <w:b w:val="0"/>
          <w:i w:val="0"/>
          <w:spacing w:val="0"/>
          <w:kern w:val="0"/>
          <w:sz w:val="28"/>
          <w:szCs w:val="28"/>
          <w:lang w:eastAsia="zh-CN"/>
        </w:rPr>
      </w:pPr>
    </w:p>
    <w:p w14:paraId="3C2045FD">
      <w:pPr>
        <w:widowControl/>
        <w:spacing w:line="400" w:lineRule="exact"/>
        <w:rPr>
          <w:rFonts w:hint="default" w:ascii="仿宋_GB2312" w:hAnsi="仿宋_GB2312" w:eastAsia="仿宋_GB2312" w:cs="仿宋_GB2312"/>
          <w:b w:val="0"/>
          <w:i w:val="0"/>
          <w:spacing w:val="0"/>
          <w:kern w:val="0"/>
          <w:sz w:val="28"/>
          <w:szCs w:val="28"/>
          <w:lang w:val="en-US" w:eastAsia="zh-CN"/>
        </w:rPr>
      </w:pPr>
      <w:r>
        <w:rPr>
          <w:rFonts w:hint="eastAsia" w:ascii="黑体" w:hAnsi="黑体" w:eastAsia="黑体" w:cs="黑体"/>
          <w:b w:val="0"/>
          <w:i w:val="0"/>
          <w:spacing w:val="0"/>
          <w:kern w:val="0"/>
          <w:sz w:val="28"/>
          <w:szCs w:val="28"/>
          <w:lang w:eastAsia="zh-CN"/>
        </w:rPr>
        <w:t>附件</w:t>
      </w:r>
      <w:r>
        <w:rPr>
          <w:rFonts w:hint="eastAsia" w:ascii="黑体" w:hAnsi="黑体" w:eastAsia="黑体" w:cs="黑体"/>
          <w:b w:val="0"/>
          <w:i w:val="0"/>
          <w:spacing w:val="0"/>
          <w:kern w:val="0"/>
          <w:sz w:val="28"/>
          <w:szCs w:val="28"/>
          <w:lang w:val="en-US" w:eastAsia="zh-CN"/>
        </w:rPr>
        <w:t>1</w:t>
      </w:r>
    </w:p>
    <w:p w14:paraId="6CCDC14E">
      <w:pPr>
        <w:keepNext w:val="0"/>
        <w:keepLines w:val="0"/>
        <w:pageBreakBefore w:val="0"/>
        <w:widowControl w:val="0"/>
        <w:kinsoku/>
        <w:wordWrap/>
        <w:overflowPunct/>
        <w:topLinePunct w:val="0"/>
        <w:autoSpaceDE/>
        <w:autoSpaceDN/>
        <w:bidi w:val="0"/>
        <w:adjustRightInd/>
        <w:snapToGrid/>
        <w:spacing w:before="160" w:after="0" w:line="500" w:lineRule="exact"/>
        <w:ind w:left="0" w:right="0"/>
        <w:jc w:val="center"/>
        <w:textAlignment w:val="auto"/>
        <w:rPr>
          <w:rFonts w:hint="eastAsia" w:ascii="仿宋_GB2312" w:hAnsi="仿宋_GB2312" w:eastAsia="仿宋_GB2312" w:cs="仿宋_GB2312"/>
          <w:b/>
          <w:bCs w:val="0"/>
          <w:kern w:val="0"/>
          <w:sz w:val="24"/>
          <w:szCs w:val="24"/>
        </w:rPr>
      </w:pPr>
      <w:r>
        <w:rPr>
          <w:rFonts w:hint="eastAsia" w:ascii="仿宋_GB2312" w:hAnsi="仿宋_GB2312" w:eastAsia="仿宋_GB2312" w:cs="仿宋_GB2312"/>
          <w:b/>
          <w:bCs w:val="0"/>
          <w:i w:val="0"/>
          <w:spacing w:val="0"/>
          <w:kern w:val="0"/>
          <w:sz w:val="28"/>
          <w:szCs w:val="28"/>
        </w:rPr>
        <w:t>汉中市第一医院保洁及电梯管理服务项目月度考核表</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060"/>
        <w:gridCol w:w="4505"/>
        <w:gridCol w:w="945"/>
        <w:gridCol w:w="730"/>
      </w:tblGrid>
      <w:tr w14:paraId="09F582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60" w:type="dxa"/>
            <w:vAlign w:val="center"/>
          </w:tcPr>
          <w:p w14:paraId="56334FB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考核项目</w:t>
            </w:r>
          </w:p>
        </w:tc>
        <w:tc>
          <w:tcPr>
            <w:tcW w:w="4505" w:type="dxa"/>
            <w:vAlign w:val="center"/>
          </w:tcPr>
          <w:p w14:paraId="0E1272CF">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考核内容与标准</w:t>
            </w:r>
          </w:p>
        </w:tc>
        <w:tc>
          <w:tcPr>
            <w:tcW w:w="945" w:type="dxa"/>
            <w:vAlign w:val="center"/>
          </w:tcPr>
          <w:p w14:paraId="3F443F85">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分值</w:t>
            </w:r>
          </w:p>
        </w:tc>
        <w:tc>
          <w:tcPr>
            <w:tcW w:w="730" w:type="dxa"/>
            <w:vAlign w:val="center"/>
          </w:tcPr>
          <w:p w14:paraId="66B812FF">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得分</w:t>
            </w:r>
          </w:p>
        </w:tc>
      </w:tr>
      <w:tr w14:paraId="3CBF8F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0" w:hRule="atLeast"/>
          <w:jc w:val="center"/>
        </w:trPr>
        <w:tc>
          <w:tcPr>
            <w:tcW w:w="2060" w:type="dxa"/>
            <w:vAlign w:val="center"/>
          </w:tcPr>
          <w:p w14:paraId="2CFB90D2">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人员管理（15分）</w:t>
            </w:r>
          </w:p>
        </w:tc>
        <w:tc>
          <w:tcPr>
            <w:tcW w:w="4505" w:type="dxa"/>
            <w:vAlign w:val="center"/>
          </w:tcPr>
          <w:p w14:paraId="1BC7282E">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1.人员配置符合合同要求，无缺岗、空岗现象。（5分）2.员工着装统一，佩戴工牌，仪容仪表整洁。（5分）3.按要求参加院感及安全知识培训。（5分）</w:t>
            </w:r>
          </w:p>
        </w:tc>
        <w:tc>
          <w:tcPr>
            <w:tcW w:w="945" w:type="dxa"/>
            <w:vAlign w:val="center"/>
          </w:tcPr>
          <w:p w14:paraId="71A47B2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15</w:t>
            </w:r>
          </w:p>
        </w:tc>
        <w:tc>
          <w:tcPr>
            <w:tcW w:w="730" w:type="dxa"/>
            <w:vAlign w:val="center"/>
          </w:tcPr>
          <w:p w14:paraId="25FBEFD1">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0296C2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60" w:type="dxa"/>
            <w:vAlign w:val="center"/>
          </w:tcPr>
          <w:p w14:paraId="08F176E0">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保洁质量（50分）</w:t>
            </w:r>
          </w:p>
        </w:tc>
        <w:tc>
          <w:tcPr>
            <w:tcW w:w="4505" w:type="dxa"/>
            <w:vAlign w:val="center"/>
          </w:tcPr>
          <w:p w14:paraId="1035A75E">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地面、墙面、天花板、门窗等无明显污渍、灰尘、杂物。（15分）2.卫生间清洁无异味，洁具干净，垃圾及时清运。（10分）3.重点科室（ICU、手术室等）消毒工作符合规范。（15分）4.医疗废物分类收集、转运规范，记录完整。（10分）</w:t>
            </w:r>
          </w:p>
        </w:tc>
        <w:tc>
          <w:tcPr>
            <w:tcW w:w="945" w:type="dxa"/>
            <w:vAlign w:val="center"/>
          </w:tcPr>
          <w:p w14:paraId="61C2A4CF">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50</w:t>
            </w:r>
          </w:p>
        </w:tc>
        <w:tc>
          <w:tcPr>
            <w:tcW w:w="730" w:type="dxa"/>
            <w:vAlign w:val="center"/>
          </w:tcPr>
          <w:p w14:paraId="489EB940">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184E64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60" w:type="dxa"/>
            <w:vAlign w:val="center"/>
          </w:tcPr>
          <w:p w14:paraId="1AE5D77E">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电梯管理（15分）</w:t>
            </w:r>
          </w:p>
        </w:tc>
        <w:tc>
          <w:tcPr>
            <w:tcW w:w="4505" w:type="dxa"/>
            <w:vAlign w:val="center"/>
          </w:tcPr>
          <w:p w14:paraId="0B69C90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1.电梯轿厢内清洁、无异味，按钮、扶手无污渍。（5分）2.电梯运行值守人员在岗，秩序维护良好。（5分）3.电梯应急情况处理及时、规范。（5分）</w:t>
            </w:r>
          </w:p>
        </w:tc>
        <w:tc>
          <w:tcPr>
            <w:tcW w:w="945" w:type="dxa"/>
            <w:vAlign w:val="center"/>
          </w:tcPr>
          <w:p w14:paraId="09A3CBF1">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15</w:t>
            </w:r>
          </w:p>
        </w:tc>
        <w:tc>
          <w:tcPr>
            <w:tcW w:w="730" w:type="dxa"/>
            <w:vAlign w:val="center"/>
          </w:tcPr>
          <w:p w14:paraId="47C834B4">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43F9AA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60" w:type="dxa"/>
            <w:vAlign w:val="center"/>
          </w:tcPr>
          <w:p w14:paraId="31239E14">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响应与配合（10分）</w:t>
            </w:r>
          </w:p>
        </w:tc>
        <w:tc>
          <w:tcPr>
            <w:tcW w:w="4505" w:type="dxa"/>
            <w:vAlign w:val="center"/>
          </w:tcPr>
          <w:p w14:paraId="13058FB0">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1.对甲方提出的整改意见响应及时，整改到位。（5分）2.积极配合甲方完成临时性、突发性任务。（5分）</w:t>
            </w:r>
          </w:p>
        </w:tc>
        <w:tc>
          <w:tcPr>
            <w:tcW w:w="945" w:type="dxa"/>
            <w:vAlign w:val="center"/>
          </w:tcPr>
          <w:p w14:paraId="103A48A8">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10</w:t>
            </w:r>
          </w:p>
        </w:tc>
        <w:tc>
          <w:tcPr>
            <w:tcW w:w="730" w:type="dxa"/>
            <w:vAlign w:val="center"/>
          </w:tcPr>
          <w:p w14:paraId="2D4C71F8">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377F23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60" w:type="dxa"/>
            <w:vAlign w:val="center"/>
          </w:tcPr>
          <w:p w14:paraId="5E3D76B2">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设备与耗材（10分）</w:t>
            </w:r>
          </w:p>
        </w:tc>
        <w:tc>
          <w:tcPr>
            <w:tcW w:w="4505" w:type="dxa"/>
            <w:vAlign w:val="center"/>
          </w:tcPr>
          <w:p w14:paraId="4C1B1821">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1.清洁设备、工具维护保养良好，摆放整齐。（5分）2.药剂、耗材使用规范，无浪费现象。（5分）</w:t>
            </w:r>
          </w:p>
        </w:tc>
        <w:tc>
          <w:tcPr>
            <w:tcW w:w="945" w:type="dxa"/>
            <w:vAlign w:val="center"/>
          </w:tcPr>
          <w:p w14:paraId="3795D788">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10</w:t>
            </w:r>
          </w:p>
        </w:tc>
        <w:tc>
          <w:tcPr>
            <w:tcW w:w="730" w:type="dxa"/>
            <w:vAlign w:val="center"/>
          </w:tcPr>
          <w:p w14:paraId="49F57FDC">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74CC61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50" w:hRule="atLeast"/>
          <w:jc w:val="center"/>
        </w:trPr>
        <w:tc>
          <w:tcPr>
            <w:tcW w:w="2060" w:type="dxa"/>
            <w:vAlign w:val="center"/>
          </w:tcPr>
          <w:p w14:paraId="51C3CB1D">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合计</w:t>
            </w:r>
          </w:p>
        </w:tc>
        <w:tc>
          <w:tcPr>
            <w:tcW w:w="4505" w:type="dxa"/>
            <w:vAlign w:val="center"/>
          </w:tcPr>
          <w:p w14:paraId="1A4F4D75">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c>
          <w:tcPr>
            <w:tcW w:w="945" w:type="dxa"/>
            <w:vAlign w:val="center"/>
          </w:tcPr>
          <w:p w14:paraId="7E62C8C8">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100</w:t>
            </w:r>
          </w:p>
        </w:tc>
        <w:tc>
          <w:tcPr>
            <w:tcW w:w="730" w:type="dxa"/>
            <w:vAlign w:val="center"/>
          </w:tcPr>
          <w:p w14:paraId="7028AE52">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bl>
    <w:p w14:paraId="20F83B49">
      <w:pPr>
        <w:widowControl/>
        <w:spacing w:line="400" w:lineRule="exact"/>
        <w:rPr>
          <w:rFonts w:hint="eastAsia" w:ascii="黑体" w:hAnsi="黑体" w:eastAsia="黑体" w:cs="黑体"/>
          <w:b w:val="0"/>
          <w:bCs/>
          <w:sz w:val="28"/>
          <w:szCs w:val="28"/>
          <w:lang w:eastAsia="zh-CN"/>
        </w:rPr>
      </w:pPr>
    </w:p>
    <w:p w14:paraId="2F05E09B">
      <w:pPr>
        <w:widowControl/>
        <w:spacing w:line="400" w:lineRule="exact"/>
        <w:rPr>
          <w:rFonts w:hint="default" w:ascii="黑体" w:hAnsi="黑体" w:eastAsia="黑体" w:cs="黑体"/>
          <w:b w:val="0"/>
          <w:bCs/>
          <w:sz w:val="28"/>
          <w:szCs w:val="28"/>
          <w:lang w:val="en-US" w:eastAsia="zh-CN"/>
        </w:rPr>
      </w:pPr>
      <w:r>
        <w:rPr>
          <w:rFonts w:hint="eastAsia" w:ascii="黑体" w:hAnsi="黑体" w:eastAsia="黑体" w:cs="黑体"/>
          <w:b w:val="0"/>
          <w:bCs/>
          <w:sz w:val="28"/>
          <w:szCs w:val="28"/>
          <w:lang w:eastAsia="zh-CN"/>
        </w:rPr>
        <w:t>附件</w:t>
      </w:r>
      <w:r>
        <w:rPr>
          <w:rFonts w:hint="eastAsia" w:ascii="黑体" w:hAnsi="黑体" w:eastAsia="黑体" w:cs="黑体"/>
          <w:b w:val="0"/>
          <w:bCs/>
          <w:sz w:val="28"/>
          <w:szCs w:val="28"/>
          <w:lang w:val="en-US" w:eastAsia="zh-CN"/>
        </w:rPr>
        <w:t>2</w:t>
      </w:r>
    </w:p>
    <w:p w14:paraId="67B1ED65">
      <w:pPr>
        <w:keepNext w:val="0"/>
        <w:keepLines w:val="0"/>
        <w:pageBreakBefore w:val="0"/>
        <w:widowControl w:val="0"/>
        <w:kinsoku/>
        <w:wordWrap/>
        <w:overflowPunct/>
        <w:topLinePunct w:val="0"/>
        <w:autoSpaceDE/>
        <w:autoSpaceDN/>
        <w:bidi w:val="0"/>
        <w:adjustRightInd/>
        <w:snapToGrid/>
        <w:spacing w:before="160" w:after="0" w:line="500" w:lineRule="exact"/>
        <w:ind w:left="0" w:right="0"/>
        <w:jc w:val="center"/>
        <w:textAlignment w:val="auto"/>
        <w:rPr>
          <w:rFonts w:hint="eastAsia" w:ascii="仿宋_GB2312" w:hAnsi="仿宋_GB2312" w:eastAsia="仿宋_GB2312" w:cs="仿宋_GB2312"/>
          <w:b/>
          <w:bCs w:val="0"/>
          <w:kern w:val="0"/>
          <w:sz w:val="28"/>
          <w:szCs w:val="28"/>
        </w:rPr>
      </w:pPr>
      <w:r>
        <w:rPr>
          <w:rFonts w:hint="eastAsia" w:ascii="仿宋_GB2312" w:hAnsi="仿宋_GB2312" w:eastAsia="仿宋_GB2312" w:cs="仿宋_GB2312"/>
          <w:b/>
          <w:bCs w:val="0"/>
          <w:i w:val="0"/>
          <w:spacing w:val="0"/>
          <w:kern w:val="0"/>
          <w:sz w:val="28"/>
          <w:szCs w:val="28"/>
        </w:rPr>
        <w:t>汉中市第一医院保洁及电梯管理服务项目年度考核表</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050"/>
        <w:gridCol w:w="4530"/>
        <w:gridCol w:w="960"/>
        <w:gridCol w:w="700"/>
      </w:tblGrid>
      <w:tr w14:paraId="53E401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50" w:type="dxa"/>
            <w:vAlign w:val="center"/>
          </w:tcPr>
          <w:p w14:paraId="6E59D00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考核项目</w:t>
            </w:r>
          </w:p>
        </w:tc>
        <w:tc>
          <w:tcPr>
            <w:tcW w:w="4530" w:type="dxa"/>
            <w:vAlign w:val="center"/>
          </w:tcPr>
          <w:p w14:paraId="1F680CFE">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考核内容与标准</w:t>
            </w:r>
          </w:p>
        </w:tc>
        <w:tc>
          <w:tcPr>
            <w:tcW w:w="960" w:type="dxa"/>
            <w:vAlign w:val="center"/>
          </w:tcPr>
          <w:p w14:paraId="72037EBD">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分值</w:t>
            </w:r>
          </w:p>
        </w:tc>
        <w:tc>
          <w:tcPr>
            <w:tcW w:w="700" w:type="dxa"/>
            <w:vAlign w:val="center"/>
          </w:tcPr>
          <w:p w14:paraId="7A92075C">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得分</w:t>
            </w:r>
          </w:p>
        </w:tc>
      </w:tr>
      <w:tr w14:paraId="404A2C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50" w:type="dxa"/>
            <w:vAlign w:val="center"/>
          </w:tcPr>
          <w:p w14:paraId="478C8A26">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月度考核平均分（60分）</w:t>
            </w:r>
          </w:p>
        </w:tc>
        <w:tc>
          <w:tcPr>
            <w:tcW w:w="4530" w:type="dxa"/>
            <w:vAlign w:val="center"/>
          </w:tcPr>
          <w:p w14:paraId="527F120B">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全年12个月度考核得分的平均分×60%。</w:t>
            </w:r>
          </w:p>
        </w:tc>
        <w:tc>
          <w:tcPr>
            <w:tcW w:w="960" w:type="dxa"/>
            <w:vAlign w:val="center"/>
          </w:tcPr>
          <w:p w14:paraId="45F3020F">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60</w:t>
            </w:r>
          </w:p>
        </w:tc>
        <w:tc>
          <w:tcPr>
            <w:tcW w:w="700" w:type="dxa"/>
            <w:vAlign w:val="center"/>
          </w:tcPr>
          <w:p w14:paraId="00107D35">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48D3F5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50" w:type="dxa"/>
            <w:vAlign w:val="center"/>
          </w:tcPr>
          <w:p w14:paraId="0EF951D1">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年度综合评估（25分）</w:t>
            </w:r>
          </w:p>
        </w:tc>
        <w:tc>
          <w:tcPr>
            <w:tcW w:w="4530" w:type="dxa"/>
            <w:vAlign w:val="center"/>
          </w:tcPr>
          <w:p w14:paraId="422A13F1">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1.服务质量稳定性及持续改进情况。（10分）2.院感防控执行情况及年度内无重大院感事故发生。（10分）3.员工队伍稳定性及无重大劳资纠纷。（5分）</w:t>
            </w:r>
          </w:p>
        </w:tc>
        <w:tc>
          <w:tcPr>
            <w:tcW w:w="960" w:type="dxa"/>
            <w:vAlign w:val="center"/>
          </w:tcPr>
          <w:p w14:paraId="30E90356">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25</w:t>
            </w:r>
          </w:p>
        </w:tc>
        <w:tc>
          <w:tcPr>
            <w:tcW w:w="700" w:type="dxa"/>
            <w:vAlign w:val="center"/>
          </w:tcPr>
          <w:p w14:paraId="0007D4C2">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170AB5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2050" w:type="dxa"/>
            <w:vAlign w:val="center"/>
          </w:tcPr>
          <w:p w14:paraId="700E92B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满意度调查（15分）</w:t>
            </w:r>
          </w:p>
        </w:tc>
        <w:tc>
          <w:tcPr>
            <w:tcW w:w="4530" w:type="dxa"/>
            <w:vAlign w:val="center"/>
          </w:tcPr>
          <w:p w14:paraId="2CDCB0B1">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面向全院职工及患者进行满意度调查，满意度≥90%得15分，每降低1%扣1分。</w:t>
            </w:r>
          </w:p>
        </w:tc>
        <w:tc>
          <w:tcPr>
            <w:tcW w:w="960" w:type="dxa"/>
            <w:vAlign w:val="center"/>
          </w:tcPr>
          <w:p w14:paraId="487585BC">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15</w:t>
            </w:r>
          </w:p>
        </w:tc>
        <w:tc>
          <w:tcPr>
            <w:tcW w:w="700" w:type="dxa"/>
            <w:vAlign w:val="center"/>
          </w:tcPr>
          <w:p w14:paraId="7D5FDD8B">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r w14:paraId="1EC0A6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0" w:hRule="atLeast"/>
          <w:jc w:val="center"/>
        </w:trPr>
        <w:tc>
          <w:tcPr>
            <w:tcW w:w="2050" w:type="dxa"/>
            <w:vAlign w:val="center"/>
          </w:tcPr>
          <w:p w14:paraId="07F1B9E5">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合计</w:t>
            </w:r>
          </w:p>
        </w:tc>
        <w:tc>
          <w:tcPr>
            <w:tcW w:w="4530" w:type="dxa"/>
            <w:vAlign w:val="center"/>
          </w:tcPr>
          <w:p w14:paraId="0D85E68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c>
          <w:tcPr>
            <w:tcW w:w="960" w:type="dxa"/>
            <w:vAlign w:val="center"/>
          </w:tcPr>
          <w:p w14:paraId="3B8B6DFE">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r>
              <w:rPr>
                <w:rFonts w:hint="eastAsia" w:ascii="仿宋_GB2312" w:hAnsi="仿宋_GB2312" w:eastAsia="仿宋_GB2312" w:cs="仿宋_GB2312"/>
                <w:b w:val="0"/>
                <w:bCs/>
                <w:i w:val="0"/>
                <w:spacing w:val="0"/>
                <w:kern w:val="0"/>
                <w:sz w:val="28"/>
                <w:szCs w:val="28"/>
              </w:rPr>
              <w:t>100</w:t>
            </w:r>
          </w:p>
        </w:tc>
        <w:tc>
          <w:tcPr>
            <w:tcW w:w="700" w:type="dxa"/>
            <w:vAlign w:val="center"/>
          </w:tcPr>
          <w:p w14:paraId="2A686099">
            <w:pPr>
              <w:keepNext w:val="0"/>
              <w:keepLines w:val="0"/>
              <w:pageBreakBefore w:val="0"/>
              <w:widowControl w:val="0"/>
              <w:kinsoku/>
              <w:wordWrap/>
              <w:overflowPunct/>
              <w:topLinePunct w:val="0"/>
              <w:autoSpaceDE/>
              <w:autoSpaceDN/>
              <w:bidi w:val="0"/>
              <w:adjustRightInd/>
              <w:snapToGrid/>
              <w:spacing w:before="0" w:after="0" w:line="500" w:lineRule="exact"/>
              <w:ind w:left="0" w:right="0" w:firstLine="0"/>
              <w:jc w:val="center"/>
              <w:textAlignment w:val="auto"/>
              <w:rPr>
                <w:rFonts w:hint="eastAsia" w:ascii="仿宋_GB2312" w:hAnsi="仿宋_GB2312" w:eastAsia="仿宋_GB2312" w:cs="仿宋_GB2312"/>
                <w:b w:val="0"/>
                <w:bCs/>
                <w:kern w:val="0"/>
                <w:sz w:val="28"/>
                <w:szCs w:val="28"/>
              </w:rPr>
            </w:pPr>
          </w:p>
        </w:tc>
      </w:tr>
    </w:tbl>
    <w:p w14:paraId="10D48734">
      <w:pPr>
        <w:widowControl/>
        <w:spacing w:line="400" w:lineRule="exact"/>
        <w:rPr>
          <w:rFonts w:hint="eastAsia" w:ascii="仿宋_GB2312" w:hAnsi="仿宋_GB2312" w:eastAsia="仿宋_GB2312" w:cs="仿宋_GB2312"/>
          <w:b w:val="0"/>
          <w:bCs/>
          <w:sz w:val="24"/>
          <w:szCs w:val="24"/>
          <w:lang w:eastAsia="zh-CN"/>
        </w:rPr>
      </w:pPr>
    </w:p>
    <w:p w14:paraId="4647FF4D">
      <w:pPr>
        <w:widowControl/>
        <w:spacing w:line="400" w:lineRule="exact"/>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eastAsia="zh-CN"/>
        </w:rPr>
        <w:t>附件</w:t>
      </w:r>
      <w:r>
        <w:rPr>
          <w:rFonts w:hint="eastAsia" w:ascii="黑体" w:hAnsi="黑体" w:eastAsia="黑体" w:cs="黑体"/>
          <w:b w:val="0"/>
          <w:bCs/>
          <w:sz w:val="28"/>
          <w:szCs w:val="28"/>
          <w:lang w:val="en-US" w:eastAsia="zh-CN"/>
        </w:rPr>
        <w:t>3</w:t>
      </w:r>
    </w:p>
    <w:p w14:paraId="2ADCF9D0">
      <w:pPr>
        <w:widowControl/>
        <w:spacing w:line="400" w:lineRule="exact"/>
        <w:jc w:val="center"/>
        <w:rPr>
          <w:rFonts w:hint="eastAsia" w:ascii="方正小标宋简体" w:hAnsi="方正小标宋简体" w:eastAsia="方正小标宋简体" w:cs="方正小标宋简体"/>
          <w:b w:val="0"/>
          <w:bCs/>
          <w:sz w:val="24"/>
          <w:szCs w:val="24"/>
          <w:lang w:val="en-US" w:eastAsia="zh-CN"/>
        </w:rPr>
      </w:pPr>
      <w:r>
        <w:rPr>
          <w:rFonts w:hint="eastAsia" w:ascii="方正小标宋简体" w:hAnsi="方正小标宋简体" w:eastAsia="方正小标宋简体" w:cs="方正小标宋简体"/>
          <w:b w:val="0"/>
          <w:i w:val="0"/>
          <w:spacing w:val="0"/>
          <w:kern w:val="0"/>
          <w:sz w:val="28"/>
          <w:szCs w:val="28"/>
          <w:lang w:eastAsia="zh-CN"/>
        </w:rPr>
        <w:t>《</w:t>
      </w:r>
      <w:r>
        <w:rPr>
          <w:rFonts w:hint="eastAsia" w:ascii="方正小标宋简体" w:hAnsi="方正小标宋简体" w:eastAsia="方正小标宋简体" w:cs="方正小标宋简体"/>
          <w:b w:val="0"/>
          <w:i w:val="0"/>
          <w:spacing w:val="0"/>
          <w:kern w:val="0"/>
          <w:sz w:val="28"/>
          <w:szCs w:val="28"/>
        </w:rPr>
        <w:t>汉中市第一医院保洁服务标准操作规程</w:t>
      </w:r>
      <w:r>
        <w:rPr>
          <w:rFonts w:hint="eastAsia" w:ascii="方正小标宋简体" w:hAnsi="方正小标宋简体" w:eastAsia="方正小标宋简体" w:cs="方正小标宋简体"/>
          <w:b w:val="0"/>
          <w:i w:val="0"/>
          <w:spacing w:val="0"/>
          <w:kern w:val="0"/>
          <w:sz w:val="28"/>
          <w:szCs w:val="28"/>
          <w:lang w:eastAsia="zh-CN"/>
        </w:rPr>
        <w:t>》</w:t>
      </w:r>
    </w:p>
    <w:p w14:paraId="40B00EA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（一）、岗前准备与个人防护</w:t>
      </w:r>
    </w:p>
    <w:p w14:paraId="5F34BD9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1.着装与仪容</w:t>
      </w:r>
    </w:p>
    <w:p w14:paraId="52C867F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统一穿着医院指定的工作服，保持整洁，不佩戴戒指、手镯等饰物。</w:t>
      </w:r>
    </w:p>
    <w:p w14:paraId="4BCEEE1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right="0" w:rightChars="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头发梳理整齐并置于工作帽内，不外露。</w:t>
      </w:r>
    </w:p>
    <w:p w14:paraId="29E4951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穿防滑、易清洁的工作鞋。</w:t>
      </w:r>
    </w:p>
    <w:p w14:paraId="28FC5CC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2.个人防护装备</w:t>
      </w:r>
    </w:p>
    <w:p w14:paraId="104144D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基本防护：进入工作区域前，必须正确佩戴一次性医用口罩、一次性医用手套和工作帽。</w:t>
      </w:r>
    </w:p>
    <w:p w14:paraId="7088DA0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加强防护：处理血液、体液、呕吐物或进入隔离病区时，应加穿防水围裙或隔离衣，必要时佩戴护目镜或防护面屏。</w:t>
      </w:r>
    </w:p>
    <w:p w14:paraId="76054C1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更换原则：在不同区域之间（如从污染区到清洁区）作业时，必须更换手套，必要时更换隔离衣。</w:t>
      </w:r>
    </w:p>
    <w:p w14:paraId="315B324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3.工具与物料准备</w:t>
      </w:r>
    </w:p>
    <w:p w14:paraId="19F2735B">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检查清洁工具（如拖把、抹布、水桶、尘推）是否完好、干净。</w:t>
      </w:r>
    </w:p>
    <w:p w14:paraId="3A6E2AE9">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准备符合要求的清洁剂和消毒剂，确保在有效期内，并明确标识。</w:t>
      </w:r>
    </w:p>
    <w:p w14:paraId="229986E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严格执行工具分色管理，防止交叉污染：</w:t>
      </w:r>
    </w:p>
    <w:p w14:paraId="2A9A886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红色：专用于卫生间（便器、地面）。</w:t>
      </w:r>
    </w:p>
    <w:p w14:paraId="15DA3DF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黄色：专用于高感染风险区域（如隔离病房、检验科污染区）。</w:t>
      </w:r>
    </w:p>
    <w:p w14:paraId="4368E79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蓝色：专用于普通患者区域（如病房、护士站）。</w:t>
      </w:r>
    </w:p>
    <w:p w14:paraId="64A802A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绿色：专用于非患者区域（如行政办公室、会议室）。</w:t>
      </w:r>
    </w:p>
    <w:p w14:paraId="51A41686">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（二）、清洁作业通用原则</w:t>
      </w:r>
    </w:p>
    <w:p w14:paraId="70EF6F2C">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1.清洁顺序</w:t>
      </w:r>
    </w:p>
    <w:p w14:paraId="1C6AFC12">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遵循“从上到下，从里到外，从洁到污”的原则。</w:t>
      </w:r>
    </w:p>
    <w:p w14:paraId="49C4038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同一区域内，先清洁物体表面（如窗台、桌面、设备），后清洁地面。</w:t>
      </w:r>
    </w:p>
    <w:p w14:paraId="1C21311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先清洁相对洁净的区域（如治疗室），再清洁污染风险较高的区域（如卫生间）。</w:t>
      </w:r>
    </w:p>
    <w:p w14:paraId="09F0003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2.操作方法</w:t>
      </w:r>
    </w:p>
    <w:p w14:paraId="6FA6AC1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湿式清扫：禁止干扫，以免扬尘。地面采用湿拖把拖拭。</w:t>
      </w:r>
    </w:p>
    <w:p w14:paraId="16F1D4C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S形擦拭：清洁物体表面时，抹布应采用S形路径擦拭，避免反复涂抹。</w:t>
      </w:r>
    </w:p>
    <w:p w14:paraId="2EE18EFB">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一巾一用：每清洁一个单元（如一张病床及其周围区域）后，应更换或消毒抹布，严禁一块抹布连续擦拭多个单元。</w:t>
      </w:r>
    </w:p>
    <w:p w14:paraId="15DB98D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（三）、分区域清洁流程与标准</w:t>
      </w:r>
    </w:p>
    <w:p w14:paraId="00F161B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1.普通病房</w:t>
      </w:r>
    </w:p>
    <w:p w14:paraId="549CF1E9">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每日清洁消毒至少2次。</w:t>
      </w:r>
    </w:p>
    <w:p w14:paraId="13E7CEB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地面：使用蓝色拖把湿式清扫，再用含有效氯500mg/L的消毒液拖地。</w:t>
      </w:r>
    </w:p>
    <w:p w14:paraId="04BFC92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物体表面：使用蓝色抹布蘸取含有效氯500mg/L的消毒液，擦拭床栏、床头柜、呼叫器、门把手等高频接触表面。</w:t>
      </w:r>
    </w:p>
    <w:p w14:paraId="6B587986">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终末消毒：患者出院或转科后，立即对床单位进行全面清洁消毒。床栏、床头柜、床垫等用含有效氯500mg/L的消毒液擦拭，床垫可使用紫外线灯照射30分钟。</w:t>
      </w:r>
    </w:p>
    <w:p w14:paraId="07C6B8F6">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2.重点科室（手术室、ICU、血透室、检验科）</w:t>
      </w:r>
    </w:p>
    <w:p w14:paraId="09E64A2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由专职保洁员负责，严格执行该区域的特殊院感要求。</w:t>
      </w:r>
    </w:p>
    <w:p w14:paraId="74FD1A7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手术室：术后30分钟内启动终末清洁。地面采用“先消毒后清洁”流程，使用含有效氯1000mg/L的消毒液拖拭。设备表面用75%酒精擦拭。</w:t>
      </w:r>
    </w:p>
    <w:p w14:paraId="63335D5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检验科：实验台面每日实验前后消毒。发生标本泄漏时，立即用吸水材料覆盖，喷洒含有效氯1000mg/L的消毒剂作用30分钟后清理。</w:t>
      </w:r>
    </w:p>
    <w:p w14:paraId="29F8321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3.公共区域（门诊大厅、走廊、电梯）</w:t>
      </w:r>
    </w:p>
    <w:p w14:paraId="1B253322">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地面每日早、中、晚全面清扫3次，高峰时段每2小时巡回保洁。</w:t>
      </w:r>
    </w:p>
    <w:p w14:paraId="0CEF0FB2">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电梯轿厢：每小时消毒1次，重点擦拭按钮、扶手、内壁。</w:t>
      </w:r>
    </w:p>
    <w:p w14:paraId="62EDB502">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卫生间：每小时巡查清洁，确保无异味、便器无污垢、洗手台干燥整洁。使用红色专用工具进行清洁消毒。</w:t>
      </w:r>
    </w:p>
    <w:p w14:paraId="6BBA840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4.行政办公区</w:t>
      </w:r>
    </w:p>
    <w:p w14:paraId="16AB08F1">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每日清洁1次，垃圾日产日清。</w:t>
      </w:r>
    </w:p>
    <w:p w14:paraId="3FBEB3D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使用绿色抹布和拖把，清洁桌面、地面、门窗等。</w:t>
      </w:r>
    </w:p>
    <w:p w14:paraId="079D01DA">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注意保护办公用品，不得随意移动或翻阅文件。</w:t>
      </w:r>
    </w:p>
    <w:p w14:paraId="3B49A332">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（四）、医疗废物管理流程</w:t>
      </w:r>
    </w:p>
    <w:p w14:paraId="44EF4B9B">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1.分类收集</w:t>
      </w:r>
    </w:p>
    <w:p w14:paraId="63F360C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严格按照《医疗废物管理条例》进行分类。</w:t>
      </w:r>
    </w:p>
    <w:p w14:paraId="7C10D01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感染性废物（如棉签、纱布）放入黄色医疗废物袋。</w:t>
      </w:r>
    </w:p>
    <w:p w14:paraId="20ACE9C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损伤性废物（如针头、刀片）放入锐器盒。</w:t>
      </w:r>
    </w:p>
    <w:p w14:paraId="48488F8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生活垃圾放入黑色垃圾袋。</w:t>
      </w:r>
    </w:p>
    <w:p w14:paraId="1061AF38">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2.封口与转运</w:t>
      </w:r>
    </w:p>
    <w:p w14:paraId="6CD8094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医疗废物袋达到3/4满时，采用“鹅颈结”式封口，并贴上标签，注明科室、日期、类别。</w:t>
      </w:r>
    </w:p>
    <w:p w14:paraId="10657F0C">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每日按规定路线和时间，将医疗废物转运至医院指定的暂存点。</w:t>
      </w:r>
    </w:p>
    <w:p w14:paraId="6218A38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转运车每次使用后必须清洁消毒。</w:t>
      </w:r>
    </w:p>
    <w:p w14:paraId="3525C53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3.应急处置</w:t>
      </w:r>
    </w:p>
    <w:p w14:paraId="532B94A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发生医疗废物泄漏、扩散时，立即上报，并使用含有效氯1000mg/L的消毒剂对污染区域进行覆盖消毒。</w:t>
      </w:r>
    </w:p>
    <w:p w14:paraId="5B1531E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（五）、职业安全与应急处置</w:t>
      </w:r>
    </w:p>
    <w:p w14:paraId="6C1FE74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1.针刺伤应急处置</w:t>
      </w:r>
    </w:p>
    <w:p w14:paraId="688AD43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立即从近心端向远心端挤压伤口，挤出血液。</w:t>
      </w:r>
    </w:p>
    <w:p w14:paraId="3E7B2B2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用流动水和肥皂液冲洗伤口。</w:t>
      </w:r>
    </w:p>
    <w:p w14:paraId="67FD886D">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用75%酒精或0.5%碘伏消毒伤口。</w:t>
      </w:r>
    </w:p>
    <w:p w14:paraId="590D0752">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立即上报主管和院感科，并进行风险评估和预防用药。</w:t>
      </w:r>
    </w:p>
    <w:p w14:paraId="3260B8A0">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2.呕吐物/血液应急处置</w:t>
      </w:r>
    </w:p>
    <w:p w14:paraId="348FA2CF">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穿戴好加强防护装备（口罩、手套、隔离衣、护目镜）。</w:t>
      </w:r>
    </w:p>
    <w:p w14:paraId="365C1EB3">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用吸水材料（如干巾）完全覆盖污染物。</w:t>
      </w:r>
    </w:p>
    <w:p w14:paraId="4202476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从外向内喷洒足量含有效氯5000mg/L的消毒剂，作用30分钟。</w:t>
      </w:r>
    </w:p>
    <w:p w14:paraId="53A941B7">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小心移除吸水材料，按医疗废物处理。</w:t>
      </w:r>
    </w:p>
    <w:p w14:paraId="668DAFE4">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ind w:leftChars="0" w:right="0" w:rightChars="0" w:firstLine="560" w:firstLineChars="200"/>
        <w:jc w:val="left"/>
        <w:textAlignment w:val="auto"/>
        <w:rPr>
          <w:rFonts w:hint="eastAsia" w:ascii="仿宋_GB2312" w:hAnsi="仿宋_GB2312" w:eastAsia="仿宋_GB2312" w:cs="仿宋_GB2312"/>
          <w:b w:val="0"/>
          <w:i w:val="0"/>
          <w:spacing w:val="0"/>
          <w:kern w:val="0"/>
          <w:sz w:val="28"/>
          <w:szCs w:val="28"/>
          <w:lang w:val="en-US" w:eastAsia="zh-CN"/>
        </w:rPr>
      </w:pPr>
      <w:r>
        <w:rPr>
          <w:rFonts w:hint="eastAsia" w:ascii="仿宋_GB2312" w:hAnsi="仿宋_GB2312" w:eastAsia="仿宋_GB2312" w:cs="仿宋_GB2312"/>
          <w:b w:val="0"/>
          <w:i w:val="0"/>
          <w:spacing w:val="0"/>
          <w:kern w:val="0"/>
          <w:sz w:val="28"/>
          <w:szCs w:val="28"/>
          <w:lang w:val="en-US" w:eastAsia="zh-CN"/>
        </w:rPr>
        <w:t>再用含有效氯1000mg/L的消毒剂对污染区域及周边2米范围进行清洁消毒。</w:t>
      </w:r>
    </w:p>
    <w:p w14:paraId="6A0EE41F">
      <w:pPr>
        <w:widowControl/>
        <w:spacing w:line="400" w:lineRule="exact"/>
        <w:rPr>
          <w:rFonts w:hint="eastAsia" w:ascii="Calibri Light" w:hAnsi="Calibri Light" w:eastAsia="华文仿宋" w:cs="Calibri Light"/>
          <w:sz w:val="28"/>
          <w:szCs w:val="28"/>
          <w:lang w:eastAsia="zh-CN"/>
        </w:rPr>
      </w:pPr>
    </w:p>
    <w:p w14:paraId="2AADE1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8"/>
          <w:szCs w:val="28"/>
          <w:lang w:eastAsia="zh-CN"/>
        </w:rPr>
      </w:pPr>
      <w:r>
        <w:rPr>
          <w:rFonts w:hint="eastAsia" w:ascii="仿宋_GB2312" w:hAnsi="仿宋_GB2312" w:eastAsia="仿宋_GB2312" w:cs="仿宋_GB2312"/>
          <w:b/>
          <w:bCs/>
          <w:color w:val="auto"/>
          <w:sz w:val="28"/>
          <w:szCs w:val="28"/>
        </w:rPr>
        <w:t>备注：</w:t>
      </w:r>
      <w:r>
        <w:rPr>
          <w:rFonts w:hint="eastAsia" w:ascii="仿宋_GB2312" w:hAnsi="仿宋_GB2312" w:eastAsia="仿宋_GB2312" w:cs="仿宋_GB2312"/>
          <w:b/>
          <w:bCs/>
          <w:color w:val="auto"/>
          <w:sz w:val="28"/>
          <w:szCs w:val="28"/>
          <w:lang w:val="en-US" w:eastAsia="zh-CN"/>
        </w:rPr>
        <w:t>以上均是</w:t>
      </w:r>
      <w:r>
        <w:rPr>
          <w:rFonts w:hint="eastAsia" w:ascii="仿宋_GB2312" w:hAnsi="仿宋_GB2312" w:eastAsia="仿宋_GB2312" w:cs="仿宋_GB2312"/>
          <w:b/>
          <w:bCs/>
          <w:color w:val="auto"/>
          <w:sz w:val="28"/>
          <w:szCs w:val="28"/>
        </w:rPr>
        <w:t>★</w:t>
      </w:r>
      <w:r>
        <w:rPr>
          <w:rFonts w:hint="eastAsia" w:ascii="仿宋_GB2312" w:hAnsi="仿宋_GB2312" w:eastAsia="仿宋_GB2312" w:cs="仿宋_GB2312"/>
          <w:b/>
          <w:bCs/>
          <w:color w:val="auto"/>
          <w:sz w:val="28"/>
          <w:szCs w:val="28"/>
          <w:lang w:val="en-US" w:eastAsia="zh-CN"/>
        </w:rPr>
        <w:t>内容，</w:t>
      </w:r>
      <w:r>
        <w:rPr>
          <w:rFonts w:hint="eastAsia" w:ascii="仿宋_GB2312" w:hAnsi="仿宋_GB2312" w:eastAsia="仿宋_GB2312" w:cs="仿宋_GB2312"/>
          <w:b/>
          <w:bCs/>
          <w:color w:val="auto"/>
          <w:sz w:val="28"/>
          <w:szCs w:val="28"/>
        </w:rPr>
        <w:t>为实质性要求，</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rPr>
        <w:t>人未逐条响应、有缺漏或负偏离将视为无效</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lang w:eastAsia="zh-CN"/>
        </w:rPr>
        <w:t>。</w:t>
      </w:r>
    </w:p>
    <w:p w14:paraId="2B97A988">
      <w:bookmarkStart w:id="5" w:name="_GoBack"/>
      <w:bookmarkEnd w:id="5"/>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B945EC"/>
    <w:multiLevelType w:val="singleLevel"/>
    <w:tmpl w:val="98B945EC"/>
    <w:lvl w:ilvl="0" w:tentative="0">
      <w:start w:val="5"/>
      <w:numFmt w:val="chineseCounting"/>
      <w:suff w:val="nothing"/>
      <w:lvlText w:val="%1、"/>
      <w:lvlJc w:val="left"/>
      <w:rPr>
        <w:rFonts w:hint="eastAsia"/>
      </w:rPr>
    </w:lvl>
  </w:abstractNum>
  <w:abstractNum w:abstractNumId="1">
    <w:nsid w:val="F3BBA58B"/>
    <w:multiLevelType w:val="singleLevel"/>
    <w:tmpl w:val="F3BBA58B"/>
    <w:lvl w:ilvl="0" w:tentative="0">
      <w:start w:val="3"/>
      <w:numFmt w:val="decimal"/>
      <w:suff w:val="nothing"/>
      <w:lvlText w:val="（%1）"/>
      <w:lvlJc w:val="left"/>
    </w:lvl>
  </w:abstractNum>
  <w:abstractNum w:abstractNumId="2">
    <w:nsid w:val="3468E23B"/>
    <w:multiLevelType w:val="singleLevel"/>
    <w:tmpl w:val="3468E23B"/>
    <w:lvl w:ilvl="0" w:tentative="0">
      <w:start w:val="1"/>
      <w:numFmt w:val="chineseCounting"/>
      <w:suff w:val="nothing"/>
      <w:lvlText w:val="（%1）"/>
      <w:lvlJc w:val="left"/>
      <w:rPr>
        <w:rFonts w:hint="eastAsia"/>
      </w:rPr>
    </w:lvl>
  </w:abstractNum>
  <w:abstractNum w:abstractNumId="3">
    <w:nsid w:val="3551A4D4"/>
    <w:multiLevelType w:val="singleLevel"/>
    <w:tmpl w:val="3551A4D4"/>
    <w:lvl w:ilvl="0" w:tentative="0">
      <w:start w:val="2"/>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885F66"/>
    <w:rsid w:val="06885F66"/>
    <w:rsid w:val="71B32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2026-05-26T06:00:00Z</dcterms:created>
  <dc:creator>莲鹤</dc:creator>
  <cp:lastModifiedBy>莲鹤</cp:lastModifiedBy>
  <dcterms:modified xsi:type="dcterms:W3CDTF">2026-05-26T06:00:53Z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E063154D5D9C4D279BC30755CEB0480E_11</vt:lpwstr>
  </property>
  <property fmtid="{D5CDD505-2E9C-101B-9397-08002B2CF9AE}" pid="4" name="KSOTemplateDocerSaveRecord">
    <vt:lpwstr>eyJoZGlkIjoiNDI0MzZiZjE4ODg5YjA3M2UzOTY3ZWIxNWE2NWFjNTkiLCJ1c2VySWQiOiI3MDE1NDI4NjkifQ==</vt:lpwstr>
  </property>
</Properties>
</file>