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版本号：ZSCG-202601120260810001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骆家坝镇骆镇社区省级“千万工程”示范村奖补资金项目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ZSCG-2026011</w:t>
      </w:r>
      <w:r>
        <w:br/>
      </w:r>
      <w:r>
        <w:br/>
      </w:r>
      <w:r>
        <w:br/>
      </w:r>
    </w:p>
    <w:p>
      <w:pPr>
        <w:pStyle w:val="null3"/>
        <w:jc w:val="center"/>
        <w:outlineLvl w:val="2"/>
      </w:pPr>
      <w:r>
        <w:rPr>
          <w:rFonts w:ascii="仿宋_GB2312" w:hAnsi="仿宋_GB2312" w:cs="仿宋_GB2312" w:eastAsia="仿宋_GB2312"/>
          <w:sz w:val="28"/>
          <w:b/>
        </w:rPr>
        <w:t>西乡县骆家坝镇人民政府</w:t>
      </w:r>
    </w:p>
    <w:p>
      <w:pPr>
        <w:pStyle w:val="null3"/>
        <w:jc w:val="center"/>
        <w:outlineLvl w:val="2"/>
      </w:pPr>
      <w:r>
        <w:rPr>
          <w:rFonts w:ascii="仿宋_GB2312" w:hAnsi="仿宋_GB2312" w:cs="仿宋_GB2312" w:eastAsia="仿宋_GB2312"/>
          <w:sz w:val="28"/>
          <w:b/>
        </w:rPr>
        <w:t>中陕工程咨询有限公司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中陕工程咨询有限公司</w:t>
      </w:r>
      <w:r>
        <w:rPr>
          <w:rFonts w:ascii="仿宋_GB2312" w:hAnsi="仿宋_GB2312" w:cs="仿宋_GB2312" w:eastAsia="仿宋_GB2312"/>
        </w:rPr>
        <w:t>（以下简称“代理机构”）受</w:t>
      </w:r>
      <w:r>
        <w:rPr>
          <w:rFonts w:ascii="仿宋_GB2312" w:hAnsi="仿宋_GB2312" w:cs="仿宋_GB2312" w:eastAsia="仿宋_GB2312"/>
        </w:rPr>
        <w:t>西乡县骆家坝镇人民政府</w:t>
      </w:r>
      <w:r>
        <w:rPr>
          <w:rFonts w:ascii="仿宋_GB2312" w:hAnsi="仿宋_GB2312" w:cs="仿宋_GB2312" w:eastAsia="仿宋_GB2312"/>
        </w:rPr>
        <w:t>委托，拟对</w:t>
      </w:r>
      <w:r>
        <w:rPr>
          <w:rFonts w:ascii="仿宋_GB2312" w:hAnsi="仿宋_GB2312" w:cs="仿宋_GB2312" w:eastAsia="仿宋_GB2312"/>
        </w:rPr>
        <w:t>骆家坝镇骆镇社区省级“千万工程”示范村奖补资金项目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ZSCG-2026011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骆家坝镇骆镇社区省级“千万工程”示范村奖补资金项目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1、⻔窗75樘，百叶窗50平⽅⽶；2、给排⽔及消防:给⽔管420m、排⽔管220m、⾬⽔管 250m，灭⽕器、消防⽔⻰及相关配套管井管沟等;3、电⽓:避雷装置、接电装置各⼀套，电缆390m、桥架240m及配套设施等内容。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采购包1（骆家坝镇骆镇社区省级“千万工程”示范村奖补资金项目）：属于专门面向中小企业采购。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及拟派项目负责人资格：供应商须具备有效期内的建设行政主管部门核发的【建筑工程施工总承包三级】及以上资质等级证书，并具有安全生产许可证。提供合法有效的证书加盖供应商公章；拟派项目经理须具备建筑工程专业二级及以上注册建造师资格，并具有行业主管部门核发的（B）类安全考核合格证书，在本单位注册且无在建工程。提供合法有效的证书加盖供应商公章。项目经理无在建证明以承诺书为准</w:t>
      </w:r>
    </w:p>
    <w:p>
      <w:pPr>
        <w:pStyle w:val="null3"/>
      </w:pPr>
      <w:r>
        <w:rPr>
          <w:rFonts w:ascii="仿宋_GB2312" w:hAnsi="仿宋_GB2312" w:cs="仿宋_GB2312" w:eastAsia="仿宋_GB2312"/>
        </w:rPr>
        <w:t>4、信誉要求：供应商应具备健全的财务会计制度、履行合同所需的设备和专业技术能力、依法缴纳税收和社会保障资 金，以及参加本项目采购活动前 3 年内经营活动无重大违法记录 ； 投标人未被列入“信用中国”网站(htt ps://www.creditchina.gov.cn)“失信被执行人”“重大税收违法案件当事人名单”中，也未列入“中国政 府采购网”(https://www.ccgp.gov.cn)的“政府采购严重违法失信行为记录名单 ”；拟参与本项目的投 标人应按照汉中市财政局《关于全面推行政府采购供应商基本资格条件承诺制的通知》 (汉财办采管(20 24)20 号)文件要求，提供满足相应条件的资格承诺函</w:t>
      </w:r>
    </w:p>
    <w:p>
      <w:pPr>
        <w:pStyle w:val="null3"/>
      </w:pPr>
      <w:r>
        <w:rPr>
          <w:rFonts w:ascii="仿宋_GB2312" w:hAnsi="仿宋_GB2312" w:cs="仿宋_GB2312" w:eastAsia="仿宋_GB2312"/>
        </w:rPr>
        <w:t>5、本采购包专门面向中小企业采购：本项目专门面向中小企业采购,供应商须提供《中小企业声明函》，供应商为监狱企业的，应提供监狱企业的证明文件；供应商为残疾人福利性单位的，应提供《残疾人福利性单位声明函》 (监狱企业或残疾人福利性单位视同小型、微型企业)</w:t>
      </w:r>
    </w:p>
    <w:p>
      <w:pPr>
        <w:pStyle w:val="null3"/>
      </w:pPr>
      <w:r>
        <w:rPr>
          <w:rFonts w:ascii="仿宋_GB2312" w:hAnsi="仿宋_GB2312" w:cs="仿宋_GB2312" w:eastAsia="仿宋_GB2312"/>
        </w:rPr>
        <w:t>6、关联关系：单位负责人为同一人或者存在控股、管理关系的不同单位不得同时参加，需提供书面声明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西乡县骆家坝镇人民政府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西乡县骆家坝镇骆镇新街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西乡县骆家坝镇人民政府经办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17792192122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中陕工程咨询有限公司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陕西省西安市碑林区长安北路1号陕西国际会展大厦1幢1单元27层12701号房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18329465761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采购包1：784,338.14元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开户名称：中陕⼯程咨询有限公司汉中分公司</w:t>
            </w:r>
          </w:p>
          <w:p>
            <w:pPr>
              <w:pStyle w:val="null3"/>
            </w:pPr>
            <w:r>
              <w:rPr>
                <w:rFonts w:ascii="仿宋_GB2312" w:hAnsi="仿宋_GB2312" w:cs="仿宋_GB2312" w:eastAsia="仿宋_GB2312"/>
              </w:rPr>
              <w:t>开户银行：中国银⾏股份有限公司汉中陕西理⼯⼤学⽀⾏</w:t>
            </w:r>
          </w:p>
          <w:p>
            <w:pPr>
              <w:pStyle w:val="null3"/>
            </w:pPr>
            <w:r>
              <w:rPr>
                <w:rFonts w:ascii="仿宋_GB2312" w:hAnsi="仿宋_GB2312" w:cs="仿宋_GB2312" w:eastAsia="仿宋_GB2312"/>
              </w:rPr>
              <w:t>银行账号：103300926235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西乡县骆家坝镇人民政府</w:t>
      </w:r>
      <w:r>
        <w:rPr>
          <w:rFonts w:ascii="仿宋_GB2312" w:hAnsi="仿宋_GB2312" w:cs="仿宋_GB2312" w:eastAsia="仿宋_GB2312"/>
        </w:rPr>
        <w:t>和</w:t>
      </w:r>
      <w:r>
        <w:rPr>
          <w:rFonts w:ascii="仿宋_GB2312" w:hAnsi="仿宋_GB2312" w:cs="仿宋_GB2312" w:eastAsia="仿宋_GB2312"/>
        </w:rPr>
        <w:t>中陕工程咨询有限公司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西乡县骆家坝镇人民政府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中陕工程咨询有限公司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西乡县骆家坝镇人民政府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中陕工程咨询有限公司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 ⼿册等技术资料，并承诺提供⽆限期⽀持，采购⼈享有使⽤权（含采购⼈委托第三⽅在该项⽬后续开发的使⽤权）。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主要依据行业主管部门规定的标准、方法和内容进行验收，同时需遵循国家强制性标准、法律法规以及合同约定的各项要求。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联系电话：18329465761</w:t>
      </w:r>
    </w:p>
    <w:p>
      <w:pPr>
        <w:pStyle w:val="null3"/>
      </w:pPr>
      <w:r>
        <w:rPr>
          <w:rFonts w:ascii="仿宋_GB2312" w:hAnsi="仿宋_GB2312" w:cs="仿宋_GB2312" w:eastAsia="仿宋_GB2312"/>
        </w:rPr>
        <w:t>地址：陕西省汉中市汉台区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784,338.14</w:t>
      </w:r>
    </w:p>
    <w:p>
      <w:pPr>
        <w:pStyle w:val="null3"/>
      </w:pPr>
      <w:r>
        <w:rPr>
          <w:rFonts w:ascii="仿宋_GB2312" w:hAnsi="仿宋_GB2312" w:cs="仿宋_GB2312" w:eastAsia="仿宋_GB2312"/>
        </w:rPr>
        <w:t>采购包最高限价（元）: 784,338.14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骆家坝镇骆镇社区省级“千万工程”示范村奖补资金项目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784,338.14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标的名称：骆家坝镇骆镇社区省级“千万工程”示范村奖补资金项目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主要建设内容为：1、门窗75樘，百叶窗50平方米；2、给排水及消防:给水管420m、排水管220m、雨水管250m，灭火器、消防水龙及相关配套管井管沟等;3、电气:避雷装置、接电装置各一套，电缆390m、桥架240m及配套设施等内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6"/>
                <w:color w:val="000000"/>
              </w:rPr>
              <w:t>⼯期：45日历天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投标有效期：从提交首次响应文件截止之日起，不少于</w:t>
            </w:r>
            <w:r>
              <w:rPr>
                <w:rFonts w:ascii="仿宋_GB2312" w:hAnsi="仿宋_GB2312" w:cs="仿宋_GB2312" w:eastAsia="仿宋_GB2312"/>
                <w:sz w:val="21"/>
              </w:rPr>
              <w:t>90天。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工程质量：达到国家现行施工验收规范</w:t>
            </w:r>
            <w:r>
              <w:rPr>
                <w:rFonts w:ascii="仿宋_GB2312" w:hAnsi="仿宋_GB2312" w:cs="仿宋_GB2312" w:eastAsia="仿宋_GB2312"/>
                <w:sz w:val="21"/>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施工质量达到国家现行施工验收规范“合格”标准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 2.供应商提交的已标价工程量清单应符合本项目工程量清单以及清单说明的要求。 3.供应商报价超过政府采购预算或最高限价（金额详见“供应商须知前附表”）的，其响应文件按无效处理。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 2.供应商提交的已标价工程量清单应符合本项目工程量清单以及清单说明的要求。 3.供应商报价超过政府采购预算或最高限价（金额详见“供应商须知前附表”）的，其响应文件按无效处理。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 推行政府采购供应商基本 资格条件承诺制的通知》 (汉财办采 (2024)20号)文件要求，提供满足相应条件的资格承诺函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备有效期内的建设行政主管部门核发的【建筑工程施工总承包三级】及以上资质等级证书，并具有安全生产许可证。提供合法有效的证书加盖供应商公章；拟派项目经理须具备建筑工程专业二级及以上注册建造师资格，并具有行业主管部门核发的（B）类安全考核合格证书，在本单位注册且无在建工程。提供合法有效的证书加盖供应商公章。项目经理无在建证明以承诺书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 金，以及参加本项目采购活动前 3 年内经营活动无重大违法记录 ； 投标人未被列入“信用中国”网站(htt ps://www.creditchina.gov.cn)“失信被执行人”“重大税收违法案件当事人名单”中，也未列入“中国政 府采购网”(https://www.ccgp.gov.cn)的“政府采购严重违法失信行为记录名单 ”；拟参与本项目的投 标人应按照汉中市财政局《关于全面推行政府采购供应商基本资格条件承诺制的通知》 (汉财办采管(20 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本项目专门面向中小企业采购,供应商须提供《中小企业声明函》，供应商为监狱企业的，应提供监狱企业的证明文件；供应商为残疾人福利性单位的，应提供《残疾人福利性单位声明函》 (监狱企业或残疾人福利性单位视同小型、微型企业)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响应⽂件内容格式</w:t>
            </w:r>
          </w:p>
        </w:tc>
        <w:tc>
          <w:tcPr>
            <w:tcW w:type="dxa" w:w="3322"/>
          </w:tcPr>
          <w:p>
            <w:pPr>
              <w:pStyle w:val="null3"/>
            </w:pPr>
            <w:r>
              <w:rPr>
                <w:rFonts w:ascii="仿宋_GB2312" w:hAnsi="仿宋_GB2312" w:cs="仿宋_GB2312" w:eastAsia="仿宋_GB2312"/>
              </w:rPr>
              <w:t>供应商响应⽂件按照规定的格式和内容填写，内容清晰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技术部分方案.docx 汉中市政府采购供应商资格承诺函.docx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响应报价符合性</w:t>
            </w:r>
          </w:p>
        </w:tc>
        <w:tc>
          <w:tcPr>
            <w:tcW w:type="dxa" w:w="3322"/>
          </w:tcPr>
          <w:p>
            <w:pPr>
              <w:pStyle w:val="null3"/>
            </w:pPr>
            <w:r>
              <w:rPr>
                <w:rFonts w:ascii="仿宋_GB2312" w:hAnsi="仿宋_GB2312" w:cs="仿宋_GB2312" w:eastAsia="仿宋_GB2312"/>
              </w:rPr>
              <w:t>供应商响应⽂件报价符合竞争性磋商⽂件的要求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⼯期与质量</w:t>
            </w:r>
          </w:p>
        </w:tc>
        <w:tc>
          <w:tcPr>
            <w:tcW w:type="dxa" w:w="3322"/>
          </w:tcPr>
          <w:p>
            <w:pPr>
              <w:pStyle w:val="null3"/>
            </w:pPr>
            <w:r>
              <w:rPr>
                <w:rFonts w:ascii="仿宋_GB2312" w:hAnsi="仿宋_GB2312" w:cs="仿宋_GB2312" w:eastAsia="仿宋_GB2312"/>
              </w:rPr>
              <w:t>供应商响应⽂件载明的采购项⽬完成期限未超过竞争性磋商⽂件规定的时限，质量符合竞争性磋商⽂件要求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供应商响应⽂件未附有违背法律法规和政府规章规定的其他条件；供应商响应⽂件符合竞争性磋商⽂件中规定的其他实质性要求</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 2023年1月1日至今完成的类似项目业绩，每提供一个合格业绩得2分，满分6分。 注：业绩以合同（协议书)复印件加盖公章为准，时间以合同签订时间为准。上述证明材料缺一项不得分。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实施的特点进行分析，方案内容包括1.本项目施工特点的需求理解；2.总体施工方案及组织措施；3.影响正常施工外在因素分析及对应预案；4.本项目实施合理化建议。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包括：1.质量管理工作流程；2.工程质量保障措施内容；3.工程质量控制体系；4.材料和构配件的质量控制。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供应商针对本项目编制安全生产技术组织措施，措施内容包括1.安全生产管理制度；2.配置安全组织机构；3.安全隐患排查、整改措施；4.对本项目风险点的识别及应急措施。 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确保工期进度的技术组织措施</w:t>
            </w:r>
          </w:p>
        </w:tc>
        <w:tc>
          <w:tcPr>
            <w:tcW w:type="dxa" w:w="2492"/>
          </w:tcPr>
          <w:p>
            <w:pPr>
              <w:pStyle w:val="null3"/>
            </w:pPr>
            <w:r>
              <w:rPr>
                <w:rFonts w:ascii="仿宋_GB2312" w:hAnsi="仿宋_GB2312" w:cs="仿宋_GB2312" w:eastAsia="仿宋_GB2312"/>
              </w:rPr>
              <w:t>确保工期进度的技术组织措施包括1.进度安排计划与部署;2.进度控制措施;3.工期目标控制和保证措施;4.劳动力与资源保障。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文明施工措施及环境保障措施</w:t>
            </w:r>
          </w:p>
        </w:tc>
        <w:tc>
          <w:tcPr>
            <w:tcW w:type="dxa" w:w="2492"/>
          </w:tcPr>
          <w:p>
            <w:pPr>
              <w:pStyle w:val="null3"/>
            </w:pPr>
            <w:r>
              <w:rPr>
                <w:rFonts w:ascii="仿宋_GB2312" w:hAnsi="仿宋_GB2312" w:cs="仿宋_GB2312" w:eastAsia="仿宋_GB2312"/>
              </w:rPr>
              <w:t>文明施工措施及环境保障措施包括1.文明及环境保护管理制度；2.结合施工进度及现场环境的理解的防尘降噪措施；3.针对第三方因施工产生投诉的应急预案；4.文明及环境保护施工监督检查机制。 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针对本项目的重点部位、关键节点和难点把控措施</w:t>
            </w:r>
          </w:p>
        </w:tc>
        <w:tc>
          <w:tcPr>
            <w:tcW w:type="dxa" w:w="2492"/>
          </w:tcPr>
          <w:p>
            <w:pPr>
              <w:pStyle w:val="null3"/>
            </w:pPr>
            <w:r>
              <w:rPr>
                <w:rFonts w:ascii="仿宋_GB2312" w:hAnsi="仿宋_GB2312" w:cs="仿宋_GB2312" w:eastAsia="仿宋_GB2312"/>
              </w:rPr>
              <w:t>针对本项目的重点部位、关键节点和难点把控措施包括1.明确重点部位与关键节点；2.制定详细施工方案与技术交底；3.加强监测与验收；4.制定针对性应急预案等。 以上各项内容全面详细、阐述条理清晰得8分，每缺一项扣2分，每项中的内容存在缺陷，扣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供应商针对本项目有具体的配置人员专业、数量、职称及相关经验，详细的实施人员安排，分工合理、责任明确。包括但不限于：①团队人员配置清单及岗位职责、且证书证件合格有效；②提供人员到场及不更换人员承诺。以上各项内容全面明确、阐述条理清晰得10分，每缺一项扣5分，每项中的内容存在缺陷，扣0.1-4.9分，扣完为止。 备注：缺陷是指内容不合理、虽有内容但不完善、内容表述前后不一致、套用其他 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价格分采用低价优先法得算，即满足磋商文件要求且投标报价最低的报价为评标基准价，其价格分为满分。其他投标人的价格分统一按照下列公式得算：报价得分=(评标基准价／投标报价)×30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