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版本号：ZJDY-HZCG-2026-1220260709001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2026年南郑区濂水镇流西河村绿色渔业循环养殖基地项目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ZJDY-HZCG-2026-12</w:t>
      </w:r>
      <w:r>
        <w:br/>
      </w:r>
      <w:r>
        <w:br/>
      </w:r>
      <w:r>
        <w:br/>
      </w:r>
    </w:p>
    <w:p>
      <w:pPr>
        <w:pStyle w:val="null3"/>
        <w:jc w:val="center"/>
        <w:outlineLvl w:val="2"/>
      </w:pPr>
      <w:r>
        <w:rPr>
          <w:rFonts w:ascii="仿宋_GB2312" w:hAnsi="仿宋_GB2312" w:cs="仿宋_GB2312" w:eastAsia="仿宋_GB2312"/>
          <w:sz w:val="28"/>
          <w:b/>
        </w:rPr>
        <w:t>汉中市南郑区濂水镇人民政府</w:t>
      </w:r>
    </w:p>
    <w:p>
      <w:pPr>
        <w:pStyle w:val="null3"/>
        <w:jc w:val="center"/>
        <w:outlineLvl w:val="2"/>
      </w:pPr>
      <w:r>
        <w:rPr>
          <w:rFonts w:ascii="仿宋_GB2312" w:hAnsi="仿宋_GB2312" w:cs="仿宋_GB2312" w:eastAsia="仿宋_GB2312"/>
          <w:sz w:val="28"/>
          <w:b/>
        </w:rPr>
        <w:t>中佳鼎运建设管理有限公司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中佳鼎运建设管理有限公司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汉中市南郑区濂水镇人民政府</w:t>
      </w:r>
      <w:r>
        <w:rPr>
          <w:rFonts w:ascii="仿宋_GB2312" w:hAnsi="仿宋_GB2312" w:cs="仿宋_GB2312" w:eastAsia="仿宋_GB2312"/>
        </w:rPr>
        <w:t>委托，拟对</w:t>
      </w:r>
      <w:r>
        <w:rPr>
          <w:rFonts w:ascii="仿宋_GB2312" w:hAnsi="仿宋_GB2312" w:cs="仿宋_GB2312" w:eastAsia="仿宋_GB2312"/>
        </w:rPr>
        <w:t>2026年南郑区濂水镇流西河村绿色渔业循环养殖基地项目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ZJDY-HZCG-2026-12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2026年南郑区濂水镇流西河村绿色渔业循环养殖基地项目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168模式标准养殖池10个，新建4.5米宽砂石路537.74米，新建1.5米土塘坎398.53米，新建2.0米土塘坎1128.01米，改造修复浆砌石水渠351.2米，改造修复U型渠612.1米，新建50米抗旱井2座，购买成品集装箱3个，生态修复460平方米等。具体建设内容以工程量清单描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采购包1（2026年南郑区濂水镇流西河村绿色渔业循环养殖基地项目）：属于专门面向中小企业采购。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供应商为具有独立承担民事责任能力的企业法人、事业法人、其他组织，提供合法有效的营业执照（事业单位须事业单位法人证、组织机构代码证等证明文件；其他组织应提供合法证明文件）；</w:t>
      </w:r>
    </w:p>
    <w:p>
      <w:pPr>
        <w:pStyle w:val="null3"/>
      </w:pPr>
      <w:r>
        <w:rPr>
          <w:rFonts w:ascii="仿宋_GB2312" w:hAnsi="仿宋_GB2312" w:cs="仿宋_GB2312" w:eastAsia="仿宋_GB2312"/>
        </w:rPr>
        <w:t>2、法定代表人或被授权委托代理人身份证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3、企业资格要求：供应商具有行政主管部门核发的市政公用工程施工总承包三级（含三级）及以上资质，且具有有效的安全生产许可证；</w:t>
      </w:r>
    </w:p>
    <w:p>
      <w:pPr>
        <w:pStyle w:val="null3"/>
      </w:pPr>
      <w:r>
        <w:rPr>
          <w:rFonts w:ascii="仿宋_GB2312" w:hAnsi="仿宋_GB2312" w:cs="仿宋_GB2312" w:eastAsia="仿宋_GB2312"/>
        </w:rPr>
        <w:t>4、项目经理资格要求：拟派项目经理须具备市政公用工程专业二级（含二级）以上注册建造师资格和安全生产考核合格B证，且无在建项目（需提供无在建承诺书）；</w:t>
      </w:r>
    </w:p>
    <w:p>
      <w:pPr>
        <w:pStyle w:val="null3"/>
      </w:pPr>
      <w:r>
        <w:rPr>
          <w:rFonts w:ascii="仿宋_GB2312" w:hAnsi="仿宋_GB2312" w:cs="仿宋_GB2312" w:eastAsia="仿宋_GB2312"/>
        </w:rPr>
        <w:t>5、供应商信誉：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6、其他：本项目不接受联合体磋商（提供非联合体声明）；</w:t>
      </w:r>
    </w:p>
    <w:p>
      <w:pPr>
        <w:pStyle w:val="null3"/>
      </w:pPr>
      <w:r>
        <w:rPr>
          <w:rFonts w:ascii="仿宋_GB2312" w:hAnsi="仿宋_GB2312" w:cs="仿宋_GB2312" w:eastAsia="仿宋_GB2312"/>
        </w:rPr>
        <w:t>7、中小企业声明函：本项目专门面向中小企业采购(提供中小企业声明函)。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汉中市南郑区濂水镇人民政府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濂水镇濂水街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18391628889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中佳鼎运建设管理有限公司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陕西省汉中市汉台区东关街道办事处中饮国际办公中C8楼8026号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13571677736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开户名称：中佳鼎运建设管理有限公司汉中分公司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银行账号：2606053909200098484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汉中市南郑区濂水镇人民政府</w:t>
      </w:r>
      <w:r>
        <w:rPr>
          <w:rFonts w:ascii="仿宋_GB2312" w:hAnsi="仿宋_GB2312" w:cs="仿宋_GB2312" w:eastAsia="仿宋_GB2312"/>
        </w:rPr>
        <w:t>和</w:t>
      </w:r>
      <w:r>
        <w:rPr>
          <w:rFonts w:ascii="仿宋_GB2312" w:hAnsi="仿宋_GB2312" w:cs="仿宋_GB2312" w:eastAsia="仿宋_GB2312"/>
        </w:rPr>
        <w:t>中佳鼎运建设管理有限公司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汉中市南郑区濂水镇人民政府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中佳鼎运建设管理有限公司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汉中市南郑区濂水镇人民政府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中佳鼎运建设管理有限公司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联系人：邹丽</w:t>
      </w:r>
    </w:p>
    <w:p>
      <w:pPr>
        <w:pStyle w:val="null3"/>
      </w:pPr>
      <w:r>
        <w:rPr>
          <w:rFonts w:ascii="仿宋_GB2312" w:hAnsi="仿宋_GB2312" w:cs="仿宋_GB2312" w:eastAsia="仿宋_GB2312"/>
        </w:rPr>
        <w:t>联系电话：13571677736</w:t>
      </w:r>
    </w:p>
    <w:p>
      <w:pPr>
        <w:pStyle w:val="null3"/>
      </w:pPr>
      <w:r>
        <w:rPr>
          <w:rFonts w:ascii="仿宋_GB2312" w:hAnsi="仿宋_GB2312" w:cs="仿宋_GB2312" w:eastAsia="仿宋_GB2312"/>
        </w:rPr>
        <w:t>地址：陕西省汉中市汉台区东关街道办事处中饮国际办公中C8楼8026号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2,700,000.00</w:t>
      </w:r>
    </w:p>
    <w:p>
      <w:pPr>
        <w:pStyle w:val="null3"/>
      </w:pPr>
      <w:r>
        <w:rPr>
          <w:rFonts w:ascii="仿宋_GB2312" w:hAnsi="仿宋_GB2312" w:cs="仿宋_GB2312" w:eastAsia="仿宋_GB2312"/>
        </w:rPr>
        <w:t>采购包最高限价（元）: 2,691,104.15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2026年南郑区濂水镇流西河村绿色渔业循环养殖基地项目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标的名称：2026年南郑区濂水镇流西河村绿色渔业循环养殖基地项目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rPr>
              <w:t>一、工程概况</w:t>
            </w:r>
          </w:p>
          <w:p>
            <w:pPr>
              <w:pStyle w:val="null3"/>
              <w:ind w:firstLine="560"/>
              <w:jc w:val="left"/>
            </w:pPr>
            <w:r>
              <w:rPr>
                <w:rFonts w:ascii="仿宋_GB2312" w:hAnsi="仿宋_GB2312" w:cs="仿宋_GB2312" w:eastAsia="仿宋_GB2312"/>
                <w:sz w:val="28"/>
              </w:rPr>
              <w:t>本工程图纸由中晟恒昌设计集团有限公司设计。主要建设内容：新建</w:t>
            </w:r>
            <w:r>
              <w:rPr>
                <w:rFonts w:ascii="仿宋_GB2312" w:hAnsi="仿宋_GB2312" w:cs="仿宋_GB2312" w:eastAsia="仿宋_GB2312"/>
                <w:sz w:val="28"/>
              </w:rPr>
              <w:t>168模式标准养殖池10个，新建4.5米宽砂石路537.74米，新建1.5米土塘坎398.53米，新建2.0米土塘坎1128.01米，改造修复浆砌石水渠351.2米，改造修复U型渠612.1米，新建50m抗旱井2座，购买成品集装箱3个，生态修复460平方米等。具体建设内容以工程量清单描述为准。</w:t>
            </w:r>
          </w:p>
          <w:p>
            <w:pPr>
              <w:pStyle w:val="null3"/>
              <w:ind w:right="-180"/>
              <w:jc w:val="left"/>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both"/>
            </w:pPr>
            <w:r>
              <w:rPr>
                <w:rFonts w:ascii="仿宋_GB2312" w:hAnsi="仿宋_GB2312" w:cs="仿宋_GB2312" w:eastAsia="仿宋_GB2312"/>
                <w:sz w:val="28"/>
              </w:rPr>
              <w:t>1、依据汉中市南郑区</w:t>
            </w:r>
            <w:r>
              <w:rPr>
                <w:rFonts w:ascii="仿宋_GB2312" w:hAnsi="仿宋_GB2312" w:cs="仿宋_GB2312" w:eastAsia="仿宋_GB2312"/>
                <w:sz w:val="28"/>
              </w:rPr>
              <w:t>濂水</w:t>
            </w:r>
            <w:r>
              <w:rPr>
                <w:rFonts w:ascii="仿宋_GB2312" w:hAnsi="仿宋_GB2312" w:cs="仿宋_GB2312" w:eastAsia="仿宋_GB2312"/>
                <w:sz w:val="28"/>
              </w:rPr>
              <w:t>镇人民政府提供的</w:t>
            </w:r>
            <w:r>
              <w:rPr>
                <w:rFonts w:ascii="仿宋_GB2312" w:hAnsi="仿宋_GB2312" w:cs="仿宋_GB2312" w:eastAsia="仿宋_GB2312"/>
                <w:sz w:val="28"/>
              </w:rPr>
              <w:t>施工</w:t>
            </w:r>
            <w:r>
              <w:rPr>
                <w:rFonts w:ascii="仿宋_GB2312" w:hAnsi="仿宋_GB2312" w:cs="仿宋_GB2312" w:eastAsia="仿宋_GB2312"/>
                <w:sz w:val="28"/>
              </w:rPr>
              <w:t>图纸等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2、《陕西省工程建设标准之建设工程工程量清单计价标准》(2025)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3、《陕西省工程建设标准之工程量计算标准》(2025)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4、《陕西省建设工程费用规则(2025)》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陕西省基价表(房屋建筑、装饰工程、通用安装、市政、园林绿化、地下综合管廊、绿色建筑)(2025)》、《陕西省消耗量定额(房屋建筑、装饰工程、通用安装、市政、园林绿化、地下综合管廊、绿色建筑)(2025)》、《陕西省建设工程施工机械台班费用定额(2025)》、《陕西省建设工程施工仪器仪表台班费用定额(2025)》及配套使用的相关计价文件、其他相关计价依据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6、主要材料价按汉中市工程造价管理办公室发布的《汉中建设工程造价信息》202</w:t>
            </w:r>
            <w:r>
              <w:rPr>
                <w:rFonts w:ascii="仿宋_GB2312" w:hAnsi="仿宋_GB2312" w:cs="仿宋_GB2312" w:eastAsia="仿宋_GB2312"/>
                <w:sz w:val="28"/>
              </w:rPr>
              <w:t>6</w:t>
            </w:r>
            <w:r>
              <w:rPr>
                <w:rFonts w:ascii="仿宋_GB2312" w:hAnsi="仿宋_GB2312" w:cs="仿宋_GB2312" w:eastAsia="仿宋_GB2312"/>
                <w:sz w:val="28"/>
              </w:rPr>
              <w:t>年第</w:t>
            </w:r>
            <w:r>
              <w:rPr>
                <w:rFonts w:ascii="仿宋_GB2312" w:hAnsi="仿宋_GB2312" w:cs="仿宋_GB2312" w:eastAsia="仿宋_GB2312"/>
                <w:sz w:val="28"/>
              </w:rPr>
              <w:t>4</w:t>
            </w:r>
            <w:r>
              <w:rPr>
                <w:rFonts w:ascii="仿宋_GB2312" w:hAnsi="仿宋_GB2312" w:cs="仿宋_GB2312" w:eastAsia="仿宋_GB2312"/>
                <w:sz w:val="28"/>
              </w:rPr>
              <w:t>期材料价、当前建筑材料市场价综合计入</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三、问题说明</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168模式标准养殖池</w:t>
            </w:r>
            <w:r>
              <w:rPr>
                <w:rFonts w:ascii="仿宋_GB2312" w:hAnsi="仿宋_GB2312" w:cs="仿宋_GB2312" w:eastAsia="仿宋_GB2312"/>
                <w:sz w:val="28"/>
              </w:rPr>
              <w:t>，暂定综合单价</w:t>
            </w:r>
            <w:r>
              <w:rPr>
                <w:rFonts w:ascii="仿宋_GB2312" w:hAnsi="仿宋_GB2312" w:cs="仿宋_GB2312" w:eastAsia="仿宋_GB2312"/>
                <w:sz w:val="28"/>
              </w:rPr>
              <w:t>110000元/座，据实结算；</w:t>
            </w:r>
          </w:p>
          <w:p>
            <w:pPr>
              <w:pStyle w:val="null3"/>
              <w:ind w:firstLine="560"/>
              <w:jc w:val="left"/>
            </w:pPr>
            <w:r>
              <w:rPr>
                <w:rFonts w:ascii="仿宋_GB2312" w:hAnsi="仿宋_GB2312" w:cs="仿宋_GB2312" w:eastAsia="仿宋_GB2312"/>
                <w:sz w:val="28"/>
              </w:rPr>
              <w:t>2、50m灌溉井，暂定综合单价40000元/座,据实结算；</w:t>
            </w:r>
          </w:p>
          <w:p>
            <w:pPr>
              <w:pStyle w:val="null3"/>
              <w:ind w:firstLine="560"/>
              <w:jc w:val="left"/>
            </w:pPr>
            <w:r>
              <w:rPr>
                <w:rFonts w:ascii="仿宋_GB2312" w:hAnsi="仿宋_GB2312" w:cs="仿宋_GB2312" w:eastAsia="仿宋_GB2312"/>
                <w:sz w:val="28"/>
              </w:rPr>
              <w:t>3、成品40U型渠，暂定综合单价80元/m,据实结算；</w:t>
            </w:r>
          </w:p>
          <w:p>
            <w:pPr>
              <w:pStyle w:val="null3"/>
              <w:ind w:firstLine="560"/>
              <w:jc w:val="left"/>
            </w:pPr>
            <w:r>
              <w:rPr>
                <w:rFonts w:ascii="仿宋_GB2312" w:hAnsi="仿宋_GB2312" w:cs="仿宋_GB2312" w:eastAsia="仿宋_GB2312"/>
                <w:sz w:val="28"/>
              </w:rPr>
              <w:t>4、成品集装箱，暂定综合单价7000元/个,据实结算；</w:t>
            </w:r>
          </w:p>
          <w:p>
            <w:pPr>
              <w:pStyle w:val="null3"/>
              <w:ind w:firstLine="560"/>
              <w:jc w:val="left"/>
            </w:pPr>
            <w:r>
              <w:rPr>
                <w:rFonts w:ascii="仿宋_GB2312" w:hAnsi="仿宋_GB2312" w:cs="仿宋_GB2312" w:eastAsia="仿宋_GB2312"/>
                <w:sz w:val="28"/>
              </w:rPr>
              <w:t>5、余方弃置，运距暂按5KM考虑；</w:t>
            </w:r>
          </w:p>
          <w:p>
            <w:pPr>
              <w:pStyle w:val="null3"/>
              <w:ind w:firstLine="560"/>
              <w:jc w:val="left"/>
            </w:pPr>
            <w:r>
              <w:rPr>
                <w:rFonts w:ascii="仿宋_GB2312" w:hAnsi="仿宋_GB2312" w:cs="仿宋_GB2312" w:eastAsia="仿宋_GB2312"/>
                <w:sz w:val="28"/>
                <w:b/>
              </w:rPr>
              <w:t>四、工期：</w:t>
            </w:r>
            <w:r>
              <w:rPr>
                <w:rFonts w:ascii="仿宋_GB2312" w:hAnsi="仿宋_GB2312" w:cs="仿宋_GB2312" w:eastAsia="仿宋_GB2312"/>
                <w:sz w:val="28"/>
                <w:b/>
              </w:rPr>
              <w:t>180日历天</w:t>
            </w:r>
          </w:p>
          <w:p>
            <w:pPr>
              <w:pStyle w:val="null3"/>
              <w:jc w:val="both"/>
            </w:pPr>
            <w:r>
              <w:rPr>
                <w:rFonts w:ascii="仿宋_GB2312" w:hAnsi="仿宋_GB2312" w:cs="仿宋_GB2312" w:eastAsia="仿宋_GB2312"/>
                <w:sz w:val="28"/>
                <w:b/>
              </w:rPr>
              <w:t xml:space="preserve">    质量：合格</w:t>
            </w:r>
          </w:p>
          <w:p>
            <w:pPr>
              <w:pStyle w:val="null3"/>
              <w:ind w:firstLine="843"/>
              <w:jc w:val="both"/>
            </w:pPr>
            <w:r>
              <w:rPr>
                <w:rFonts w:ascii="仿宋_GB2312" w:hAnsi="仿宋_GB2312" w:cs="仿宋_GB2312" w:eastAsia="仿宋_GB2312"/>
                <w:sz w:val="21"/>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符合行业相关建设标准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供应商认为其他需要说明的材料.docx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供应商为具有独立承担民事责任能力的企业法人、事业法人、其他组织，提供合法有效的营业执照（事业单位须事业单位法人证、组织机构代码证等证明文件；其他组织应提供合法证明文件）；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法定代表人或被授权委托代理人身份证证明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企业资格要求</w:t>
            </w:r>
          </w:p>
        </w:tc>
        <w:tc>
          <w:tcPr>
            <w:tcW w:type="dxa" w:w="3322"/>
          </w:tcPr>
          <w:p>
            <w:pPr>
              <w:pStyle w:val="null3"/>
            </w:pPr>
            <w:r>
              <w:rPr>
                <w:rFonts w:ascii="仿宋_GB2312" w:hAnsi="仿宋_GB2312" w:cs="仿宋_GB2312" w:eastAsia="仿宋_GB2312"/>
              </w:rPr>
              <w:t>供应商具有行政主管部门核发的市政公用工程施工总承包三级（含三级）及以上资质，且具有有效的安全生产许可证；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拟派项目经理须具备市政公用工程专业二级（含二级）以上注册建造师资格和安全生产考核合格B证，且无在建项目（需提供无在建承诺书）；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提供磋商保证金缴纳凭证.docx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供应商针对本项目编制施工总体方案：包括但不限于①施工现场布置；②施工总体思路；③主要分部分项工程施工工艺；④施工质量控制措施；⑤季节性施工保障措施。⑥施工进度及安全文明管控方案 满分12分。每有一项缺项扣2分；每有一处内容存在缺陷，扣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项目实施的重点难点分析及对策</w:t>
            </w:r>
          </w:p>
        </w:tc>
        <w:tc>
          <w:tcPr>
            <w:tcW w:type="dxa" w:w="2492"/>
          </w:tcPr>
          <w:p>
            <w:pPr>
              <w:pStyle w:val="null3"/>
            </w:pPr>
            <w:r>
              <w:rPr>
                <w:rFonts w:ascii="仿宋_GB2312" w:hAnsi="仿宋_GB2312" w:cs="仿宋_GB2312" w:eastAsia="仿宋_GB2312"/>
              </w:rPr>
              <w:t>供应商针对本项目的实际情况，对项目的重点难点进行分析并提出相应对策：包括但不限于①对项目实施重点、难点的分析； ②合理化建议； ③解决方案；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供应商应针对本项目编制质量保证措施：包括但不限于①质量管理目标；②管理机构职责分工；③质量管理制度；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供应商应针对本项目编制工程进度保证措施：包括但不限于①总工期及节点工期安排；②施工进度计划安排；③进度保证措施。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供应商应针对本项目编制文明施工及环境保护组织措施：包括但不限于①文明及环境保护管理制度；②防尘降噪、治污减霾措施；③节能减排措施； ④文明及环境保护施工监督检查机制等。 满分 4 分。每有一项缺项扣 1 分；每有一处内容存在缺陷，扣 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供应商应针对本项目编制安全保证措施：包括但不限于①安全管理目标；②安全管理机构职责分工；③安全管理制度；④安全保证措施。 满分8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提供2023年1月至今完成过类似业绩，提供一个得2.5分，最高可得5分；评审依据：提供加盖公章的中标通知书、合同协议书，时间以签订的施工合同签订时间为准，此项未提供不得分。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vMerge/>
          </w:tcPr>
          <w:p/>
        </w:tc>
        <w:tc>
          <w:tcPr>
            <w:tcW w:type="dxa" w:w="1661"/>
          </w:tcPr>
          <w:p>
            <w:pPr>
              <w:pStyle w:val="null3"/>
            </w:pPr>
            <w:r>
              <w:rPr>
                <w:rFonts w:ascii="仿宋_GB2312" w:hAnsi="仿宋_GB2312" w:cs="仿宋_GB2312" w:eastAsia="仿宋_GB2312"/>
              </w:rPr>
              <w:t>项目部管理人员配置</w:t>
            </w:r>
          </w:p>
        </w:tc>
        <w:tc>
          <w:tcPr>
            <w:tcW w:type="dxa" w:w="2492"/>
          </w:tcPr>
          <w:p>
            <w:pPr>
              <w:pStyle w:val="null3"/>
            </w:pPr>
            <w:r>
              <w:rPr>
                <w:rFonts w:ascii="仿宋_GB2312" w:hAnsi="仿宋_GB2312" w:cs="仿宋_GB2312" w:eastAsia="仿宋_GB2312"/>
              </w:rPr>
              <w:t>1.项目技术负责人具有工程类中级及以上技术职称，得3分；2.项目所配备地施工员、质量员、安全员、材料员、资料员具有相关岗位证书（或职业资格），全部满足得10分，每缺少一人或相应人员无证书证件扣 2 分，扣完为止。（供应商应提供相关人员证书证件复印件作为佐证材料，且上述人员必须为供应商员工，提供社保证明或其他能证明劳动关系的证明材料）</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拟派项目管理人员配置表.docx</w:t>
            </w:r>
          </w:p>
        </w:tc>
      </w:tr>
      <w:tr>
        <w:tc>
          <w:tcPr>
            <w:tcW w:type="dxa" w:w="831"/>
            <w:vMerge/>
          </w:tcPr>
          <w:p/>
        </w:tc>
        <w:tc>
          <w:tcPr>
            <w:tcW w:type="dxa" w:w="1661"/>
          </w:tcPr>
          <w:p>
            <w:pPr>
              <w:pStyle w:val="null3"/>
            </w:pPr>
            <w:r>
              <w:rPr>
                <w:rFonts w:ascii="仿宋_GB2312" w:hAnsi="仿宋_GB2312" w:cs="仿宋_GB2312" w:eastAsia="仿宋_GB2312"/>
              </w:rPr>
              <w:t>拟投入项目机械设备及材料配备</w:t>
            </w:r>
          </w:p>
        </w:tc>
        <w:tc>
          <w:tcPr>
            <w:tcW w:type="dxa" w:w="2492"/>
          </w:tcPr>
          <w:p>
            <w:pPr>
              <w:pStyle w:val="null3"/>
            </w:pPr>
            <w:r>
              <w:rPr>
                <w:rFonts w:ascii="仿宋_GB2312" w:hAnsi="仿宋_GB2312" w:cs="仿宋_GB2312" w:eastAsia="仿宋_GB2312"/>
              </w:rPr>
              <w:t>供应商应针对本项目建设内容和相关技术要求编制机械设备及材料配备表，满分5分，每有一处内容存在缺陷，扣 1 分，扣完为止。备注：缺陷是指表内所列机械设备或材料与项目需求不匹配，脱离项目实际需要；未提供不得分。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供应商针对本项目特点提供切实可行的施工安全承诺、文明施工承诺、施工质量保证承诺、工期保证承诺、施工环境承诺，保证按时按质按量完成本项目。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经资格审查、符合性审查合格的磋商文件，其投标报价为有效投标报价。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 5.为保证项目质量，投标人报价若低于招标采购预算的 80%，须对报价合理性及成本构成做书面说明（如报价成本分析）。（投标报价评审只评投标总价）。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详见附件：供应商认为其他需要说明的材料.docx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详见附件：拟派项目管理人员配置表.docx</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详见附件：提供磋商保证金缴纳凭证.docx</w:t>
      </w:r>
    </w:p>
    <w:p>
      <w:pPr>
        <w:pStyle w:val="null3"/>
        <w:ind w:firstLine="960"/>
      </w:pPr>
      <w:r>
        <w:rPr>
          <w:rFonts w:ascii="仿宋_GB2312" w:hAnsi="仿宋_GB2312" w:cs="仿宋_GB2312" w:eastAsia="仿宋_GB2312"/>
        </w:rPr>
        <w:t>详见附件：业绩情况表.docx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