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版本号：DCZX2026-ZCGK-FW103120260513001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诉讼服务中心服务外包项目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DCZX2026-ZCGK-FW1031</w:t>
      </w:r>
      <w:r>
        <w:br/>
      </w:r>
      <w:r>
        <w:br/>
      </w:r>
      <w:r>
        <w:br/>
      </w:r>
    </w:p>
    <w:p>
      <w:pPr>
        <w:pStyle w:val="null3"/>
        <w:jc w:val="center"/>
        <w:outlineLvl w:val="2"/>
      </w:pPr>
      <w:r>
        <w:rPr>
          <w:rFonts w:ascii="仿宋_GB2312" w:hAnsi="仿宋_GB2312" w:cs="仿宋_GB2312" w:eastAsia="仿宋_GB2312"/>
          <w:sz w:val="28"/>
          <w:b/>
        </w:rPr>
        <w:t>西安市中级人民法院（本级）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西安市中级人民法院（本级）</w:t>
      </w:r>
      <w:r>
        <w:rPr>
          <w:rFonts w:ascii="仿宋_GB2312" w:hAnsi="仿宋_GB2312" w:cs="仿宋_GB2312" w:eastAsia="仿宋_GB2312"/>
        </w:rPr>
        <w:t>委托，拟对</w:t>
      </w:r>
      <w:r>
        <w:rPr>
          <w:rFonts w:ascii="仿宋_GB2312" w:hAnsi="仿宋_GB2312" w:cs="仿宋_GB2312" w:eastAsia="仿宋_GB2312"/>
        </w:rPr>
        <w:t>诉讼服务中心服务外包项目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DCZX2026-ZCGK-FW1031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诉讼服务中心服务外包项目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为规范诉讼服务中心管理，提供优质诉讼服务，实现诉讼服务专业化运行，结合诉讼服务中心实际工作，本次对诉讼服务中心七项职能进行劳务外包。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2、企业资质：投标供应商须具备行业主管部门核发的合格有效的人力资源服务许可证；</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西安市中级人民法院（本级）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西安市未央区二环北路东段139号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同江龙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029-87658337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彭宏飞、潘娟、胡丽珠、刘玮哲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 2、中标单位在领取中标通知书前，须向采购代理机构一次性支付采购代理服务费。 代理费缴存账户： 开户名称：陕西鼎成项目管理咨询有限公司 开户银行：中国民生银行股份有限公司西安高新科技支行 账号：171277297 （备注：项目名称+项目编号） 3、中标供应商在领取中标通知书时须携带法定代表人授权书及加盖单位公章的被授权人身份证复印件。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西安市中级人民法院（本级）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西安市中级人民法院（本级）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西安市中级人民法院（本级）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为规范诉讼服务中心管理，提供优质诉讼服务，实现诉讼服务专业化运行，结合诉讼服务中心实际工作，次对诉讼服务中心七项职能进行劳务外包。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法律诉讼服务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标的名称：法律诉讼服务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rPr>
              <w:t>一、人员和岗位设置</w:t>
            </w:r>
          </w:p>
          <w:p>
            <w:pPr>
              <w:pStyle w:val="null3"/>
              <w:ind w:firstLine="480"/>
              <w:jc w:val="both"/>
            </w:pPr>
            <w:r>
              <w:rPr>
                <w:rFonts w:ascii="仿宋_GB2312" w:hAnsi="仿宋_GB2312" w:cs="仿宋_GB2312" w:eastAsia="仿宋_GB2312"/>
                <w:sz w:val="24"/>
              </w:rPr>
              <w:t>为规范诉讼服务中心管理，提供优质诉讼服务，实现诉讼服务专业化运行，结合我院诉讼服务中心实际工作，本次对诉讼服务中心</w:t>
            </w:r>
            <w:r>
              <w:rPr>
                <w:rFonts w:ascii="仿宋_GB2312" w:hAnsi="仿宋_GB2312" w:cs="仿宋_GB2312" w:eastAsia="仿宋_GB2312"/>
                <w:sz w:val="24"/>
              </w:rPr>
              <w:t>七</w:t>
            </w:r>
            <w:r>
              <w:rPr>
                <w:rFonts w:ascii="仿宋_GB2312" w:hAnsi="仿宋_GB2312" w:cs="仿宋_GB2312" w:eastAsia="仿宋_GB2312"/>
                <w:sz w:val="24"/>
              </w:rPr>
              <w:t>项职能进行劳务外包，拟配备</w:t>
            </w:r>
            <w:r>
              <w:rPr>
                <w:rFonts w:ascii="仿宋_GB2312" w:hAnsi="仿宋_GB2312" w:cs="仿宋_GB2312" w:eastAsia="仿宋_GB2312"/>
                <w:sz w:val="24"/>
              </w:rPr>
              <w:t>30</w:t>
            </w:r>
            <w:r>
              <w:rPr>
                <w:rFonts w:ascii="仿宋_GB2312" w:hAnsi="仿宋_GB2312" w:cs="仿宋_GB2312" w:eastAsia="仿宋_GB2312"/>
                <w:sz w:val="24"/>
              </w:rPr>
              <w:t>人的专业技术团队（不含为实现管理需求派驻入场的人员），供应商需另外派驻管理人员入场，各服务职能人员要求如下：</w:t>
            </w:r>
          </w:p>
          <w:p>
            <w:pPr>
              <w:pStyle w:val="null3"/>
              <w:ind w:firstLine="480"/>
              <w:jc w:val="both"/>
            </w:pPr>
            <w:r>
              <w:rPr>
                <w:rFonts w:ascii="仿宋_GB2312" w:hAnsi="仿宋_GB2312" w:cs="仿宋_GB2312" w:eastAsia="仿宋_GB2312"/>
                <w:sz w:val="24"/>
              </w:rPr>
              <w:t>所配备人员需为法律、法学、信息化等相关专业或具备一定的工作经验，信息化岗位需要一定的信息化工作经验和文字表达能力，项目</w:t>
            </w:r>
            <w:r>
              <w:rPr>
                <w:rFonts w:ascii="仿宋_GB2312" w:hAnsi="仿宋_GB2312" w:cs="仿宋_GB2312" w:eastAsia="仿宋_GB2312"/>
                <w:sz w:val="24"/>
              </w:rPr>
              <w:t>所有人员</w:t>
            </w:r>
            <w:r>
              <w:rPr>
                <w:rFonts w:ascii="仿宋_GB2312" w:hAnsi="仿宋_GB2312" w:cs="仿宋_GB2312" w:eastAsia="仿宋_GB2312"/>
                <w:sz w:val="24"/>
              </w:rPr>
              <w:t>大专及以上学历。</w:t>
            </w:r>
          </w:p>
          <w:tbl>
            <w:tblPr>
              <w:tblBorders>
                <w:top w:val="none" w:color="000000" w:sz="4"/>
                <w:left w:val="none" w:color="000000" w:sz="4"/>
                <w:bottom w:val="none" w:color="000000" w:sz="4"/>
                <w:right w:val="none" w:color="000000" w:sz="4"/>
                <w:insideH w:val="none"/>
                <w:insideV w:val="none"/>
              </w:tblBorders>
            </w:tblPr>
            <w:tblGrid>
              <w:gridCol w:w="219"/>
              <w:gridCol w:w="367"/>
              <w:gridCol w:w="1750"/>
              <w:gridCol w:w="216"/>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职能</w:t>
                  </w:r>
                </w:p>
              </w:tc>
              <w:tc>
                <w:tcPr>
                  <w:tcW w:type="dxa" w:w="1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具体需求</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导诉</w:t>
                  </w:r>
                </w:p>
                <w:p>
                  <w:pPr>
                    <w:pStyle w:val="null3"/>
                    <w:jc w:val="center"/>
                  </w:pPr>
                  <w:r>
                    <w:rPr>
                      <w:rFonts w:ascii="仿宋_GB2312" w:hAnsi="仿宋_GB2312" w:cs="仿宋_GB2312" w:eastAsia="仿宋_GB2312"/>
                      <w:sz w:val="24"/>
                    </w:rPr>
                    <w:t>职能</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负责群众来访接待引导，并为来访人员提供一般的程序性法律咨询，根据群众来访目的将其引导至相关服务区域或告知其相应的解决办法，含材料预检、解答咨询、挂号分流、信息查询协调调度、受理建议、处置突发状况等，需具备一定的法律相关专业知识。</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窗口</w:t>
                  </w:r>
                </w:p>
                <w:p>
                  <w:pPr>
                    <w:pStyle w:val="null3"/>
                    <w:jc w:val="center"/>
                  </w:pPr>
                  <w:r>
                    <w:rPr>
                      <w:rFonts w:ascii="仿宋_GB2312" w:hAnsi="仿宋_GB2312" w:cs="仿宋_GB2312" w:eastAsia="仿宋_GB2312"/>
                      <w:sz w:val="24"/>
                    </w:rPr>
                    <w:t>值守</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窗口服务工作直接展示我院诉讼服务形象，为规范窗口工作，确保窗口服务质量，我们对窗口值守工作进行外包，负责值守窗口并接收立案等相关材料，但立案审查权仍然由本院工作人员行使，需具备一定的法律相关专业知识。</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录入</w:t>
                  </w:r>
                </w:p>
                <w:p>
                  <w:pPr>
                    <w:pStyle w:val="null3"/>
                    <w:jc w:val="center"/>
                  </w:pPr>
                  <w:r>
                    <w:rPr>
                      <w:rFonts w:ascii="仿宋_GB2312" w:hAnsi="仿宋_GB2312" w:cs="仿宋_GB2312" w:eastAsia="仿宋_GB2312"/>
                      <w:sz w:val="24"/>
                    </w:rPr>
                    <w:t>工作</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负责本院</w:t>
                  </w:r>
                  <w:r>
                    <w:rPr>
                      <w:rFonts w:ascii="仿宋_GB2312" w:hAnsi="仿宋_GB2312" w:cs="仿宋_GB2312" w:eastAsia="仿宋_GB2312"/>
                      <w:sz w:val="24"/>
                    </w:rPr>
                    <w:t>4万余案件材料的接收、扫描和案件信息的集中录入工作，需具备民事、行政、刑事案件等诉讼案件录入经验。</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材料</w:t>
                  </w:r>
                </w:p>
                <w:p>
                  <w:pPr>
                    <w:pStyle w:val="null3"/>
                    <w:jc w:val="center"/>
                  </w:pPr>
                  <w:r>
                    <w:rPr>
                      <w:rFonts w:ascii="仿宋_GB2312" w:hAnsi="仿宋_GB2312" w:cs="仿宋_GB2312" w:eastAsia="仿宋_GB2312"/>
                      <w:sz w:val="24"/>
                    </w:rPr>
                    <w:t>收转</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承担全部诉讼材料收转送工作，让当事人无需再因递送材料来往法官办公室，诉讼服务中心为当事人提供一站式服务。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12368</w:t>
                  </w:r>
                </w:p>
                <w:p>
                  <w:pPr>
                    <w:pStyle w:val="null3"/>
                    <w:jc w:val="center"/>
                  </w:pPr>
                  <w:r>
                    <w:rPr>
                      <w:rFonts w:ascii="仿宋_GB2312" w:hAnsi="仿宋_GB2312" w:cs="仿宋_GB2312" w:eastAsia="仿宋_GB2312"/>
                      <w:sz w:val="24"/>
                    </w:rPr>
                    <w:t>热线</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12368服务热线包含全市两级法院统一外包，由市法院统一管理，将12368 诉讼服务热线外包，保证电话有人接听，提高咨询、接听服务质量，做好服务考核，树立法院良好形象，需具备一定的法律相关专业知识。</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网上立案事务性辅助工</w:t>
                  </w:r>
                  <w:r>
                    <w:rPr>
                      <w:rFonts w:ascii="仿宋_GB2312" w:hAnsi="仿宋_GB2312" w:cs="仿宋_GB2312" w:eastAsia="仿宋_GB2312"/>
                      <w:sz w:val="24"/>
                    </w:rPr>
                    <w:t xml:space="preserve"> </w:t>
                  </w:r>
                  <w:r>
                    <w:rPr>
                      <w:rFonts w:ascii="仿宋_GB2312" w:hAnsi="仿宋_GB2312" w:cs="仿宋_GB2312" w:eastAsia="仿宋_GB2312"/>
                      <w:sz w:val="24"/>
                    </w:rPr>
                    <w:t>作</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协助一、二审网上立案工作人员进行材料审核、送达等工作，缩减网上立案工作的时间，提高工作效率。</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诉讼服务中心信息系统</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在服务期内</w:t>
                  </w:r>
                  <w:r>
                    <w:rPr>
                      <w:rFonts w:ascii="仿宋_GB2312" w:hAnsi="仿宋_GB2312" w:cs="仿宋_GB2312" w:eastAsia="仿宋_GB2312"/>
                      <w:sz w:val="24"/>
                    </w:rPr>
                    <w:t>、对诉讼服务质效平台相关系统进行管理、督促、联络，确保各项信息及时流转，按期回复</w:t>
                  </w:r>
                  <w:r>
                    <w:rPr>
                      <w:rFonts w:ascii="仿宋_GB2312" w:hAnsi="仿宋_GB2312" w:cs="仿宋_GB2312" w:eastAsia="仿宋_GB2312"/>
                      <w:sz w:val="24"/>
                    </w:rPr>
                    <w:t>。需具备信息化专业知识。</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bl>
          <w:p>
            <w:pPr>
              <w:pStyle w:val="null3"/>
              <w:jc w:val="both"/>
              <w:outlineLvl w:val="1"/>
            </w:pPr>
            <w:r>
              <w:rPr>
                <w:rFonts w:ascii="仿宋_GB2312" w:hAnsi="仿宋_GB2312" w:cs="仿宋_GB2312" w:eastAsia="仿宋_GB2312"/>
                <w:sz w:val="24"/>
                <w:b/>
              </w:rPr>
              <w:t>二、总体要求</w:t>
            </w:r>
          </w:p>
          <w:p>
            <w:pPr>
              <w:pStyle w:val="null3"/>
              <w:ind w:firstLine="480"/>
              <w:jc w:val="both"/>
            </w:pPr>
            <w:r>
              <w:rPr>
                <w:rFonts w:ascii="仿宋_GB2312" w:hAnsi="仿宋_GB2312" w:cs="仿宋_GB2312" w:eastAsia="仿宋_GB2312"/>
                <w:sz w:val="24"/>
              </w:rPr>
              <w:t>1.人员培训</w:t>
            </w:r>
          </w:p>
          <w:p>
            <w:pPr>
              <w:pStyle w:val="null3"/>
              <w:ind w:firstLine="480"/>
              <w:jc w:val="both"/>
            </w:pPr>
            <w:r>
              <w:rPr>
                <w:rFonts w:ascii="仿宋_GB2312" w:hAnsi="仿宋_GB2312" w:cs="仿宋_GB2312" w:eastAsia="仿宋_GB2312"/>
                <w:sz w:val="24"/>
              </w:rPr>
              <w:t>所有应聘人员应进行必要的岗前及在岗培训。</w:t>
            </w:r>
          </w:p>
          <w:p>
            <w:pPr>
              <w:pStyle w:val="null3"/>
              <w:ind w:firstLine="480"/>
              <w:jc w:val="both"/>
            </w:pPr>
            <w:r>
              <w:rPr>
                <w:rFonts w:ascii="仿宋_GB2312" w:hAnsi="仿宋_GB2312" w:cs="仿宋_GB2312" w:eastAsia="仿宋_GB2312"/>
                <w:sz w:val="24"/>
              </w:rPr>
              <w:t>2.人员工资福利（30人）</w:t>
            </w:r>
          </w:p>
          <w:p>
            <w:pPr>
              <w:pStyle w:val="null3"/>
              <w:ind w:firstLine="480"/>
              <w:jc w:val="both"/>
            </w:pPr>
            <w:r>
              <w:rPr>
                <w:rFonts w:ascii="仿宋_GB2312" w:hAnsi="仿宋_GB2312" w:cs="仿宋_GB2312" w:eastAsia="仿宋_GB2312"/>
                <w:sz w:val="24"/>
              </w:rPr>
              <w:t>人员工资由基础底薪、绩效工资、社保部分组成，每月不低于</w:t>
            </w:r>
            <w:r>
              <w:rPr>
                <w:rFonts w:ascii="仿宋_GB2312" w:hAnsi="仿宋_GB2312" w:cs="仿宋_GB2312" w:eastAsia="仿宋_GB2312"/>
                <w:sz w:val="24"/>
              </w:rPr>
              <w:t>3697.00元；人员服装费、培训费、管理费、商业保险、体检费、保障金、福利</w:t>
            </w:r>
            <w:r>
              <w:rPr>
                <w:rFonts w:ascii="仿宋_GB2312" w:hAnsi="仿宋_GB2312" w:cs="仿宋_GB2312" w:eastAsia="仿宋_GB2312"/>
                <w:sz w:val="24"/>
              </w:rPr>
              <w:t>（冬季取暖、夏季降温、节日慰问）</w:t>
            </w:r>
            <w:r>
              <w:rPr>
                <w:rFonts w:ascii="仿宋_GB2312" w:hAnsi="仿宋_GB2312" w:cs="仿宋_GB2312" w:eastAsia="仿宋_GB2312"/>
                <w:sz w:val="24"/>
              </w:rPr>
              <w:t>、年终奖等不含在人员工资之内，年终奖不低于单月工资。</w:t>
            </w:r>
          </w:p>
          <w:p>
            <w:pPr>
              <w:pStyle w:val="null3"/>
              <w:ind w:firstLine="480"/>
              <w:jc w:val="both"/>
            </w:pPr>
            <w:r>
              <w:rPr>
                <w:rFonts w:ascii="仿宋_GB2312" w:hAnsi="仿宋_GB2312" w:cs="仿宋_GB2312" w:eastAsia="仿宋_GB2312"/>
                <w:sz w:val="24"/>
              </w:rPr>
              <w:t>政策性费用（基本养老保险、基本医疗保险、失业保险、工伤保险、生育保险、住房公积金、取暖、工会、残疾人保障金等）标准均应不低于西安市现行政策要求。</w:t>
            </w:r>
          </w:p>
          <w:p>
            <w:pPr>
              <w:pStyle w:val="null3"/>
              <w:ind w:firstLine="480"/>
              <w:jc w:val="both"/>
            </w:pPr>
            <w:r>
              <w:rPr>
                <w:rFonts w:ascii="仿宋_GB2312" w:hAnsi="仿宋_GB2312" w:cs="仿宋_GB2312" w:eastAsia="仿宋_GB2312"/>
                <w:sz w:val="24"/>
              </w:rPr>
              <w:t>应按照《劳动法》、《劳动合同法》等法律法规规定，及时与劳务外包人员签订劳动合同，按时足额发放工资，办理缴纳社会保险等。</w:t>
            </w:r>
          </w:p>
          <w:p>
            <w:pPr>
              <w:pStyle w:val="null3"/>
              <w:ind w:firstLine="480"/>
              <w:jc w:val="both"/>
            </w:pPr>
            <w:r>
              <w:rPr>
                <w:rFonts w:ascii="仿宋_GB2312" w:hAnsi="仿宋_GB2312" w:cs="仿宋_GB2312" w:eastAsia="仿宋_GB2312"/>
                <w:sz w:val="24"/>
              </w:rPr>
              <w:t>3.人员服装</w:t>
            </w:r>
          </w:p>
          <w:p>
            <w:pPr>
              <w:pStyle w:val="null3"/>
              <w:ind w:firstLine="480"/>
              <w:jc w:val="both"/>
            </w:pPr>
            <w:r>
              <w:rPr>
                <w:rFonts w:ascii="仿宋_GB2312" w:hAnsi="仿宋_GB2312" w:cs="仿宋_GB2312" w:eastAsia="仿宋_GB2312"/>
                <w:sz w:val="24"/>
              </w:rPr>
              <w:t>夏装一套、春秋装一套，服装总费用人均不低于</w:t>
            </w:r>
            <w:r>
              <w:rPr>
                <w:rFonts w:ascii="仿宋_GB2312" w:hAnsi="仿宋_GB2312" w:cs="仿宋_GB2312" w:eastAsia="仿宋_GB2312"/>
                <w:sz w:val="24"/>
              </w:rPr>
              <w:t>1200元。</w:t>
            </w:r>
          </w:p>
          <w:p>
            <w:pPr>
              <w:pStyle w:val="null3"/>
              <w:ind w:firstLine="480"/>
              <w:jc w:val="both"/>
            </w:pPr>
            <w:r>
              <w:rPr>
                <w:rFonts w:ascii="仿宋_GB2312" w:hAnsi="仿宋_GB2312" w:cs="仿宋_GB2312" w:eastAsia="仿宋_GB2312"/>
                <w:sz w:val="24"/>
              </w:rPr>
              <w:t>4. 备品耗材</w:t>
            </w:r>
          </w:p>
          <w:p>
            <w:pPr>
              <w:pStyle w:val="null3"/>
              <w:ind w:firstLine="480"/>
              <w:jc w:val="both"/>
            </w:pPr>
            <w:r>
              <w:rPr>
                <w:rFonts w:ascii="仿宋_GB2312" w:hAnsi="仿宋_GB2312" w:cs="仿宋_GB2312" w:eastAsia="仿宋_GB2312"/>
                <w:sz w:val="24"/>
              </w:rPr>
              <w:t>服务工作中产生的办公消耗品，除打印机和出具给当事人的材料外，其余办公用品和耗材由中标服务供应商自行提供。</w:t>
            </w:r>
          </w:p>
          <w:p>
            <w:pPr>
              <w:pStyle w:val="null3"/>
              <w:ind w:firstLine="480"/>
              <w:jc w:val="both"/>
            </w:pPr>
            <w:r>
              <w:rPr>
                <w:rFonts w:ascii="仿宋_GB2312" w:hAnsi="仿宋_GB2312" w:cs="仿宋_GB2312" w:eastAsia="仿宋_GB2312"/>
                <w:sz w:val="24"/>
              </w:rPr>
              <w:t>5. 管理要求</w:t>
            </w:r>
          </w:p>
          <w:p>
            <w:pPr>
              <w:pStyle w:val="null3"/>
              <w:ind w:firstLine="480"/>
              <w:jc w:val="both"/>
            </w:pPr>
            <w:r>
              <w:rPr>
                <w:rFonts w:ascii="仿宋_GB2312" w:hAnsi="仿宋_GB2312" w:cs="仿宋_GB2312" w:eastAsia="仿宋_GB2312"/>
                <w:sz w:val="24"/>
              </w:rPr>
              <w:t>供应商应负责管理所有服务人员，按时足额向服务人员发放薪资报酬等，处理服务期内劳动过程中产生的劳动争议、人身安全等所有纠纷，因服务人员的劳动争议等纠纷产生的赔偿费用及后果，由供应商自行承担，与采购人无关。</w:t>
            </w:r>
          </w:p>
          <w:p>
            <w:pPr>
              <w:pStyle w:val="null3"/>
              <w:ind w:firstLine="480"/>
              <w:jc w:val="both"/>
            </w:pPr>
            <w:r>
              <w:rPr>
                <w:rFonts w:ascii="仿宋_GB2312" w:hAnsi="仿宋_GB2312" w:cs="仿宋_GB2312" w:eastAsia="仿宋_GB2312"/>
                <w:sz w:val="24"/>
              </w:rPr>
              <w:t>为确保服务人员能够完成采购人约定的各项工作任务，服务供应商应加强对服务人员的业务管理，听取采购人对人员绩效等意见。</w:t>
            </w:r>
          </w:p>
          <w:p>
            <w:pPr>
              <w:pStyle w:val="null3"/>
              <w:ind w:firstLine="480"/>
              <w:jc w:val="both"/>
            </w:pPr>
            <w:r>
              <w:rPr>
                <w:rFonts w:ascii="仿宋_GB2312" w:hAnsi="仿宋_GB2312" w:cs="仿宋_GB2312" w:eastAsia="仿宋_GB2312"/>
                <w:sz w:val="24"/>
              </w:rPr>
              <w:t>服务人员应按照规定规范着装、规范用语，遵守采购人的工作秩序，工作时间按照采购单位规定的工时制，工作日正常上下班，法定节假日及重要节假日期间需要安排值班的，由供应商按照值班人员名单及值班天数</w:t>
            </w:r>
            <w:r>
              <w:rPr>
                <w:rFonts w:ascii="仿宋_GB2312" w:hAnsi="仿宋_GB2312" w:cs="仿宋_GB2312" w:eastAsia="仿宋_GB2312"/>
                <w:sz w:val="24"/>
              </w:rPr>
              <w:t>,给值班人员发放加班费和误餐补贴。</w:t>
            </w:r>
          </w:p>
          <w:p>
            <w:pPr>
              <w:pStyle w:val="null3"/>
              <w:ind w:firstLine="480"/>
              <w:jc w:val="both"/>
            </w:pPr>
            <w:r>
              <w:rPr>
                <w:rFonts w:ascii="仿宋_GB2312" w:hAnsi="仿宋_GB2312" w:cs="仿宋_GB2312" w:eastAsia="仿宋_GB2312"/>
                <w:sz w:val="24"/>
              </w:rPr>
              <w:t>供应商服务过程中须接受采购单位监督及考核，若服务过程中因人员自身问题考核不合格，采购人有权要求更换服务人员，若因供应商管理问题，采购单位有权进行处罚并要求供应商进行整改，若整改后无法满足采购单位服务要求，采购单位有权更换服务单位。</w:t>
            </w:r>
          </w:p>
          <w:p>
            <w:pPr>
              <w:pStyle w:val="null3"/>
              <w:ind w:firstLine="480"/>
              <w:jc w:val="both"/>
            </w:pPr>
            <w:r>
              <w:rPr>
                <w:rFonts w:ascii="仿宋_GB2312" w:hAnsi="仿宋_GB2312" w:cs="仿宋_GB2312" w:eastAsia="仿宋_GB2312"/>
                <w:sz w:val="24"/>
              </w:rPr>
              <w:t>6. 服务质量要求</w:t>
            </w:r>
          </w:p>
          <w:p>
            <w:pPr>
              <w:pStyle w:val="null3"/>
              <w:ind w:firstLine="480"/>
              <w:jc w:val="both"/>
            </w:pPr>
            <w:r>
              <w:rPr>
                <w:rFonts w:ascii="仿宋_GB2312" w:hAnsi="仿宋_GB2312" w:cs="仿宋_GB2312" w:eastAsia="仿宋_GB2312"/>
                <w:sz w:val="24"/>
              </w:rPr>
              <w:t>案件信息录入及时率达到</w:t>
            </w:r>
            <w:r>
              <w:rPr>
                <w:rFonts w:ascii="仿宋_GB2312" w:hAnsi="仿宋_GB2312" w:cs="仿宋_GB2312" w:eastAsia="仿宋_GB2312"/>
                <w:sz w:val="24"/>
              </w:rPr>
              <w:t>100%，录入正确率达到100%，导诉工作群众解答80%以上，12368电话接通率 96%以上，群众满意度98%</w:t>
            </w:r>
            <w:r>
              <w:rPr>
                <w:rFonts w:ascii="仿宋_GB2312" w:hAnsi="仿宋_GB2312" w:cs="仿宋_GB2312" w:eastAsia="仿宋_GB2312"/>
                <w:sz w:val="24"/>
              </w:rPr>
              <w:t>，</w:t>
            </w:r>
            <w:r>
              <w:rPr>
                <w:rFonts w:ascii="仿宋_GB2312" w:hAnsi="仿宋_GB2312" w:cs="仿宋_GB2312" w:eastAsia="仿宋_GB2312"/>
                <w:sz w:val="24"/>
              </w:rPr>
              <w:t>法官满意度</w:t>
            </w:r>
            <w:r>
              <w:rPr>
                <w:rFonts w:ascii="仿宋_GB2312" w:hAnsi="仿宋_GB2312" w:cs="仿宋_GB2312" w:eastAsia="仿宋_GB2312"/>
                <w:sz w:val="24"/>
              </w:rPr>
              <w:t>98%。</w:t>
            </w:r>
          </w:p>
          <w:p>
            <w:pPr>
              <w:pStyle w:val="null3"/>
              <w:ind w:firstLine="480"/>
              <w:jc w:val="both"/>
            </w:pPr>
            <w:r>
              <w:rPr>
                <w:rFonts w:ascii="仿宋_GB2312" w:hAnsi="仿宋_GB2312" w:cs="仿宋_GB2312" w:eastAsia="仿宋_GB2312"/>
                <w:sz w:val="24"/>
              </w:rPr>
              <w:t>7. 保密要求</w:t>
            </w:r>
          </w:p>
          <w:p>
            <w:pPr>
              <w:pStyle w:val="null3"/>
              <w:ind w:firstLine="480"/>
              <w:jc w:val="both"/>
            </w:pPr>
            <w:r>
              <w:rPr>
                <w:rFonts w:ascii="仿宋_GB2312" w:hAnsi="仿宋_GB2312" w:cs="仿宋_GB2312" w:eastAsia="仿宋_GB2312"/>
                <w:sz w:val="24"/>
              </w:rPr>
              <w:t>供应商服务前应组织服务人员进行保密教育，服务人员应遵守采购单位的保密规定，对于工作中知悉、接触到的案件信息和相关材料，不得私自复制、留存、转发，不得擅自拍摄、记录、摘抄相关资料，不得私自接触、获取工作范围外的信息，不透露、不议论评价当事人或公众来电</w:t>
            </w:r>
            <w:r>
              <w:rPr>
                <w:rFonts w:ascii="仿宋_GB2312" w:hAnsi="仿宋_GB2312" w:cs="仿宋_GB2312" w:eastAsia="仿宋_GB2312"/>
                <w:sz w:val="24"/>
              </w:rPr>
              <w:t>信息</w:t>
            </w:r>
            <w:r>
              <w:rPr>
                <w:rFonts w:ascii="仿宋_GB2312" w:hAnsi="仿宋_GB2312" w:cs="仿宋_GB2312" w:eastAsia="仿宋_GB2312"/>
                <w:sz w:val="24"/>
              </w:rPr>
              <w:t>，不得随意泄露办案人员的个人基本信息，不得从事与工作无关的其他活动。</w:t>
            </w:r>
          </w:p>
          <w:p>
            <w:pPr>
              <w:pStyle w:val="null3"/>
              <w:ind w:left="870"/>
              <w:jc w:val="left"/>
              <w:outlineLvl w:val="3"/>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服务期：自合同签订之日起一年。</w:t>
            </w:r>
          </w:p>
          <w:p>
            <w:pPr>
              <w:pStyle w:val="null3"/>
              <w:ind w:left="870"/>
              <w:jc w:val="left"/>
              <w:outlineLvl w:val="3"/>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付款方式：</w:t>
            </w:r>
          </w:p>
          <w:p>
            <w:pPr>
              <w:pStyle w:val="null3"/>
              <w:ind w:firstLine="480"/>
              <w:jc w:val="both"/>
            </w:pPr>
            <w:r>
              <w:rPr>
                <w:rFonts w:ascii="仿宋_GB2312" w:hAnsi="仿宋_GB2312" w:cs="仿宋_GB2312" w:eastAsia="仿宋_GB2312"/>
                <w:sz w:val="24"/>
              </w:rPr>
              <w:t>每月应付金额为合同金额的十二分之一，每</w:t>
            </w:r>
            <w:r>
              <w:rPr>
                <w:rFonts w:ascii="仿宋_GB2312" w:hAnsi="仿宋_GB2312" w:cs="仿宋_GB2312" w:eastAsia="仿宋_GB2312"/>
                <w:sz w:val="24"/>
              </w:rPr>
              <w:t>2</w:t>
            </w:r>
            <w:r>
              <w:rPr>
                <w:rFonts w:ascii="仿宋_GB2312" w:hAnsi="仿宋_GB2312" w:cs="仿宋_GB2312" w:eastAsia="仿宋_GB2312"/>
                <w:sz w:val="24"/>
              </w:rPr>
              <w:t>个月支付一次，</w:t>
            </w:r>
            <w:r>
              <w:rPr>
                <w:rFonts w:ascii="仿宋_GB2312" w:hAnsi="仿宋_GB2312" w:cs="仿宋_GB2312" w:eastAsia="仿宋_GB2312"/>
                <w:sz w:val="24"/>
              </w:rPr>
              <w:t>前五次每次</w:t>
            </w:r>
            <w:r>
              <w:rPr>
                <w:rFonts w:ascii="仿宋_GB2312" w:hAnsi="仿宋_GB2312" w:cs="仿宋_GB2312" w:eastAsia="仿宋_GB2312"/>
                <w:sz w:val="24"/>
              </w:rPr>
              <w:t>支付金额为合同金额的</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最后一次</w:t>
            </w:r>
            <w:r>
              <w:rPr>
                <w:rFonts w:ascii="仿宋_GB2312" w:hAnsi="仿宋_GB2312" w:cs="仿宋_GB2312" w:eastAsia="仿宋_GB2312"/>
                <w:sz w:val="24"/>
              </w:rPr>
              <w:t>支付金额为合同金额的</w:t>
            </w:r>
            <w:r>
              <w:rPr>
                <w:rFonts w:ascii="仿宋_GB2312" w:hAnsi="仿宋_GB2312" w:cs="仿宋_GB2312" w:eastAsia="仿宋_GB2312"/>
                <w:sz w:val="24"/>
              </w:rPr>
              <w:t>2</w:t>
            </w:r>
            <w:r>
              <w:rPr>
                <w:rFonts w:ascii="仿宋_GB2312" w:hAnsi="仿宋_GB2312" w:cs="仿宋_GB2312" w:eastAsia="仿宋_GB2312"/>
                <w:sz w:val="24"/>
              </w:rPr>
              <w:t>5%。</w:t>
            </w:r>
          </w:p>
          <w:p>
            <w:pPr>
              <w:pStyle w:val="null3"/>
              <w:ind w:firstLine="480"/>
              <w:jc w:val="both"/>
            </w:pPr>
            <w:r>
              <w:rPr>
                <w:rFonts w:ascii="仿宋_GB2312" w:hAnsi="仿宋_GB2312" w:cs="仿宋_GB2312" w:eastAsia="仿宋_GB2312"/>
                <w:sz w:val="24"/>
              </w:rPr>
              <w:t>(1)得分大于等于95分，支付100%当月应付金额;</w:t>
            </w:r>
          </w:p>
          <w:p>
            <w:pPr>
              <w:pStyle w:val="null3"/>
              <w:ind w:firstLine="480"/>
              <w:jc w:val="both"/>
            </w:pPr>
            <w:r>
              <w:rPr>
                <w:rFonts w:ascii="仿宋_GB2312" w:hAnsi="仿宋_GB2312" w:cs="仿宋_GB2312" w:eastAsia="仿宋_GB2312"/>
                <w:sz w:val="24"/>
              </w:rPr>
              <w:t>(2)得分在90分至95分之间的，扣当月应付金额3%;</w:t>
            </w:r>
          </w:p>
          <w:p>
            <w:pPr>
              <w:pStyle w:val="null3"/>
              <w:ind w:firstLine="480"/>
              <w:jc w:val="both"/>
            </w:pPr>
            <w:r>
              <w:rPr>
                <w:rFonts w:ascii="仿宋_GB2312" w:hAnsi="仿宋_GB2312" w:cs="仿宋_GB2312" w:eastAsia="仿宋_GB2312"/>
                <w:sz w:val="24"/>
              </w:rPr>
              <w:t>(3)得分在85分至90分之间的，扣当月应付金额6%;</w:t>
            </w:r>
          </w:p>
          <w:p>
            <w:pPr>
              <w:pStyle w:val="null3"/>
              <w:ind w:firstLine="480"/>
              <w:jc w:val="both"/>
            </w:pPr>
            <w:r>
              <w:rPr>
                <w:rFonts w:ascii="仿宋_GB2312" w:hAnsi="仿宋_GB2312" w:cs="仿宋_GB2312" w:eastAsia="仿宋_GB2312"/>
                <w:sz w:val="24"/>
              </w:rPr>
              <w:t>(4)得分在80分至85分之间的，扣当月应付金额9%;</w:t>
            </w:r>
          </w:p>
          <w:p>
            <w:pPr>
              <w:pStyle w:val="null3"/>
              <w:ind w:firstLine="480"/>
              <w:jc w:val="both"/>
            </w:pPr>
            <w:r>
              <w:rPr>
                <w:rFonts w:ascii="仿宋_GB2312" w:hAnsi="仿宋_GB2312" w:cs="仿宋_GB2312" w:eastAsia="仿宋_GB2312"/>
                <w:sz w:val="24"/>
              </w:rPr>
              <w:t>(5)得分在70分至80分之间的，扣当月应付金额15%;</w:t>
            </w:r>
          </w:p>
          <w:p>
            <w:pPr>
              <w:pStyle w:val="null3"/>
              <w:ind w:firstLine="480"/>
              <w:jc w:val="both"/>
            </w:pPr>
            <w:r>
              <w:rPr>
                <w:rFonts w:ascii="仿宋_GB2312" w:hAnsi="仿宋_GB2312" w:cs="仿宋_GB2312" w:eastAsia="仿宋_GB2312"/>
                <w:sz w:val="24"/>
              </w:rPr>
              <w:t>(6)得分低于70分，扣当月应付金额25%。</w:t>
            </w:r>
          </w:p>
          <w:p>
            <w:pPr>
              <w:pStyle w:val="null3"/>
              <w:ind w:firstLine="482"/>
              <w:jc w:val="both"/>
            </w:pPr>
            <w:r>
              <w:rPr>
                <w:rFonts w:ascii="仿宋_GB2312" w:hAnsi="仿宋_GB2312" w:cs="仿宋_GB2312" w:eastAsia="仿宋_GB2312"/>
                <w:sz w:val="24"/>
                <w:b/>
              </w:rPr>
              <w:t>附件</w:t>
            </w:r>
            <w:r>
              <w:rPr>
                <w:rFonts w:ascii="仿宋_GB2312" w:hAnsi="仿宋_GB2312" w:cs="仿宋_GB2312" w:eastAsia="仿宋_GB2312"/>
                <w:sz w:val="24"/>
                <w:b/>
              </w:rPr>
              <w:t>:法院司法辅助服务人员外包运营服务考核</w:t>
            </w:r>
          </w:p>
          <w:tbl>
            <w:tblPr>
              <w:tblBorders>
                <w:top w:val="none" w:color="000000" w:sz="4"/>
                <w:left w:val="none" w:color="000000" w:sz="4"/>
                <w:bottom w:val="none" w:color="000000" w:sz="4"/>
                <w:right w:val="none" w:color="000000" w:sz="4"/>
                <w:insideH w:val="none"/>
                <w:insideV w:val="none"/>
              </w:tblBorders>
            </w:tblPr>
            <w:tblGrid>
              <w:gridCol w:w="119"/>
              <w:gridCol w:w="172"/>
              <w:gridCol w:w="903"/>
              <w:gridCol w:w="203"/>
              <w:gridCol w:w="492"/>
              <w:gridCol w:w="267"/>
              <w:gridCol w:w="129"/>
              <w:gridCol w:w="267"/>
            </w:tblGrid>
            <w:tr>
              <w:tc>
                <w:tcPr>
                  <w:tcW w:type="dxa" w:w="2552"/>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right"/>
                  </w:pPr>
                  <w:r>
                    <w:rPr>
                      <w:rFonts w:ascii="仿宋_GB2312" w:hAnsi="仿宋_GB2312" w:cs="仿宋_GB2312" w:eastAsia="仿宋_GB2312"/>
                      <w:sz w:val="24"/>
                    </w:rPr>
                    <w:t>考核年月：</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2"/>
                    <w:jc w:val="center"/>
                  </w:pPr>
                  <w:r>
                    <w:rPr>
                      <w:rFonts w:ascii="仿宋_GB2312" w:hAnsi="仿宋_GB2312" w:cs="仿宋_GB2312" w:eastAsia="仿宋_GB2312"/>
                      <w:sz w:val="24"/>
                      <w:b/>
                    </w:rPr>
                    <w:t>指标考核</w:t>
                  </w:r>
                </w:p>
              </w:tc>
            </w:tr>
            <w:tr>
              <w:tc>
                <w:tcPr>
                  <w:tcW w:type="dxa" w:w="119"/>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序号</w:t>
                  </w:r>
                </w:p>
              </w:tc>
              <w:tc>
                <w:tcPr>
                  <w:tcW w:type="dxa" w:w="17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考核指表名称</w:t>
                  </w:r>
                </w:p>
              </w:tc>
              <w:tc>
                <w:tcPr>
                  <w:tcW w:type="dxa" w:w="90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指标定义及评分标准</w:t>
                  </w:r>
                </w:p>
              </w:tc>
              <w:tc>
                <w:tcPr>
                  <w:tcW w:type="dxa" w:w="20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满分值</w:t>
                  </w:r>
                </w:p>
              </w:tc>
              <w:tc>
                <w:tcPr>
                  <w:tcW w:type="dxa" w:w="49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计分标准</w:t>
                  </w:r>
                </w:p>
              </w:tc>
              <w:tc>
                <w:tcPr>
                  <w:tcW w:type="dxa" w:w="267"/>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考核依据</w:t>
                  </w:r>
                </w:p>
              </w:tc>
              <w:tc>
                <w:tcPr>
                  <w:tcW w:type="dxa" w:w="129"/>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考核得分</w:t>
                  </w:r>
                </w:p>
              </w:tc>
              <w:tc>
                <w:tcPr>
                  <w:tcW w:type="dxa" w:w="267"/>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备注</w:t>
                  </w:r>
                </w:p>
              </w:tc>
            </w:tr>
            <w:tr>
              <w:tc>
                <w:tcPr>
                  <w:tcW w:type="dxa" w:w="119"/>
                  <w:vMerge/>
                  <w:tcBorders>
                    <w:top w:val="none" w:color="000000" w:sz="4"/>
                    <w:left w:val="single" w:color="000000" w:sz="4"/>
                    <w:bottom w:val="single" w:color="000000" w:sz="4"/>
                    <w:right w:val="single" w:color="000000" w:sz="4"/>
                  </w:tcBorders>
                </w:tcPr>
                <w:p/>
              </w:tc>
              <w:tc>
                <w:tcPr>
                  <w:tcW w:type="dxa" w:w="172"/>
                  <w:vMerge/>
                  <w:tcBorders>
                    <w:top w:val="single" w:color="000000" w:sz="4"/>
                    <w:left w:val="single" w:color="000000" w:sz="4"/>
                    <w:bottom w:val="single" w:color="000000" w:sz="4"/>
                    <w:right w:val="single" w:color="000000" w:sz="4"/>
                  </w:tcBorders>
                </w:tcPr>
                <w:p/>
              </w:tc>
              <w:tc>
                <w:tcPr>
                  <w:tcW w:type="dxa" w:w="9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492"/>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29"/>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办公</w:t>
                  </w:r>
                </w:p>
                <w:p>
                  <w:pPr>
                    <w:pStyle w:val="null3"/>
                    <w:jc w:val="center"/>
                  </w:pPr>
                  <w:r>
                    <w:rPr>
                      <w:rFonts w:ascii="仿宋_GB2312" w:hAnsi="仿宋_GB2312" w:cs="仿宋_GB2312" w:eastAsia="仿宋_GB2312"/>
                      <w:sz w:val="24"/>
                    </w:rPr>
                    <w:t>环境</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保持办公区域各桌面干净整洁；工作通道物品摆放整齐，卫生秩序良好。</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文件柜分类放置、资料分区放置整齐，专人专管。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员工</w:t>
                  </w:r>
                </w:p>
                <w:p>
                  <w:pPr>
                    <w:pStyle w:val="null3"/>
                    <w:jc w:val="center"/>
                  </w:pPr>
                  <w:r>
                    <w:rPr>
                      <w:rFonts w:ascii="仿宋_GB2312" w:hAnsi="仿宋_GB2312" w:cs="仿宋_GB2312" w:eastAsia="仿宋_GB2312"/>
                      <w:sz w:val="24"/>
                    </w:rPr>
                    <w:t>要求</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驻点服务人员达到岗位要求，学历及相关要求的匹配度</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项目人员大专及以上学历，不符合扣</w:t>
                  </w: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员工</w:t>
                  </w:r>
                </w:p>
                <w:p>
                  <w:pPr>
                    <w:pStyle w:val="null3"/>
                    <w:jc w:val="center"/>
                  </w:pPr>
                  <w:r>
                    <w:rPr>
                      <w:rFonts w:ascii="仿宋_GB2312" w:hAnsi="仿宋_GB2312" w:cs="仿宋_GB2312" w:eastAsia="仿宋_GB2312"/>
                      <w:sz w:val="24"/>
                    </w:rPr>
                    <w:t>档案</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统一着工服</w:t>
                  </w:r>
                  <w:r>
                    <w:rPr>
                      <w:rFonts w:ascii="仿宋_GB2312" w:hAnsi="仿宋_GB2312" w:cs="仿宋_GB2312" w:eastAsia="仿宋_GB2312"/>
                      <w:sz w:val="24"/>
                    </w:rPr>
                    <w:t>,并佩戴工牌；会基本的司法礼仪，</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每抽检发现</w:t>
                  </w:r>
                  <w:r>
                    <w:rPr>
                      <w:rFonts w:ascii="仿宋_GB2312" w:hAnsi="仿宋_GB2312" w:cs="仿宋_GB2312" w:eastAsia="仿宋_GB2312"/>
                      <w:sz w:val="24"/>
                    </w:rPr>
                    <w:t>1</w:t>
                  </w:r>
                </w:p>
                <w:p>
                  <w:pPr>
                    <w:pStyle w:val="null3"/>
                    <w:jc w:val="center"/>
                  </w:pPr>
                  <w:r>
                    <w:rPr>
                      <w:rFonts w:ascii="仿宋_GB2312" w:hAnsi="仿宋_GB2312" w:cs="仿宋_GB2312" w:eastAsia="仿宋_GB2312"/>
                      <w:sz w:val="24"/>
                    </w:rPr>
                    <w:t>次扣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w:t>
                  </w:r>
                </w:p>
                <w:p>
                  <w:pPr>
                    <w:pStyle w:val="null3"/>
                    <w:jc w:val="center"/>
                  </w:pPr>
                  <w:r>
                    <w:rPr>
                      <w:rFonts w:ascii="仿宋_GB2312" w:hAnsi="仿宋_GB2312" w:cs="仿宋_GB2312" w:eastAsia="仿宋_GB2312"/>
                      <w:sz w:val="24"/>
                    </w:rPr>
                    <w:t>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员工考勤正常，不无故缺岗、迟到、早退</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每人每次扣</w:t>
                  </w:r>
                </w:p>
                <w:p>
                  <w:pPr>
                    <w:pStyle w:val="null3"/>
                    <w:jc w:val="center"/>
                  </w:pP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考勤表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工作过程中妥善使用办公设备、节约使用易耗消耗品</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蓄意毁坏扣</w:t>
                  </w: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所有员工的相关业务必须确保遵守国家的各项法律法规，并严格遵守甲方拟定的规章制度</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每违规一次扣</w:t>
                  </w:r>
                </w:p>
                <w:p>
                  <w:pPr>
                    <w:pStyle w:val="null3"/>
                    <w:jc w:val="center"/>
                  </w:pP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具备与岗位相匹配的专业知识与技能</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出错的每人每</w:t>
                  </w:r>
                </w:p>
                <w:p>
                  <w:pPr>
                    <w:pStyle w:val="null3"/>
                    <w:jc w:val="center"/>
                  </w:pPr>
                  <w:r>
                    <w:rPr>
                      <w:rFonts w:ascii="仿宋_GB2312" w:hAnsi="仿宋_GB2312" w:cs="仿宋_GB2312" w:eastAsia="仿宋_GB2312"/>
                      <w:sz w:val="24"/>
                    </w:rPr>
                    <w:t>次扣</w:t>
                  </w: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岗位职责、甲方拟定的规章制度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擅自提供、抄录、公布属于保密范围的档案的</w:t>
                  </w:r>
                  <w:r>
                    <w:rPr>
                      <w:rFonts w:ascii="仿宋_GB2312" w:hAnsi="仿宋_GB2312" w:cs="仿宋_GB2312" w:eastAsia="仿宋_GB2312"/>
                      <w:sz w:val="24"/>
                    </w:rPr>
                    <w:t>;窃取、倒卖相关文件牟利的；有意涂改、损毁、伪造，对外泄露保密信息内容</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5分，并有权追究该责任员工法律责任</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保密协议、保密制度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失职导致严重影响工作质量和效率，被甲方管理层批评和投诉的</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根据关联责任大小和事故等级，每次扣</w:t>
                  </w:r>
                  <w:r>
                    <w:rPr>
                      <w:rFonts w:ascii="仿宋_GB2312" w:hAnsi="仿宋_GB2312" w:cs="仿宋_GB2312" w:eastAsia="仿宋_GB2312"/>
                      <w:sz w:val="24"/>
                    </w:rPr>
                    <w:t>1-3 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对于所从事工作，将涉及到此项工作的信息控制在参与工作的项目人员之内</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根据泄露情</w:t>
                  </w:r>
                </w:p>
                <w:p>
                  <w:pPr>
                    <w:pStyle w:val="null3"/>
                    <w:jc w:val="center"/>
                  </w:pPr>
                  <w:r>
                    <w:rPr>
                      <w:rFonts w:ascii="仿宋_GB2312" w:hAnsi="仿宋_GB2312" w:cs="仿宋_GB2312" w:eastAsia="仿宋_GB2312"/>
                      <w:sz w:val="24"/>
                    </w:rPr>
                    <w:t>况，每次扣</w:t>
                  </w:r>
                  <w:r>
                    <w:rPr>
                      <w:rFonts w:ascii="仿宋_GB2312" w:hAnsi="仿宋_GB2312" w:cs="仿宋_GB2312" w:eastAsia="仿宋_GB2312"/>
                      <w:sz w:val="24"/>
                    </w:rPr>
                    <w:t>1-2</w:t>
                  </w:r>
                </w:p>
                <w:p>
                  <w:pPr>
                    <w:pStyle w:val="null3"/>
                    <w:jc w:val="center"/>
                  </w:pPr>
                  <w:r>
                    <w:rPr>
                      <w:rFonts w:ascii="仿宋_GB2312" w:hAnsi="仿宋_GB2312" w:cs="仿宋_GB2312" w:eastAsia="仿宋_GB2312"/>
                      <w:sz w:val="24"/>
                    </w:rPr>
                    <w:t>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要求</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岗位配置齐全，满足服务要求且在服务期内避免出现缺岗情况</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缺岗</w:t>
                  </w:r>
                  <w:r>
                    <w:rPr>
                      <w:rFonts w:ascii="仿宋_GB2312" w:hAnsi="仿宋_GB2312" w:cs="仿宋_GB2312" w:eastAsia="仿宋_GB2312"/>
                      <w:sz w:val="24"/>
                    </w:rPr>
                    <w:t>3</w:t>
                  </w:r>
                  <w:r>
                    <w:rPr>
                      <w:rFonts w:ascii="仿宋_GB2312" w:hAnsi="仿宋_GB2312" w:cs="仿宋_GB2312" w:eastAsia="仿宋_GB2312"/>
                      <w:sz w:val="24"/>
                    </w:rPr>
                    <w:t>天未补齐，每天扣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对员工管理体现高效、专业、科学有效、有规模，能高效完成辅助事务性工作</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实际管理混乱，影响工作进度，扣</w:t>
                  </w: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14</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对于院方的各项整改及意见指令快速响应及落实</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落实延误每</w:t>
                  </w:r>
                  <w:r>
                    <w:rPr>
                      <w:rFonts w:ascii="仿宋_GB2312" w:hAnsi="仿宋_GB2312" w:cs="仿宋_GB2312" w:eastAsia="仿宋_GB2312"/>
                      <w:sz w:val="24"/>
                    </w:rPr>
                    <w:t>2天扣1分，落实不力扣1分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对接收的所有案件的信息录入及时率达到</w:t>
                  </w:r>
                  <w:r>
                    <w:rPr>
                      <w:rFonts w:ascii="仿宋_GB2312" w:hAnsi="仿宋_GB2312" w:cs="仿宋_GB2312" w:eastAsia="仿宋_GB2312"/>
                      <w:sz w:val="24"/>
                    </w:rPr>
                    <w:t>100% ，录入正确率达到100%</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录入不及时或出现错误每人每项扣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导诉工作群众解答未达到</w:t>
                  </w:r>
                  <w:r>
                    <w:rPr>
                      <w:rFonts w:ascii="仿宋_GB2312" w:hAnsi="仿宋_GB2312" w:cs="仿宋_GB2312" w:eastAsia="仿宋_GB2312"/>
                      <w:sz w:val="24"/>
                    </w:rPr>
                    <w:t>80%以上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17</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12368电话接通率未达到96%以上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群众满意度未达到</w:t>
                  </w:r>
                  <w:r>
                    <w:rPr>
                      <w:rFonts w:ascii="仿宋_GB2312" w:hAnsi="仿宋_GB2312" w:cs="仿宋_GB2312" w:eastAsia="仿宋_GB2312"/>
                      <w:sz w:val="24"/>
                    </w:rPr>
                    <w:t>98%</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19</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法官满意度未达到</w:t>
                  </w:r>
                  <w:r>
                    <w:rPr>
                      <w:rFonts w:ascii="仿宋_GB2312" w:hAnsi="仿宋_GB2312" w:cs="仿宋_GB2312" w:eastAsia="仿宋_GB2312"/>
                      <w:sz w:val="24"/>
                    </w:rPr>
                    <w:t>98%</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要求</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完成服务事项的完整性、准确性要求，如发生错误应加以及时纠正</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一般失误扣</w:t>
                  </w:r>
                  <w:r>
                    <w:rPr>
                      <w:rFonts w:ascii="仿宋_GB2312" w:hAnsi="仿宋_GB2312" w:cs="仿宋_GB2312" w:eastAsia="仿宋_GB2312"/>
                      <w:sz w:val="24"/>
                    </w:rPr>
                    <w:t>0.5分/次，重大失误扣2分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出错记录表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准时发放项目员工标准工资</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延迟</w:t>
                  </w:r>
                  <w:r>
                    <w:rPr>
                      <w:rFonts w:ascii="仿宋_GB2312" w:hAnsi="仿宋_GB2312" w:cs="仿宋_GB2312" w:eastAsia="仿宋_GB2312"/>
                      <w:sz w:val="24"/>
                    </w:rPr>
                    <w:t>1天扣0.5分(节假日及特殊情况除外)如未在当月提供本月工资发放记录，扣4分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工资表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22</w:t>
                  </w:r>
                </w:p>
              </w:tc>
              <w:tc>
                <w:tcPr>
                  <w:tcW w:type="dxa" w:w="1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培训</w:t>
                  </w:r>
                </w:p>
                <w:p>
                  <w:pPr>
                    <w:pStyle w:val="null3"/>
                    <w:jc w:val="center"/>
                  </w:pPr>
                  <w:r>
                    <w:rPr>
                      <w:rFonts w:ascii="仿宋_GB2312" w:hAnsi="仿宋_GB2312" w:cs="仿宋_GB2312" w:eastAsia="仿宋_GB2312"/>
                      <w:sz w:val="24"/>
                    </w:rPr>
                    <w:t>要求</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岗前培训，之后每季度至少进行一次技能提升培训</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未进行培训扣</w:t>
                  </w:r>
                  <w:r>
                    <w:rPr>
                      <w:rFonts w:ascii="仿宋_GB2312" w:hAnsi="仿宋_GB2312" w:cs="仿宋_GB2312" w:eastAsia="仿宋_GB2312"/>
                      <w:sz w:val="24"/>
                    </w:rPr>
                    <w:t>1分/次</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培训纪要</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23</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汇报</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指定项目人员专门负责与贵单位之间文件的现场传送工作，并规定严格的交收和专人保管办法</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发生遗漏延迟扣</w:t>
                  </w:r>
                  <w:r>
                    <w:rPr>
                      <w:rFonts w:ascii="仿宋_GB2312" w:hAnsi="仿宋_GB2312" w:cs="仿宋_GB2312" w:eastAsia="仿宋_GB2312"/>
                      <w:sz w:val="24"/>
                    </w:rPr>
                    <w:t>1分/次</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积极配合甲方监督、安全排查工作</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25</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上交整改意见及配套管理制度及时</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满意度评分，扣分最高不超</w:t>
                  </w:r>
                  <w:r>
                    <w:rPr>
                      <w:rFonts w:ascii="仿宋_GB2312" w:hAnsi="仿宋_GB2312" w:cs="仿宋_GB2312" w:eastAsia="仿宋_GB2312"/>
                      <w:sz w:val="24"/>
                    </w:rPr>
                    <w:t>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26</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每月根据院方反馈建议对员工业务能力、纪律作风进行提升督导</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督导未见实效，扣</w:t>
                  </w:r>
                  <w:r>
                    <w:rPr>
                      <w:rFonts w:ascii="仿宋_GB2312" w:hAnsi="仿宋_GB2312" w:cs="仿宋_GB2312" w:eastAsia="仿宋_GB2312"/>
                      <w:sz w:val="24"/>
                    </w:rPr>
                    <w:t>2分。 未开展督导工作，扣5分。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会议纪要</w:t>
                  </w:r>
                </w:p>
                <w:p>
                  <w:pPr>
                    <w:pStyle w:val="null3"/>
                    <w:jc w:val="center"/>
                  </w:pPr>
                  <w:r>
                    <w:rPr>
                      <w:rFonts w:ascii="仿宋_GB2312" w:hAnsi="仿宋_GB2312" w:cs="仿宋_GB2312" w:eastAsia="仿宋_GB2312"/>
                      <w:sz w:val="24"/>
                    </w:rPr>
                    <w:t>提交情况</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27</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每月</w:t>
                  </w:r>
                  <w:r>
                    <w:rPr>
                      <w:rFonts w:ascii="仿宋_GB2312" w:hAnsi="仿宋_GB2312" w:cs="仿宋_GB2312" w:eastAsia="仿宋_GB2312"/>
                      <w:sz w:val="24"/>
                    </w:rPr>
                    <w:t>20号提交上月工作总结报告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延迟</w:t>
                  </w:r>
                  <w:r>
                    <w:rPr>
                      <w:rFonts w:ascii="仿宋_GB2312" w:hAnsi="仿宋_GB2312" w:cs="仿宋_GB2312" w:eastAsia="仿宋_GB2312"/>
                      <w:sz w:val="24"/>
                    </w:rPr>
                    <w:t>1天扣0.5分，当月未提交扣2分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工作总结报告提交情况</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28</w:t>
                  </w:r>
                </w:p>
              </w:tc>
              <w:tc>
                <w:tcPr>
                  <w:tcW w:type="dxa" w:w="1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出现舆论事件</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出现一次</w:t>
                  </w:r>
                  <w:r>
                    <w:rPr>
                      <w:rFonts w:ascii="仿宋_GB2312" w:hAnsi="仿宋_GB2312" w:cs="仿宋_GB2312" w:eastAsia="仿宋_GB2312"/>
                      <w:sz w:val="24"/>
                    </w:rPr>
                    <w:t>舆论</w:t>
                  </w:r>
                  <w:r>
                    <w:rPr>
                      <w:rFonts w:ascii="仿宋_GB2312" w:hAnsi="仿宋_GB2312" w:cs="仿宋_GB2312" w:eastAsia="仿宋_GB2312"/>
                      <w:sz w:val="24"/>
                    </w:rPr>
                    <w:t>事件，扣</w:t>
                  </w:r>
                  <w:r>
                    <w:rPr>
                      <w:rFonts w:ascii="仿宋_GB2312" w:hAnsi="仿宋_GB2312" w:cs="仿宋_GB2312" w:eastAsia="仿宋_GB2312"/>
                      <w:sz w:val="24"/>
                    </w:rPr>
                    <w:t>7分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合计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w:t>
                  </w:r>
                </w:p>
              </w:tc>
              <w:tc>
                <w:tcPr>
                  <w:tcW w:type="dxa" w:w="115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加分</w:t>
                  </w: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服务团队人员在岗稳定情况，管理工作有序</w:t>
                  </w:r>
                </w:p>
              </w:tc>
              <w:tc>
                <w:tcPr>
                  <w:tcW w:type="dxa" w:w="2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转正后人员无人离岗加</w:t>
                  </w:r>
                  <w:r>
                    <w:rPr>
                      <w:rFonts w:ascii="仿宋_GB2312" w:hAnsi="仿宋_GB2312" w:cs="仿宋_GB2312" w:eastAsia="仿宋_GB2312"/>
                      <w:sz w:val="24"/>
                    </w:rPr>
                    <w:t>1分</w:t>
                  </w:r>
                </w:p>
              </w:tc>
              <w:tc>
                <w:tcPr>
                  <w:tcW w:type="dxa" w:w="2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172"/>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超出合同范围提供了额外的服务或支撑，并正确理解院方临时相关工作要求以致能及时高效配合完成</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每事项加</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4"/>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合计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105</w:t>
                  </w:r>
                </w:p>
              </w:tc>
              <w:tc>
                <w:tcPr>
                  <w:tcW w:type="dxa" w:w="115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考核说明：</w:t>
                  </w:r>
                  <w:r>
                    <w:br/>
                  </w:r>
                  <w:r>
                    <w:rPr>
                      <w:rFonts w:ascii="仿宋_GB2312" w:hAnsi="仿宋_GB2312" w:cs="仿宋_GB2312" w:eastAsia="仿宋_GB2312"/>
                      <w:sz w:val="24"/>
                    </w:rPr>
                    <w:t>1、每月应付金额为合同金额的十二分之一，每</w:t>
                  </w:r>
                  <w:r>
                    <w:rPr>
                      <w:rFonts w:ascii="仿宋_GB2312" w:hAnsi="仿宋_GB2312" w:cs="仿宋_GB2312" w:eastAsia="仿宋_GB2312"/>
                      <w:sz w:val="24"/>
                    </w:rPr>
                    <w:t>2</w:t>
                  </w:r>
                  <w:r>
                    <w:rPr>
                      <w:rFonts w:ascii="仿宋_GB2312" w:hAnsi="仿宋_GB2312" w:cs="仿宋_GB2312" w:eastAsia="仿宋_GB2312"/>
                      <w:sz w:val="24"/>
                    </w:rPr>
                    <w:t>个月支付一次，</w:t>
                  </w:r>
                  <w:r>
                    <w:rPr>
                      <w:rFonts w:ascii="仿宋_GB2312" w:hAnsi="仿宋_GB2312" w:cs="仿宋_GB2312" w:eastAsia="仿宋_GB2312"/>
                      <w:sz w:val="24"/>
                    </w:rPr>
                    <w:t>前五次每次</w:t>
                  </w:r>
                  <w:r>
                    <w:rPr>
                      <w:rFonts w:ascii="仿宋_GB2312" w:hAnsi="仿宋_GB2312" w:cs="仿宋_GB2312" w:eastAsia="仿宋_GB2312"/>
                      <w:sz w:val="24"/>
                    </w:rPr>
                    <w:t>支付金额为合同金额的</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最后一次</w:t>
                  </w:r>
                  <w:r>
                    <w:rPr>
                      <w:rFonts w:ascii="仿宋_GB2312" w:hAnsi="仿宋_GB2312" w:cs="仿宋_GB2312" w:eastAsia="仿宋_GB2312"/>
                      <w:sz w:val="24"/>
                    </w:rPr>
                    <w:t>支付金额为合同金额的</w:t>
                  </w:r>
                  <w:r>
                    <w:rPr>
                      <w:rFonts w:ascii="仿宋_GB2312" w:hAnsi="仿宋_GB2312" w:cs="仿宋_GB2312" w:eastAsia="仿宋_GB2312"/>
                      <w:sz w:val="24"/>
                    </w:rPr>
                    <w:t>2</w:t>
                  </w:r>
                  <w:r>
                    <w:rPr>
                      <w:rFonts w:ascii="仿宋_GB2312" w:hAnsi="仿宋_GB2312" w:cs="仿宋_GB2312" w:eastAsia="仿宋_GB2312"/>
                      <w:sz w:val="24"/>
                    </w:rPr>
                    <w:t>5%。</w:t>
                  </w:r>
                  <w:r>
                    <w:br/>
                  </w:r>
                  <w:r>
                    <w:rPr>
                      <w:rFonts w:ascii="仿宋_GB2312" w:hAnsi="仿宋_GB2312" w:cs="仿宋_GB2312" w:eastAsia="仿宋_GB2312"/>
                      <w:sz w:val="24"/>
                    </w:rPr>
                    <w:t>2、每月按照考核标准评估得分，根据得分情况确定实际支付比例。</w:t>
                  </w:r>
                </w:p>
                <w:p>
                  <w:pPr>
                    <w:pStyle w:val="null3"/>
                    <w:jc w:val="both"/>
                  </w:pPr>
                  <w:r>
                    <w:rPr>
                      <w:rFonts w:ascii="仿宋_GB2312" w:hAnsi="仿宋_GB2312" w:cs="仿宋_GB2312" w:eastAsia="仿宋_GB2312"/>
                      <w:sz w:val="24"/>
                    </w:rPr>
                    <w:t>每次</w:t>
                  </w:r>
                  <w:r>
                    <w:rPr>
                      <w:rFonts w:ascii="仿宋_GB2312" w:hAnsi="仿宋_GB2312" w:cs="仿宋_GB2312" w:eastAsia="仿宋_GB2312"/>
                      <w:sz w:val="24"/>
                    </w:rPr>
                    <w:t>付款前乙方应向甲方提供等额发票，甲方在收到发票后</w:t>
                  </w:r>
                  <w:r>
                    <w:rPr>
                      <w:rFonts w:ascii="仿宋_GB2312" w:hAnsi="仿宋_GB2312" w:cs="仿宋_GB2312" w:eastAsia="仿宋_GB2312"/>
                      <w:sz w:val="24"/>
                    </w:rPr>
                    <w:t>10个工作日内完成付款。</w:t>
                  </w:r>
                  <w:r>
                    <w:br/>
                  </w:r>
                  <w:r>
                    <w:rPr>
                      <w:rFonts w:ascii="仿宋_GB2312" w:hAnsi="仿宋_GB2312" w:cs="仿宋_GB2312" w:eastAsia="仿宋_GB2312"/>
                      <w:sz w:val="24"/>
                    </w:rPr>
                    <w:t>3、根据下文载明的评分方法，甲方按照考核结果进行支付。</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(1)得分大于等于95分，支付100%当月应付金额；</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(2)得分在90分至95分之间的，扣当月应付金额3%；</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(3)得分在85分至90分之间的，扣当月应付金额6%；</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(4)得分在80分至85分之间的，扣当月应付金额9%；</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(5)得分在70分至80分之间的，扣当月应付金额15%;；</w:t>
                  </w:r>
                </w:p>
              </w:tc>
            </w:tr>
            <w:tr>
              <w:tc>
                <w:tcPr>
                  <w:tcW w:type="dxa" w:w="2552"/>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(6))得分低于70分，扣当月应付金额25%。</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陕西省西安市中级人民法院指定地点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符合国家标准及采购人考核要求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按照考核标准评估得分，根据得分情况确定实际支付比例，每月应付金额为合同金额的十二分之一，每2个月支付一次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投标供应商须具备行业主管部门核发的合格有效的人力资源服务许可证；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分项报价表.docx 投标函 标的清单 投标文件封面 陕西省政府采购供应商拒绝政府采购领域商业贿赂承诺书.docx 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分项报价表.docx 投标函 标的清单 投标文件封面 陕西省政府采购供应商拒绝政府采购领域商业贿赂承诺书.docx 商务条款偏离表.docx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对项目的理解、认知及对采购需求的响应</w:t>
            </w:r>
          </w:p>
        </w:tc>
        <w:tc>
          <w:tcPr>
            <w:tcW w:type="dxa" w:w="2492"/>
          </w:tcPr>
          <w:p>
            <w:pPr>
              <w:pStyle w:val="null3"/>
            </w:pPr>
            <w:r>
              <w:rPr>
                <w:rFonts w:ascii="仿宋_GB2312" w:hAnsi="仿宋_GB2312" w:cs="仿宋_GB2312" w:eastAsia="仿宋_GB2312"/>
              </w:rPr>
              <w:t>评审标准 1、完整性：完全理解采购需求，思路及方案清晰； 2、可实施性：切合本项目实际情况，步骤清晰、合理； 3、针对性：方案能够紧扣项目实际情况，内容科学合理。 赋分标准 每完全满足一项评审标准得3分，方案每有一处缺陷扣0.1分，扣完为止，不计负分。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针对本项目八项服务职能的专业技术服务方案</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每完全满足一项评审标准得3分，方案每有一处缺陷扣0.1分，扣完为止，不计负分。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针对本项目的人员招聘方案及管理制度</w:t>
            </w:r>
          </w:p>
        </w:tc>
        <w:tc>
          <w:tcPr>
            <w:tcW w:type="dxa" w:w="2492"/>
          </w:tcPr>
          <w:p>
            <w:pPr>
              <w:pStyle w:val="null3"/>
            </w:pPr>
            <w:r>
              <w:rPr>
                <w:rFonts w:ascii="仿宋_GB2312" w:hAnsi="仿宋_GB2312" w:cs="仿宋_GB2312" w:eastAsia="仿宋_GB2312"/>
              </w:rPr>
              <w:t>针对本项目的人员招聘方案及管理制度、(包括但不限于①人员储备情况②人员补给③调配及人员档案④薪酬管理方案等） 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①-②项评审内容：每项评审内容每完全满足一项评审标准得1.5分，每项评审内容每有一处缺陷扣0.1分，扣完为止，不计负分。 ③-④项评审内容：每项评审内容每完全满足一项评审标准得1分，每项评审内容每有一处缺陷扣0.1分，扣完为止，不计负分。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服务质量保障措施（①案件信息录入正确率、及时率、电话接通率②群众满意度、法官满意度等） 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①-②项评审内容：每项评审内容每完全满足一项评审标准得2.5分，每项评审内容每有一处缺陷扣0.1分，扣完为止，不计负分。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保密措施（对于该项目执行过程中，如何避免工作中知悉、接触的案件信息和材料的泄露制定的详细计划及措施） 评审标准 1、完整性：方案全面，科学合理，对评审内容中的各项要求有详细描述及说明； 2、可实施性：切合本项目实际情况，步骤清晰、合理； 3、针对性：方案符合法院工作要求。 赋分标准 每完全满足一项评审标准得2分，方案每有一处缺陷扣0.1分，扣完为止，不计负分。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应急处理方案（包括但不限于①人员流失应急预案②劳动关系争议处理方案等） 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①-②项评审内容：每项评审内容每完全满足一项评审标准得2分，每项评审内容每有一处缺陷扣0.1分，扣完为止，不计负分。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根据供应商针对本项目拟配备的服务团队，拟配备的人员学历、经验、专业及人员具体岗位安排与所学专业匹配度等。 拟配备项目组人员能够完全满足项目需求、人员专业符合本次项目需求且人员安排合理计10分； 拟配备项目组人员基本满足项目需求、人员专业性较强计6分； 拟配备项目组人员无法满足项目需求且安排不合理计3分。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无违法犯罪记录声明 供应商提供的所配备人员关于有良好的政治素质，遵纪守法，作风正派，品行端正，无违法犯罪记录的声明计4分，未提供不计分。（自行声明，格式自拟）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提供供应商2023年05月1日至今（以合同签订时间为准）的类似项目业绩，每份计2分，满分10分。（合同复印件附在投标文件中，否则不作为评审依据。）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价格分采用低价优先法计算，即满足招标文件要求且投标价格最低的投标报价为评标基准价，其他供应商的价格分按照下列公式计算：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