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5"/>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6"/>
        <w:ind w:left="0" w:leftChars="0" w:firstLine="0" w:firstLineChars="0"/>
        <w:rPr>
          <w:color w:val="auto"/>
          <w:sz w:val="36"/>
          <w:szCs w:val="36"/>
        </w:rPr>
      </w:pPr>
    </w:p>
    <w:p w14:paraId="243AF6E0">
      <w:pPr>
        <w:pStyle w:val="26"/>
        <w:spacing w:line="240" w:lineRule="auto"/>
        <w:ind w:right="424" w:rightChars="150" w:firstLine="727"/>
        <w:rPr>
          <w:color w:val="auto"/>
          <w:sz w:val="36"/>
          <w:szCs w:val="36"/>
        </w:rPr>
      </w:pPr>
    </w:p>
    <w:p w14:paraId="084349F6">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延安市公安局业务技术用房物业管理服务（二次）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YAZCJC2026-20.1B1</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延安市公安局</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2B45EA1">
      <w:pPr>
        <w:spacing w:line="240" w:lineRule="auto"/>
        <w:ind w:left="3624" w:leftChars="896" w:right="707" w:rightChars="250" w:hanging="1089" w:hangingChars="3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7D97440B">
      <w:pPr>
        <w:spacing w:line="240" w:lineRule="auto"/>
        <w:rPr>
          <w:color w:val="auto"/>
          <w:sz w:val="36"/>
          <w:szCs w:val="36"/>
          <w:highlight w:val="none"/>
        </w:rPr>
      </w:pPr>
    </w:p>
    <w:p w14:paraId="5A361C19">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7</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27</w:t>
      </w:r>
      <w:r>
        <w:rPr>
          <w:rFonts w:hint="eastAsia" w:ascii="仿宋" w:hAnsi="仿宋" w:eastAsia="仿宋" w:cs="仿宋"/>
          <w:b/>
          <w:bCs/>
          <w:color w:val="auto"/>
          <w:sz w:val="36"/>
          <w:szCs w:val="36"/>
          <w:highlight w:val="none"/>
        </w:rPr>
        <w:t>日</w:t>
      </w:r>
      <w:bookmarkStart w:id="0" w:name="_Toc10222_WPSOffice_Level1"/>
      <w:bookmarkStart w:id="1" w:name="_Toc30340_WPSOffice_Level1"/>
      <w:bookmarkStart w:id="2" w:name="_Toc30102_WPSOffice_Level1"/>
    </w:p>
    <w:p w14:paraId="45C132CE">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08A4F9D5">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5"/>
        <w:tabs>
          <w:tab w:val="right" w:leader="dot" w:pos="9072"/>
        </w:tabs>
        <w:spacing w:line="500" w:lineRule="exact"/>
        <w:ind w:firstLine="566" w:firstLineChars="200"/>
        <w:rPr>
          <w:rFonts w:hint="eastAsia" w:ascii="黑体" w:hAnsi="黑体" w:eastAsia="黑体" w:cs="黑体"/>
          <w:color w:val="auto"/>
        </w:rPr>
      </w:pPr>
    </w:p>
    <w:p w14:paraId="4FCF42F3">
      <w:pPr>
        <w:pStyle w:val="15"/>
        <w:numPr>
          <w:ilvl w:val="0"/>
          <w:numId w:val="2"/>
        </w:numPr>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 xml:space="preserve"> 磋商邀请函</w:t>
      </w:r>
    </w:p>
    <w:p w14:paraId="2756F9C8">
      <w:pPr>
        <w:pStyle w:val="15"/>
        <w:numPr>
          <w:ilvl w:val="0"/>
          <w:numId w:val="2"/>
        </w:numPr>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 xml:space="preserve"> 供应商须知</w:t>
      </w:r>
    </w:p>
    <w:p w14:paraId="41224AC9">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p>
    <w:p w14:paraId="6EEC5276">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二、供应商注意事项</w:t>
      </w:r>
    </w:p>
    <w:p w14:paraId="673444E3">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78CB2739">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四、磋商报价</w:t>
      </w:r>
    </w:p>
    <w:p w14:paraId="48EBA9AD">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五、电子响应文件</w:t>
      </w:r>
    </w:p>
    <w:p w14:paraId="57A58265">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六、开启电子响应文件</w:t>
      </w:r>
    </w:p>
    <w:p w14:paraId="53880E82">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七、组织评审</w:t>
      </w:r>
    </w:p>
    <w:p w14:paraId="34556DBA">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八、成交</w:t>
      </w:r>
    </w:p>
    <w:p w14:paraId="733B2C0D">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九、签订政府采购合同</w:t>
      </w:r>
    </w:p>
    <w:p w14:paraId="75282DB0">
      <w:pPr>
        <w:pStyle w:val="15"/>
        <w:tabs>
          <w:tab w:val="right" w:leader="dot" w:pos="9072"/>
        </w:tabs>
        <w:spacing w:line="500" w:lineRule="exact"/>
        <w:ind w:firstLine="566" w:firstLineChars="200"/>
        <w:rPr>
          <w:rFonts w:hint="eastAsia"/>
          <w:lang w:val="en-US" w:eastAsia="zh-CN"/>
        </w:rPr>
      </w:pPr>
      <w:r>
        <w:rPr>
          <w:rFonts w:hint="eastAsia" w:ascii="黑体" w:hAnsi="黑体" w:eastAsia="黑体" w:cs="黑体"/>
          <w:color w:val="auto"/>
        </w:rPr>
        <w:t>十、其他</w:t>
      </w:r>
    </w:p>
    <w:p w14:paraId="1D13A6EA">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第三章  磋商内容及采购要求</w:t>
      </w:r>
    </w:p>
    <w:p w14:paraId="637510DA">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第四章  合同草案条款</w:t>
      </w:r>
    </w:p>
    <w:p w14:paraId="259DBA43">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第五章  电子响应文件构成及格式</w:t>
      </w:r>
    </w:p>
    <w:p w14:paraId="05DD1EFD">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第一部分  资格证明文件</w:t>
      </w:r>
    </w:p>
    <w:p w14:paraId="6EDF0147">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b w:val="0"/>
          <w:color w:val="auto"/>
          <w:szCs w:val="32"/>
          <w:lang w:eastAsia="zh-CN"/>
        </w:rPr>
      </w:pPr>
      <w:r>
        <w:rPr>
          <w:rFonts w:hint="eastAsia" w:ascii="黑体" w:hAnsi="黑体"/>
          <w:b w:val="0"/>
          <w:color w:val="auto"/>
          <w:szCs w:val="32"/>
          <w:lang w:eastAsia="zh-CN"/>
        </w:rPr>
        <w:tab/>
      </w:r>
    </w:p>
    <w:p w14:paraId="2CACC1E3">
      <w:pPr>
        <w:bidi w:val="0"/>
        <w:rPr>
          <w:rFonts w:hint="eastAsia" w:ascii="Calibri Light" w:hAnsi="Calibri Light" w:eastAsia="华文仿宋" w:cs="Calibri Light"/>
          <w:kern w:val="2"/>
          <w:sz w:val="28"/>
          <w:szCs w:val="28"/>
          <w:lang w:val="en-US" w:eastAsia="zh-CN" w:bidi="ar-SA"/>
        </w:rPr>
      </w:pPr>
    </w:p>
    <w:p w14:paraId="41C851AA">
      <w:pPr>
        <w:bidi w:val="0"/>
        <w:rPr>
          <w:rFonts w:hint="eastAsia"/>
          <w:lang w:val="en-US" w:eastAsia="zh-CN"/>
        </w:rPr>
      </w:pPr>
    </w:p>
    <w:p w14:paraId="395D3477">
      <w:pPr>
        <w:tabs>
          <w:tab w:val="left" w:pos="6416"/>
        </w:tabs>
        <w:bidi w:val="0"/>
        <w:jc w:val="left"/>
        <w:rPr>
          <w:rFonts w:hint="eastAsia"/>
          <w:lang w:val="en-US" w:eastAsia="zh-CN"/>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lang w:val="en-US" w:eastAsia="zh-CN"/>
        </w:rPr>
        <w:tab/>
      </w:r>
    </w:p>
    <w:p w14:paraId="2F621B0B">
      <w:pPr>
        <w:pStyle w:val="2"/>
        <w:spacing w:line="500" w:lineRule="exact"/>
        <w:rPr>
          <w:rFonts w:ascii="黑体" w:hAnsi="黑体"/>
          <w:b w:val="0"/>
          <w:color w:val="auto"/>
          <w:szCs w:val="32"/>
        </w:rPr>
      </w:pPr>
      <w:bookmarkStart w:id="3" w:name="_Toc26235"/>
      <w:bookmarkStart w:id="4" w:name="_Toc21489"/>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7"/>
        <w:spacing w:line="500" w:lineRule="exact"/>
        <w:ind w:firstLine="567"/>
        <w:rPr>
          <w:rFonts w:ascii="华文仿宋" w:hAnsi="华文仿宋" w:cs="华文仿宋"/>
          <w:color w:val="auto"/>
          <w:highlight w:val="none"/>
        </w:rPr>
      </w:pPr>
      <w:bookmarkStart w:id="6" w:name="_Toc6471"/>
      <w:bookmarkStart w:id="7" w:name="_Toc15046_WPSOffice_Level2"/>
      <w:bookmarkStart w:id="8" w:name="_Toc22804_WPSOffice_Level2"/>
      <w:bookmarkStart w:id="9" w:name="_Toc8775_WPSOffice_Level2"/>
      <w:r>
        <w:rPr>
          <w:rFonts w:hint="eastAsia" w:ascii="华文仿宋" w:hAnsi="华文仿宋" w:cs="华文仿宋"/>
          <w:b/>
          <w:bCs/>
          <w:color w:val="auto"/>
          <w:lang w:eastAsia="zh-CN"/>
        </w:rPr>
        <w:t>延安市公安局业务技术用房物业管理服务（二次）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8-11   上午09：00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3"/>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28286_WPSOffice_Level2"/>
      <w:bookmarkStart w:id="11" w:name="_Toc619_WPSOffice_Level2"/>
      <w:bookmarkStart w:id="12" w:name="_Toc7698"/>
      <w:bookmarkStart w:id="13" w:name="_Toc181_WPSOffice_Level2"/>
      <w:r>
        <w:rPr>
          <w:rFonts w:hint="eastAsia"/>
          <w:b w:val="0"/>
          <w:bCs w:val="0"/>
          <w:color w:val="auto"/>
          <w:lang w:eastAsia="zh-CN"/>
        </w:rPr>
        <w:t>延安市公安局业务技术用房物业管理服务（二次）</w:t>
      </w:r>
    </w:p>
    <w:p w14:paraId="4D09738F">
      <w:pPr>
        <w:numPr>
          <w:ilvl w:val="0"/>
          <w:numId w:val="0"/>
        </w:numPr>
        <w:spacing w:line="500" w:lineRule="exact"/>
        <w:ind w:firstLine="566"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8221_WPSOffice_Level2"/>
      <w:bookmarkStart w:id="15" w:name="_Toc7884"/>
      <w:bookmarkStart w:id="16" w:name="_Toc23148_WPSOffice_Level2"/>
      <w:bookmarkStart w:id="17" w:name="_Toc22627_WPSOffice_Level2"/>
      <w:r>
        <w:rPr>
          <w:rFonts w:hint="eastAsia" w:ascii="仿宋" w:hAnsi="仿宋" w:eastAsia="仿宋" w:cs="仿宋"/>
          <w:color w:val="auto"/>
          <w:highlight w:val="none"/>
          <w:lang w:eastAsia="zh-CN"/>
        </w:rPr>
        <w:t>YAZCJC2026-20</w:t>
      </w:r>
      <w:r>
        <w:rPr>
          <w:rFonts w:hint="eastAsia" w:ascii="仿宋" w:hAnsi="仿宋" w:eastAsia="仿宋" w:cs="仿宋"/>
          <w:color w:val="auto"/>
          <w:highlight w:val="none"/>
          <w:lang w:val="en-US" w:eastAsia="zh-CN"/>
        </w:rPr>
        <w:t>.1B1</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31311_WPSOffice_Level2"/>
      <w:bookmarkStart w:id="19" w:name="_Toc29947_WPSOffice_Level2"/>
      <w:bookmarkStart w:id="20" w:name="_Toc30103_WPSOffice_Level2"/>
      <w:bookmarkStart w:id="21" w:name="_Toc27211"/>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延安市公安局</w:t>
      </w:r>
    </w:p>
    <w:p w14:paraId="227B7528">
      <w:pPr>
        <w:pStyle w:val="28"/>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val="en-US" w:eastAsia="zh-CN"/>
        </w:rPr>
        <w:t>延安市新区人民路</w:t>
      </w:r>
    </w:p>
    <w:p w14:paraId="6AB7DB54">
      <w:pPr>
        <w:pStyle w:val="28"/>
        <w:spacing w:line="500" w:lineRule="exact"/>
        <w:rPr>
          <w:rFonts w:hint="default"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杨先生</w:t>
      </w:r>
    </w:p>
    <w:p w14:paraId="62845866">
      <w:pPr>
        <w:spacing w:line="500" w:lineRule="exact"/>
        <w:ind w:firstLine="1132"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13809115635</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eastAsia"/>
          <w:b w:val="0"/>
          <w:bCs w:val="0"/>
          <w:color w:val="auto"/>
        </w:rPr>
      </w:pPr>
      <w:r>
        <w:rPr>
          <w:rFonts w:hint="eastAsia"/>
          <w:b w:val="0"/>
          <w:bCs w:val="0"/>
          <w:color w:val="auto"/>
        </w:rPr>
        <w:t xml:space="preserve">磋商文件联系人：刘先生    </w:t>
      </w:r>
      <w:r>
        <w:rPr>
          <w:rFonts w:hint="eastAsia"/>
          <w:b w:val="0"/>
          <w:bCs w:val="0"/>
          <w:color w:val="auto"/>
          <w:lang w:val="en-US" w:eastAsia="zh-CN"/>
        </w:rPr>
        <w:t>赵先生</w:t>
      </w:r>
      <w:r>
        <w:rPr>
          <w:rFonts w:hint="eastAsia"/>
          <w:b w:val="0"/>
          <w:bCs w:val="0"/>
          <w:color w:val="auto"/>
        </w:rPr>
        <w:t xml:space="preserve">  </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延安市公安局业务技术用房物业管理服务（二次）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9917_WPSOffice_Level2"/>
      <w:bookmarkStart w:id="24" w:name="_Toc25753"/>
      <w:bookmarkStart w:id="25" w:name="_Toc6459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华文仿宋" w:hAnsi="华文仿宋" w:cs="华文仿宋"/>
          <w:b/>
          <w:bCs w:val="0"/>
          <w:color w:val="auto"/>
          <w:lang w:val="en-US" w:eastAsia="zh-CN"/>
        </w:rPr>
        <w:t>1607300.00</w:t>
      </w:r>
      <w:r>
        <w:rPr>
          <w:rFonts w:hint="eastAsia" w:ascii="华文仿宋" w:hAnsi="华文仿宋" w:cs="华文仿宋"/>
          <w:bCs/>
          <w:color w:val="auto"/>
        </w:rPr>
        <w:t>元</w:t>
      </w:r>
      <w:r>
        <w:rPr>
          <w:rFonts w:hint="eastAsia" w:ascii="华文仿宋" w:hAnsi="华文仿宋" w:cs="华文仿宋"/>
          <w:bCs/>
          <w:color w:val="auto"/>
          <w:lang w:eastAsia="zh-CN"/>
        </w:rPr>
        <w:t>，（</w:t>
      </w:r>
      <w:r>
        <w:rPr>
          <w:rFonts w:hint="eastAsia" w:ascii="华文仿宋" w:hAnsi="华文仿宋" w:cs="华文仿宋"/>
          <w:bCs/>
          <w:color w:val="auto"/>
          <w:lang w:val="en-US" w:eastAsia="zh-CN"/>
        </w:rPr>
        <w:t>大写：壹佰陆拾万零柒仟叁佰元整</w:t>
      </w:r>
      <w:r>
        <w:rPr>
          <w:rFonts w:hint="eastAsia" w:ascii="华文仿宋" w:hAnsi="华文仿宋" w:cs="华文仿宋"/>
          <w:bCs/>
          <w:color w:val="auto"/>
          <w:lang w:eastAsia="zh-CN"/>
        </w:rPr>
        <w:t>）</w:t>
      </w:r>
    </w:p>
    <w:p w14:paraId="41109504">
      <w:pPr>
        <w:pStyle w:val="10"/>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2.供应商</w:t>
      </w:r>
      <w:r>
        <w:rPr>
          <w:rFonts w:hint="eastAsia" w:ascii="华文仿宋" w:hAnsi="华文仿宋" w:cs="华文仿宋"/>
          <w:color w:val="auto"/>
        </w:rPr>
        <w:t>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jc w:val="left"/>
        <w:textAlignment w:val="auto"/>
        <w:rPr>
          <w:rFonts w:hint="eastAsia" w:ascii="华文仿宋" w:hAnsi="华文仿宋" w:cs="华文仿宋"/>
          <w:color w:val="auto"/>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6"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20141_WPSOffice_Level2"/>
      <w:bookmarkStart w:id="31" w:name="_Toc30400_WPSOffice_Level2"/>
      <w:bookmarkStart w:id="32" w:name="_Toc21125"/>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u w:val="single"/>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6863_WPSOffice_Level2"/>
      <w:bookmarkStart w:id="34" w:name="_Toc20847"/>
      <w:bookmarkStart w:id="35" w:name="_Toc26982_WPSOffice_Level2"/>
      <w:bookmarkStart w:id="36" w:name="_Toc27420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7月27日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31</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w:t>
      </w:r>
      <w:r>
        <w:rPr>
          <w:rFonts w:hint="eastAsia" w:ascii="仿宋" w:hAnsi="仿宋" w:eastAsia="仿宋" w:cs="仿宋"/>
          <w:b/>
          <w:bCs/>
          <w:color w:val="auto"/>
          <w:highlight w:val="none"/>
          <w:lang w:val="en-US" w:eastAsia="zh-CN"/>
        </w:rPr>
        <w:t>15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上午09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开标七室</w:t>
      </w:r>
    </w:p>
    <w:p w14:paraId="5571E26C">
      <w:pPr>
        <w:keepNext w:val="0"/>
        <w:keepLines w:val="0"/>
        <w:pageBreakBefore w:val="0"/>
        <w:widowControl/>
        <w:kinsoku/>
        <w:wordWrap/>
        <w:overflowPunct/>
        <w:topLinePunct w:val="0"/>
        <w:autoSpaceDE/>
        <w:autoSpaceDN/>
        <w:bidi w:val="0"/>
        <w:adjustRightInd/>
        <w:snapToGrid/>
        <w:spacing w:line="500" w:lineRule="exact"/>
        <w:ind w:left="566" w:leftChars="200" w:firstLine="0" w:firstLineChars="0"/>
        <w:textAlignment w:val="auto"/>
        <w:rPr>
          <w:rFonts w:hint="default"/>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val="en-US" w:eastAsia="zh-CN"/>
        </w:rPr>
        <w:t>051258188039</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20005"/>
      <w:bookmarkStart w:id="38" w:name="_Toc22849_WPSOffice_Level2"/>
      <w:bookmarkStart w:id="39" w:name="_Toc17917"/>
      <w:bookmarkStart w:id="40" w:name="_Toc14110_WPSOffice_Level2"/>
      <w:bookmarkStart w:id="41" w:name="_Toc10758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6" w:firstLineChars="200"/>
        <w:rPr>
          <w:rFonts w:hint="eastAsia" w:ascii="宋体" w:hAnsi="宋体" w:eastAsia="宋体" w:cs="宋体"/>
          <w:b/>
          <w:bCs/>
          <w:color w:val="000000"/>
        </w:rPr>
      </w:pPr>
    </w:p>
    <w:p w14:paraId="57F8537F">
      <w:pPr>
        <w:spacing w:line="500" w:lineRule="exact"/>
        <w:ind w:firstLine="566" w:firstLineChars="200"/>
        <w:rPr>
          <w:rFonts w:hint="eastAsia" w:ascii="宋体" w:hAnsi="宋体" w:eastAsia="宋体" w:cs="宋体"/>
          <w:b/>
          <w:bCs/>
          <w:color w:val="000000"/>
        </w:rPr>
      </w:pPr>
    </w:p>
    <w:p w14:paraId="75D31023">
      <w:pPr>
        <w:spacing w:line="500" w:lineRule="exact"/>
        <w:ind w:firstLine="566" w:firstLineChars="200"/>
        <w:rPr>
          <w:rFonts w:hint="eastAsia" w:ascii="宋体" w:hAnsi="宋体" w:eastAsia="宋体" w:cs="宋体"/>
          <w:b/>
          <w:bCs/>
          <w:color w:val="000000"/>
        </w:rPr>
      </w:pPr>
    </w:p>
    <w:p w14:paraId="76F14DAC">
      <w:pPr>
        <w:spacing w:line="500" w:lineRule="exact"/>
        <w:ind w:firstLine="566" w:firstLineChars="200"/>
        <w:rPr>
          <w:rFonts w:hint="eastAsia" w:ascii="宋体" w:hAnsi="宋体" w:eastAsia="宋体" w:cs="宋体"/>
          <w:b/>
          <w:bCs/>
          <w:color w:val="000000"/>
        </w:rPr>
      </w:pPr>
    </w:p>
    <w:p w14:paraId="23AC55D5">
      <w:pPr>
        <w:spacing w:line="500" w:lineRule="exact"/>
        <w:ind w:firstLine="566" w:firstLineChars="200"/>
        <w:rPr>
          <w:rFonts w:hint="eastAsia" w:ascii="宋体" w:hAnsi="宋体" w:eastAsia="宋体" w:cs="宋体"/>
          <w:b/>
          <w:bCs/>
          <w:color w:val="000000"/>
        </w:rPr>
      </w:pPr>
      <w:bookmarkStart w:id="307" w:name="_GoBack"/>
      <w:bookmarkEnd w:id="307"/>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15046_WPSOffice_Level1"/>
      <w:bookmarkStart w:id="43" w:name="_Toc445306492"/>
      <w:bookmarkStart w:id="44" w:name="_Toc495014953"/>
      <w:bookmarkStart w:id="45" w:name="_Toc7814"/>
      <w:bookmarkStart w:id="46" w:name="_Toc495014648"/>
      <w:bookmarkStart w:id="47" w:name="_Toc19337_WPSOffice_Level1"/>
      <w:bookmarkStart w:id="48" w:name="_Toc4326"/>
      <w:bookmarkStart w:id="49" w:name="_Toc495012770"/>
      <w:bookmarkStart w:id="50" w:name="_Toc22804_WPSOffice_Level1"/>
      <w:bookmarkStart w:id="51" w:name="_Toc495014584"/>
      <w:bookmarkStart w:id="52" w:name="_Toc495014919"/>
      <w:bookmarkStart w:id="53" w:name="_Toc495014610"/>
      <w:bookmarkStart w:id="54" w:name="_Toc49501282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6238"/>
      <w:bookmarkStart w:id="57" w:name="_Toc18466_WPSOffice_Level2"/>
      <w:bookmarkStart w:id="58" w:name="_Toc11989"/>
      <w:bookmarkStart w:id="59" w:name="_Toc12337"/>
      <w:bookmarkStart w:id="60" w:name="_Toc24451_WPSOffice_Level2"/>
      <w:bookmarkStart w:id="61" w:name="_Toc3858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延安市公安局</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27278_WPSOffice_Level2"/>
      <w:bookmarkStart w:id="65" w:name="_Toc20906_WPSOffice_Level2"/>
      <w:bookmarkStart w:id="66" w:name="_Toc11745_WPSOffice_Level2"/>
      <w:bookmarkStart w:id="67" w:name="_Toc4606"/>
      <w:bookmarkStart w:id="68" w:name="_Toc9291"/>
      <w:bookmarkStart w:id="69" w:name="_Toc1878"/>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4"/>
          <w:rFonts w:hint="eastAsia" w:ascii="华文仿宋" w:hAnsi="华文仿宋" w:cs="华文仿宋"/>
          <w:color w:val="000000"/>
          <w:sz w:val="28"/>
        </w:rPr>
        <w:t>信用中国</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4"/>
          <w:rFonts w:hint="eastAsia" w:ascii="华文仿宋" w:hAnsi="华文仿宋" w:cs="华文仿宋"/>
          <w:color w:val="000000"/>
          <w:sz w:val="28"/>
        </w:rPr>
        <w:t>中国政府采购网</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3"/>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asci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kern w:val="0"/>
        </w:rPr>
        <w:t>”</w:t>
      </w:r>
      <w:r>
        <w:rPr>
          <w:rFonts w:hint="eastAsia" w:ascii="华文仿宋" w:hAnsi="华文仿宋" w:cs="华文仿宋"/>
          <w:kern w:val="0"/>
          <w:lang w:eastAsia="zh-CN"/>
        </w:rPr>
        <w:t>（</w:t>
      </w:r>
      <w:r>
        <w:fldChar w:fldCharType="begin"/>
      </w:r>
      <w:r>
        <w:instrText xml:space="preserve"> HYPERLINK "http://www.ccgp-shaanxi.gov.cn/zcdservice/zcd/shanxi/" </w:instrText>
      </w:r>
      <w:r>
        <w:fldChar w:fldCharType="separate"/>
      </w:r>
      <w:r>
        <w:rPr>
          <w:rFonts w:hint="eastAsia" w:ascii="华文仿宋" w:hAnsi="华文仿宋" w:cs="华文仿宋"/>
          <w:kern w:val="0"/>
        </w:rPr>
        <w:t>陕西省政府采购信用融资平台</w:t>
      </w:r>
      <w:r>
        <w:rPr>
          <w:rFonts w:hint="eastAsia" w:ascii="华文仿宋" w:hAnsi="华文仿宋" w:cs="华文仿宋"/>
          <w:kern w:val="0"/>
        </w:rPr>
        <w:fldChar w:fldCharType="end"/>
      </w:r>
      <w:r>
        <w:rPr>
          <w:rFonts w:hint="eastAsia" w:ascii="华文仿宋" w:hAnsi="华文仿宋" w:cs="华文仿宋"/>
          <w:kern w:val="0"/>
        </w:rPr>
        <w:t>：http://www.ccgp-shaanxi.gov.cn/zcdservice/zcd/shanxi/）</w:t>
      </w:r>
    </w:p>
    <w:p w14:paraId="31DFFA35">
      <w:pPr>
        <w:pStyle w:val="10"/>
        <w:spacing w:line="500" w:lineRule="exact"/>
        <w:ind w:firstLine="566" w:firstLineChars="200"/>
        <w:rPr>
          <w:rFonts w:hint="eastAsia" w:ascii="华文仿宋" w:hAnsi="华文仿宋" w:cs="华文仿宋"/>
          <w:b/>
          <w:bCs/>
          <w:color w:val="000000"/>
        </w:rPr>
      </w:pPr>
    </w:p>
    <w:p w14:paraId="36DE6ACD">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10.根据财政部《关于推动解决政府采购异常低价问题的通知》（财库〔2026〕2号）有关要求，（一）政府采购评审中出现下列情形之一的，评审委员会应当启动异常低价投标（响应）审查程序：</w:t>
      </w:r>
    </w:p>
    <w:p w14:paraId="5D9F22D7">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（1）投标（响应）报价低于全部通过符合性审查供应商投标（响应）报价平均值50%的，即投标（响应）报价&lt;全部通过符合性审查供应商投标（响应）报价平均值×50%；</w:t>
      </w:r>
    </w:p>
    <w:p w14:paraId="603BE341">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（2）投标（响应）报价低于通过符合性审查的次低报价供应商投标（响应）报价50%的，即投标（响应）报价&lt;通过符合性审查的次低报价供应商投标（响应）报价×50%；</w:t>
      </w:r>
    </w:p>
    <w:p w14:paraId="1B609E37">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（3）投标（响应）报价低于采购项目最高限价45%的，即投标（响应）报价&lt;采购项目最高限价×45%；</w:t>
      </w:r>
    </w:p>
    <w:p w14:paraId="270941F2">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（4）评审委员会基于专业判断，认为供应商报价过低，有可能影响产品质量或者不能诚信履约的其他情形。</w:t>
      </w:r>
    </w:p>
    <w:p w14:paraId="52B04ABA">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采购人可以结合具体项目实际情况，提高上述第1项至第3项中启动异常低价投标（响应）审查的数值标准，但是最高不得超过65%。相关法律法规对供应商报价有规定的，从其规定。</w:t>
      </w:r>
    </w:p>
    <w:p w14:paraId="2391F96E">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43CA53">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9A1170A">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7024CA5">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6F172CA">
      <w:pPr>
        <w:pStyle w:val="10"/>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10"/>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w:t>
      </w:r>
      <w:r>
        <w:rPr>
          <w:rFonts w:hint="eastAsia" w:ascii="华文仿宋" w:hAnsi="华文仿宋" w:cs="华文仿宋"/>
          <w:color w:val="000000"/>
          <w:highlight w:val="none"/>
        </w:rPr>
        <w:t>起</w:t>
      </w:r>
      <w:r>
        <w:rPr>
          <w:rFonts w:hint="eastAsia" w:ascii="华文仿宋" w:hAnsi="华文仿宋" w:cs="华文仿宋"/>
          <w:color w:val="000000"/>
        </w:rPr>
        <w:t>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6980_WPSOffice_Level2"/>
      <w:bookmarkStart w:id="82" w:name="_Toc17240_WPSOffice_Level2"/>
      <w:bookmarkStart w:id="83" w:name="_Toc3222"/>
      <w:bookmarkStart w:id="84" w:name="_Toc13240"/>
      <w:bookmarkStart w:id="85" w:name="_Toc22637"/>
      <w:bookmarkStart w:id="86" w:name="_Toc21288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30415"/>
      <w:bookmarkStart w:id="88" w:name="_Toc15996"/>
      <w:bookmarkStart w:id="89" w:name="_Toc22501_WPSOffice_Level2"/>
      <w:bookmarkStart w:id="90" w:name="_Toc19768_WPSOffice_Level2"/>
      <w:bookmarkStart w:id="91" w:name="_Toc20873_WPSOffice_Level2"/>
      <w:bookmarkStart w:id="92" w:name="_Toc13064"/>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0041_WPSOffice_Level2"/>
      <w:bookmarkStart w:id="94" w:name="_Toc11009"/>
      <w:bookmarkStart w:id="95" w:name="_Toc14979"/>
      <w:bookmarkStart w:id="96" w:name="_Toc14959_WPSOffice_Level2"/>
      <w:bookmarkStart w:id="97" w:name="_Toc23179"/>
      <w:bookmarkStart w:id="98" w:name="_Toc2966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18733_WPSOffice_Level2"/>
      <w:bookmarkStart w:id="100" w:name="_Toc30535_WPSOffice_Level2"/>
      <w:bookmarkStart w:id="101" w:name="_Toc7898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24468"/>
      <w:bookmarkStart w:id="103" w:name="_Toc15608"/>
      <w:bookmarkStart w:id="104" w:name="_Toc6095"/>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28054"/>
      <w:bookmarkStart w:id="106" w:name="_Toc6837"/>
      <w:bookmarkStart w:id="107" w:name="_Toc10744"/>
      <w:bookmarkStart w:id="108" w:name="_Toc595"/>
      <w:bookmarkStart w:id="109" w:name="_Toc7022"/>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华文仿宋" w:hAnsi="华文仿宋" w:cs="华文仿宋"/>
          <w:b/>
          <w:bCs/>
          <w:color w:val="000000"/>
          <w:lang w:val="en-US" w:eastAsia="zh-CN"/>
        </w:rPr>
        <w:t>051258188039</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31720"/>
      <w:bookmarkStart w:id="112" w:name="_Toc8460"/>
      <w:bookmarkStart w:id="113" w:name="_Toc20183"/>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8"/>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8"/>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8"/>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8"/>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eastAsia="zh-CN"/>
              </w:rPr>
              <w:t>供应商</w:t>
            </w:r>
            <w:r>
              <w:rPr>
                <w:rFonts w:hint="eastAsia" w:ascii="华文仿宋" w:hAnsi="华文仿宋" w:cs="华文仿宋"/>
                <w:color w:val="000000"/>
                <w:kern w:val="28"/>
                <w:sz w:val="24"/>
                <w:szCs w:val="24"/>
              </w:rPr>
              <w:t>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2C1F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A41C03">
            <w:pPr>
              <w:spacing w:line="240" w:lineRule="auto"/>
              <w:jc w:val="center"/>
              <w:rPr>
                <w:rFonts w:hint="eastAsia"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75474F7C">
            <w:pPr>
              <w:spacing w:line="240" w:lineRule="auto"/>
              <w:jc w:val="center"/>
              <w:rPr>
                <w:rFonts w:hint="eastAsia" w:ascii="华文仿宋" w:hAnsi="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26CCA990">
            <w:pPr>
              <w:spacing w:line="240" w:lineRule="auto"/>
              <w:rPr>
                <w:rFonts w:hint="eastAsia"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8E3D5A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1CDE8C">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43B5E28E">
      <w:pPr>
        <w:tabs>
          <w:tab w:val="center" w:pos="4153"/>
          <w:tab w:val="right" w:pos="8306"/>
        </w:tabs>
        <w:spacing w:line="500" w:lineRule="exact"/>
        <w:ind w:firstLine="566" w:firstLineChars="200"/>
        <w:rPr>
          <w:rFonts w:hint="eastAsia" w:ascii="华文仿宋" w:hAnsi="华文仿宋" w:cs="华文仿宋"/>
          <w:b/>
          <w:bCs/>
          <w:color w:val="000000"/>
          <w:lang w:val="en-US" w:eastAsia="zh-CN"/>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highlight w:val="none"/>
        </w:rPr>
      </w:pPr>
      <w:r>
        <w:rPr>
          <w:rFonts w:hint="eastAsia" w:ascii="华文仿宋" w:hAnsi="华文仿宋" w:cs="华文仿宋"/>
          <w:b/>
          <w:color w:val="000000"/>
          <w:highlight w:val="none"/>
        </w:rPr>
        <w:t>除市场竞争不充分的科研项目以及需要扶持的科技成果转化项目外，通过符合性审查的供应商不足3家的，不得进行后续磋商活动，应予以废标。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19"/>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9626"/>
      <w:bookmarkStart w:id="121" w:name="_Toc27187"/>
      <w:bookmarkStart w:id="122" w:name="_Toc27797"/>
      <w:r>
        <w:rPr>
          <w:rFonts w:hint="eastAsia" w:ascii="华文仿宋" w:hAnsi="华文仿宋" w:cs="华文仿宋"/>
          <w:color w:val="000000"/>
        </w:rPr>
        <w:t>。</w:t>
      </w:r>
    </w:p>
    <w:bookmarkEnd w:id="119"/>
    <w:bookmarkEnd w:id="120"/>
    <w:bookmarkEnd w:id="121"/>
    <w:bookmarkEnd w:id="122"/>
    <w:p w14:paraId="430391F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5CD02DE0">
      <w:pPr>
        <w:keepNext/>
        <w:keepLines w:val="0"/>
        <w:pageBreakBefore w:val="0"/>
        <w:widowControl/>
        <w:numPr>
          <w:ilvl w:val="0"/>
          <w:numId w:val="0"/>
        </w:numPr>
        <w:kinsoku/>
        <w:wordWrap/>
        <w:overflowPunct/>
        <w:topLinePunct w:val="0"/>
        <w:autoSpaceDE/>
        <w:autoSpaceDN/>
        <w:bidi w:val="0"/>
        <w:adjustRightInd/>
        <w:snapToGrid/>
        <w:spacing w:line="500" w:lineRule="exact"/>
        <w:ind w:firstLine="566" w:firstLineChars="20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评分指标及评分标准</w:t>
      </w:r>
    </w:p>
    <w:tbl>
      <w:tblPr>
        <w:tblStyle w:val="38"/>
        <w:tblpPr w:leftFromText="180" w:rightFromText="180" w:vertAnchor="text" w:horzAnchor="page" w:tblpX="1857" w:tblpY="55"/>
        <w:tblOverlap w:val="neve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6660"/>
      </w:tblGrid>
      <w:tr w14:paraId="5CF0A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625" w:type="dxa"/>
            <w:noWrap w:val="0"/>
            <w:vAlign w:val="center"/>
          </w:tcPr>
          <w:p w14:paraId="0A1EB75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highlight w:val="none"/>
              </w:rPr>
            </w:pPr>
          </w:p>
          <w:p w14:paraId="74D6E2E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highlight w:val="none"/>
              </w:rPr>
            </w:pPr>
            <w:r>
              <w:rPr>
                <w:rFonts w:hint="eastAsia" w:ascii="华文仿宋" w:hAnsi="华文仿宋" w:eastAsia="华文仿宋" w:cs="华文仿宋"/>
                <w:color w:val="auto"/>
                <w:spacing w:val="0"/>
                <w:w w:val="100"/>
                <w:sz w:val="24"/>
                <w:szCs w:val="24"/>
                <w:highlight w:val="none"/>
              </w:rPr>
              <w:t>投标报价</w:t>
            </w:r>
          </w:p>
          <w:p w14:paraId="3091CE1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highlight w:val="none"/>
              </w:rPr>
            </w:pPr>
            <w:r>
              <w:rPr>
                <w:rFonts w:hint="eastAsia" w:ascii="华文仿宋" w:hAnsi="华文仿宋" w:eastAsia="华文仿宋" w:cs="华文仿宋"/>
                <w:color w:val="auto"/>
                <w:spacing w:val="0"/>
                <w:w w:val="100"/>
                <w:sz w:val="24"/>
                <w:szCs w:val="24"/>
                <w:highlight w:val="none"/>
              </w:rPr>
              <w:t>（</w:t>
            </w:r>
            <w:r>
              <w:rPr>
                <w:rFonts w:hint="eastAsia" w:ascii="华文仿宋" w:hAnsi="华文仿宋" w:eastAsia="华文仿宋" w:cs="华文仿宋"/>
                <w:color w:val="auto"/>
                <w:spacing w:val="0"/>
                <w:w w:val="100"/>
                <w:sz w:val="24"/>
                <w:szCs w:val="24"/>
                <w:highlight w:val="none"/>
                <w:lang w:val="en-US" w:eastAsia="zh-CN"/>
              </w:rPr>
              <w:t>30</w:t>
            </w:r>
            <w:r>
              <w:rPr>
                <w:rFonts w:hint="eastAsia" w:ascii="华文仿宋" w:hAnsi="华文仿宋" w:eastAsia="华文仿宋" w:cs="华文仿宋"/>
                <w:color w:val="auto"/>
                <w:spacing w:val="0"/>
                <w:w w:val="100"/>
                <w:sz w:val="24"/>
                <w:szCs w:val="24"/>
                <w:highlight w:val="none"/>
              </w:rPr>
              <w:t>分）</w:t>
            </w:r>
          </w:p>
        </w:tc>
        <w:tc>
          <w:tcPr>
            <w:tcW w:w="6660" w:type="dxa"/>
            <w:noWrap w:val="0"/>
            <w:vAlign w:val="top"/>
          </w:tcPr>
          <w:p w14:paraId="5374B5A9">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满足磋商文件要求且最后报价最低的投标人的投标报价为评标基准价，其价格计分30分。其他投标人的价格分统一按照下列公式计算：</w:t>
            </w:r>
          </w:p>
          <w:p w14:paraId="303AFD4D">
            <w:pPr>
              <w:keepNext w:val="0"/>
              <w:keepLines w:val="0"/>
              <w:widowControl/>
              <w:suppressLineNumbers w:val="0"/>
              <w:ind w:firstLine="486" w:firstLineChars="200"/>
              <w:jc w:val="left"/>
              <w:rPr>
                <w:rFonts w:hint="eastAsia" w:ascii="华文仿宋" w:hAnsi="华文仿宋" w:eastAsia="华文仿宋" w:cs="华文仿宋"/>
                <w:color w:val="auto"/>
                <w:spacing w:val="0"/>
                <w:w w:val="100"/>
                <w:sz w:val="24"/>
                <w:szCs w:val="24"/>
                <w:highlight w:val="none"/>
              </w:rPr>
            </w:pPr>
            <w:r>
              <w:rPr>
                <w:rFonts w:hint="eastAsia" w:ascii="华文仿宋" w:hAnsi="华文仿宋" w:eastAsia="华文仿宋" w:cs="华文仿宋"/>
                <w:color w:val="auto"/>
                <w:kern w:val="0"/>
                <w:sz w:val="24"/>
                <w:szCs w:val="24"/>
                <w:highlight w:val="none"/>
                <w:lang w:val="en-US" w:eastAsia="zh-CN" w:bidi="ar"/>
              </w:rPr>
              <w:t>投标报价得分=(评标基准价／最后投标报价)×价格权</w:t>
            </w:r>
            <w:r>
              <w:rPr>
                <w:rFonts w:hint="eastAsia" w:ascii="华文仿宋" w:hAnsi="华文仿宋" w:cs="华文仿宋"/>
                <w:color w:val="auto"/>
                <w:kern w:val="0"/>
                <w:sz w:val="24"/>
                <w:szCs w:val="24"/>
                <w:highlight w:val="none"/>
                <w:lang w:val="en-US" w:eastAsia="zh-CN" w:bidi="ar"/>
              </w:rPr>
              <w:t>值</w:t>
            </w:r>
            <w:r>
              <w:rPr>
                <w:rFonts w:hint="eastAsia" w:ascii="华文仿宋" w:hAnsi="华文仿宋" w:eastAsia="华文仿宋" w:cs="华文仿宋"/>
                <w:color w:val="auto"/>
                <w:kern w:val="0"/>
                <w:sz w:val="24"/>
                <w:szCs w:val="24"/>
                <w:highlight w:val="none"/>
                <w:lang w:val="en-US" w:eastAsia="zh-CN" w:bidi="ar"/>
              </w:rPr>
              <w:t>×100。</w:t>
            </w:r>
          </w:p>
        </w:tc>
      </w:tr>
      <w:tr w14:paraId="34761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8" w:hRule="atLeast"/>
        </w:trPr>
        <w:tc>
          <w:tcPr>
            <w:tcW w:w="1625" w:type="dxa"/>
            <w:noWrap w:val="0"/>
            <w:vAlign w:val="center"/>
          </w:tcPr>
          <w:p w14:paraId="3E8F7D1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position w:val="17"/>
                <w:sz w:val="24"/>
                <w:szCs w:val="24"/>
                <w:highlight w:val="none"/>
                <w:lang w:val="en-US" w:eastAsia="en-US"/>
              </w:rPr>
            </w:pPr>
            <w:r>
              <w:rPr>
                <w:rFonts w:hint="eastAsia" w:ascii="华文仿宋" w:hAnsi="华文仿宋" w:eastAsia="华文仿宋" w:cs="华文仿宋"/>
                <w:color w:val="auto"/>
                <w:spacing w:val="0"/>
                <w:w w:val="100"/>
                <w:position w:val="17"/>
                <w:sz w:val="24"/>
                <w:szCs w:val="24"/>
                <w:highlight w:val="none"/>
                <w:lang w:val="en-US" w:eastAsia="en-US"/>
              </w:rPr>
              <w:t>类似业绩</w:t>
            </w:r>
          </w:p>
          <w:p w14:paraId="1EEF273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r>
              <w:rPr>
                <w:rFonts w:hint="eastAsia" w:ascii="华文仿宋" w:hAnsi="华文仿宋" w:eastAsia="华文仿宋" w:cs="华文仿宋"/>
                <w:color w:val="auto"/>
                <w:spacing w:val="0"/>
                <w:w w:val="100"/>
                <w:position w:val="17"/>
                <w:sz w:val="24"/>
                <w:szCs w:val="24"/>
                <w:highlight w:val="none"/>
                <w:lang w:val="en-US" w:eastAsia="en-US"/>
              </w:rPr>
              <w:t>(</w:t>
            </w:r>
            <w:r>
              <w:rPr>
                <w:rFonts w:hint="eastAsia" w:ascii="华文仿宋" w:hAnsi="华文仿宋" w:eastAsia="华文仿宋" w:cs="华文仿宋"/>
                <w:color w:val="auto"/>
                <w:spacing w:val="0"/>
                <w:w w:val="100"/>
                <w:position w:val="17"/>
                <w:sz w:val="24"/>
                <w:szCs w:val="24"/>
                <w:highlight w:val="none"/>
                <w:lang w:val="en-US" w:eastAsia="zh-CN"/>
              </w:rPr>
              <w:t>8</w:t>
            </w:r>
            <w:r>
              <w:rPr>
                <w:rFonts w:hint="eastAsia" w:ascii="华文仿宋" w:hAnsi="华文仿宋" w:eastAsia="华文仿宋" w:cs="华文仿宋"/>
                <w:color w:val="auto"/>
                <w:spacing w:val="0"/>
                <w:w w:val="100"/>
                <w:position w:val="17"/>
                <w:sz w:val="24"/>
                <w:szCs w:val="24"/>
                <w:highlight w:val="none"/>
                <w:lang w:val="en-US" w:eastAsia="en-US"/>
              </w:rPr>
              <w:t>分）</w:t>
            </w:r>
          </w:p>
        </w:tc>
        <w:tc>
          <w:tcPr>
            <w:tcW w:w="6660" w:type="dxa"/>
            <w:noWrap w:val="0"/>
            <w:vAlign w:val="top"/>
          </w:tcPr>
          <w:p w14:paraId="45B55C63">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投标人提供自 2023 年 1 月 1 日以来的类似项目业绩（以合同签订日期为准），每提供一份合格业绩证明得</w:t>
            </w:r>
            <w:r>
              <w:rPr>
                <w:rFonts w:hint="eastAsia" w:ascii="华文仿宋" w:hAnsi="华文仿宋" w:cs="华文仿宋"/>
                <w:color w:val="auto"/>
                <w:kern w:val="0"/>
                <w:sz w:val="24"/>
                <w:szCs w:val="24"/>
                <w:highlight w:val="none"/>
                <w:lang w:val="en-US" w:eastAsia="zh-CN" w:bidi="ar"/>
              </w:rPr>
              <w:t>2</w:t>
            </w:r>
            <w:r>
              <w:rPr>
                <w:rFonts w:hint="eastAsia" w:ascii="华文仿宋" w:hAnsi="华文仿宋" w:eastAsia="华文仿宋" w:cs="华文仿宋"/>
                <w:color w:val="auto"/>
                <w:kern w:val="0"/>
                <w:sz w:val="24"/>
                <w:szCs w:val="24"/>
                <w:highlight w:val="none"/>
                <w:lang w:val="en-US" w:eastAsia="zh-CN" w:bidi="ar"/>
              </w:rPr>
              <w:t xml:space="preserve">分，满分 </w:t>
            </w:r>
            <w:r>
              <w:rPr>
                <w:rFonts w:hint="eastAsia" w:ascii="华文仿宋" w:hAnsi="华文仿宋" w:cs="华文仿宋"/>
                <w:color w:val="auto"/>
                <w:kern w:val="0"/>
                <w:sz w:val="24"/>
                <w:szCs w:val="24"/>
                <w:highlight w:val="none"/>
                <w:lang w:val="en-US" w:eastAsia="zh-CN" w:bidi="ar"/>
              </w:rPr>
              <w:t>8</w:t>
            </w:r>
            <w:r>
              <w:rPr>
                <w:rFonts w:hint="eastAsia" w:ascii="华文仿宋" w:hAnsi="华文仿宋" w:eastAsia="华文仿宋" w:cs="华文仿宋"/>
                <w:color w:val="auto"/>
                <w:kern w:val="0"/>
                <w:sz w:val="24"/>
                <w:szCs w:val="24"/>
                <w:highlight w:val="none"/>
                <w:lang w:val="en-US" w:eastAsia="zh-CN" w:bidi="ar"/>
              </w:rPr>
              <w:t xml:space="preserve"> 分。</w:t>
            </w:r>
          </w:p>
          <w:p w14:paraId="6BF0BA1A">
            <w:pPr>
              <w:keepNext w:val="0"/>
              <w:keepLines w:val="0"/>
              <w:widowControl/>
              <w:suppressLineNumbers w:val="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备注：须提供完整业绩合同及对应发票（任意一张）复印件，</w:t>
            </w:r>
          </w:p>
          <w:p w14:paraId="594522FA">
            <w:pPr>
              <w:keepNext w:val="0"/>
              <w:keepLines w:val="0"/>
              <w:widowControl/>
              <w:suppressLineNumbers w:val="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并加盖投标人公章，以上两种证明材料同时提供方可得分，否则不得分。</w:t>
            </w:r>
          </w:p>
        </w:tc>
      </w:tr>
      <w:tr w14:paraId="3F49A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2" w:hRule="atLeast"/>
        </w:trPr>
        <w:tc>
          <w:tcPr>
            <w:tcW w:w="1625" w:type="dxa"/>
            <w:noWrap w:val="0"/>
            <w:vAlign w:val="center"/>
          </w:tcPr>
          <w:p w14:paraId="43232B8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highlight w:val="none"/>
              </w:rPr>
            </w:pPr>
          </w:p>
          <w:p w14:paraId="7E579BB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r>
              <w:rPr>
                <w:rFonts w:hint="eastAsia" w:ascii="华文仿宋" w:hAnsi="华文仿宋" w:eastAsia="华文仿宋" w:cs="华文仿宋"/>
                <w:color w:val="auto"/>
                <w:spacing w:val="0"/>
                <w:w w:val="100"/>
                <w:position w:val="17"/>
                <w:sz w:val="24"/>
                <w:szCs w:val="24"/>
                <w:highlight w:val="none"/>
                <w:lang w:eastAsia="zh-CN"/>
              </w:rPr>
              <w:t>综合服务方案</w:t>
            </w:r>
          </w:p>
          <w:p w14:paraId="642E495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highlight w:val="none"/>
                <w:lang w:val="en-US" w:eastAsia="zh-CN"/>
              </w:rPr>
            </w:pPr>
            <w:r>
              <w:rPr>
                <w:rFonts w:hint="eastAsia" w:ascii="华文仿宋" w:hAnsi="华文仿宋" w:eastAsia="华文仿宋" w:cs="华文仿宋"/>
                <w:color w:val="auto"/>
                <w:spacing w:val="0"/>
                <w:w w:val="100"/>
                <w:position w:val="17"/>
                <w:sz w:val="24"/>
                <w:szCs w:val="24"/>
                <w:highlight w:val="none"/>
              </w:rPr>
              <w:t>（</w:t>
            </w:r>
            <w:r>
              <w:rPr>
                <w:rFonts w:hint="eastAsia" w:ascii="华文仿宋" w:hAnsi="华文仿宋" w:eastAsia="华文仿宋" w:cs="华文仿宋"/>
                <w:color w:val="auto"/>
                <w:spacing w:val="0"/>
                <w:w w:val="100"/>
                <w:position w:val="17"/>
                <w:sz w:val="24"/>
                <w:szCs w:val="24"/>
                <w:highlight w:val="none"/>
                <w:lang w:val="en-US" w:eastAsia="zh-CN"/>
              </w:rPr>
              <w:t>15</w:t>
            </w:r>
            <w:r>
              <w:rPr>
                <w:rFonts w:hint="eastAsia" w:ascii="华文仿宋" w:hAnsi="华文仿宋" w:eastAsia="华文仿宋" w:cs="华文仿宋"/>
                <w:color w:val="auto"/>
                <w:spacing w:val="0"/>
                <w:w w:val="100"/>
                <w:position w:val="17"/>
                <w:sz w:val="24"/>
                <w:szCs w:val="24"/>
                <w:highlight w:val="none"/>
              </w:rPr>
              <w:t>分）</w:t>
            </w:r>
          </w:p>
        </w:tc>
        <w:tc>
          <w:tcPr>
            <w:tcW w:w="6660" w:type="dxa"/>
            <w:noWrap w:val="0"/>
            <w:vAlign w:val="top"/>
          </w:tcPr>
          <w:p w14:paraId="6D0D11A3">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一、 评审内容</w:t>
            </w:r>
          </w:p>
          <w:p w14:paraId="37D600D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1.秩序维护管理方案（含车辆停放秩序及交通疏导方案）；</w:t>
            </w:r>
          </w:p>
          <w:p w14:paraId="37245AC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2.安全管理方案；</w:t>
            </w:r>
          </w:p>
          <w:p w14:paraId="19EE671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3.突发事件应急预案；</w:t>
            </w:r>
          </w:p>
          <w:p w14:paraId="74F14D66">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4.绿化养护方案；</w:t>
            </w:r>
          </w:p>
          <w:p w14:paraId="0FBBB32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5.会务及接待服务方案；</w:t>
            </w:r>
          </w:p>
          <w:p w14:paraId="485BC1F8">
            <w:pPr>
              <w:pStyle w:val="41"/>
              <w:rPr>
                <w:rFonts w:hint="eastAsia" w:ascii="华文仿宋" w:hAnsi="华文仿宋" w:eastAsia="华文仿宋" w:cs="华文仿宋"/>
                <w:color w:val="auto"/>
                <w:sz w:val="24"/>
                <w:szCs w:val="24"/>
                <w:lang w:val="en-US" w:eastAsia="zh-CN"/>
              </w:rPr>
            </w:pPr>
            <w:r>
              <w:rPr>
                <w:rFonts w:hint="eastAsia" w:ascii="华文仿宋" w:hAnsi="华文仿宋" w:eastAsia="华文仿宋" w:cs="华文仿宋"/>
                <w:color w:val="auto"/>
                <w:kern w:val="0"/>
                <w:sz w:val="24"/>
                <w:szCs w:val="24"/>
                <w:lang w:val="en-US" w:eastAsia="zh-CN" w:bidi="ar"/>
              </w:rPr>
              <w:t xml:space="preserve">    6.保洁服务方案；</w:t>
            </w:r>
          </w:p>
          <w:p w14:paraId="4940B51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7.房屋及共用部位的维修、养护和管理方案；</w:t>
            </w:r>
          </w:p>
          <w:p w14:paraId="3A42C1A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8.监控设备运营管理方案；</w:t>
            </w:r>
          </w:p>
          <w:p w14:paraId="287D73B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9.档案资料管理方案；</w:t>
            </w:r>
          </w:p>
          <w:p w14:paraId="2324F10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10.电梯管理方案。</w:t>
            </w:r>
          </w:p>
          <w:p w14:paraId="53CE3065">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二、评审标准</w:t>
            </w:r>
          </w:p>
          <w:p w14:paraId="3D00FDFB">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1.完整性：方案必须全面，对评审内容中的各项要求有详细描述；</w:t>
            </w:r>
          </w:p>
          <w:p w14:paraId="282C5B1C">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2.落实性：切合项目具体情况，提出责任明确、要求具体的方案；</w:t>
            </w:r>
          </w:p>
          <w:p w14:paraId="07129866">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3.针对性：方案能够紧扣项目实际情况，内容科学合理。</w:t>
            </w:r>
          </w:p>
          <w:p w14:paraId="79C96E5F">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三、赋分标准</w:t>
            </w:r>
            <w:r>
              <w:rPr>
                <w:rFonts w:hint="eastAsia" w:ascii="华文仿宋" w:hAnsi="华文仿宋" w:eastAsia="华文仿宋" w:cs="华文仿宋"/>
                <w:b/>
                <w:bCs/>
                <w:color w:val="000000"/>
                <w:kern w:val="0"/>
                <w:sz w:val="24"/>
                <w:szCs w:val="24"/>
                <w:lang w:val="en-US" w:eastAsia="zh-CN" w:bidi="ar"/>
              </w:rPr>
              <w:t>（满分15）</w:t>
            </w:r>
          </w:p>
          <w:p w14:paraId="25915950">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评审内容序号1—10条逐一评审，每条内容完全满足一项评审标准得0.5分，每条内容满分1.5分。</w:t>
            </w:r>
          </w:p>
        </w:tc>
      </w:tr>
      <w:tr w14:paraId="5BF26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625" w:type="dxa"/>
            <w:noWrap w:val="0"/>
            <w:vAlign w:val="center"/>
          </w:tcPr>
          <w:p w14:paraId="58CEF6B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highlight w:val="none"/>
              </w:rPr>
            </w:pPr>
          </w:p>
          <w:p w14:paraId="304765D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3"/>
              <w:jc w:val="both"/>
              <w:textAlignment w:val="baseline"/>
              <w:rPr>
                <w:rFonts w:hint="eastAsia" w:ascii="华文仿宋" w:hAnsi="华文仿宋" w:eastAsia="华文仿宋" w:cs="华文仿宋"/>
                <w:color w:val="auto"/>
                <w:spacing w:val="0"/>
                <w:w w:val="100"/>
                <w:position w:val="17"/>
                <w:sz w:val="24"/>
                <w:szCs w:val="24"/>
                <w:highlight w:val="none"/>
              </w:rPr>
            </w:pPr>
          </w:p>
          <w:p w14:paraId="3E727B7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highlight w:val="none"/>
                <w:lang w:eastAsia="zh-CN"/>
              </w:rPr>
            </w:pPr>
            <w:r>
              <w:rPr>
                <w:rFonts w:hint="eastAsia" w:ascii="华文仿宋" w:hAnsi="华文仿宋" w:eastAsia="华文仿宋" w:cs="华文仿宋"/>
                <w:color w:val="auto"/>
                <w:spacing w:val="0"/>
                <w:w w:val="100"/>
                <w:sz w:val="24"/>
                <w:szCs w:val="24"/>
                <w:highlight w:val="none"/>
                <w:lang w:eastAsia="zh-CN"/>
              </w:rPr>
              <w:t>服务承诺</w:t>
            </w:r>
          </w:p>
          <w:p w14:paraId="715A2B1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highlight w:val="none"/>
                <w:lang w:val="en-US" w:eastAsia="zh-CN"/>
              </w:rPr>
            </w:pPr>
            <w:r>
              <w:rPr>
                <w:rFonts w:hint="eastAsia" w:ascii="华文仿宋" w:hAnsi="华文仿宋" w:eastAsia="华文仿宋" w:cs="华文仿宋"/>
                <w:color w:val="auto"/>
                <w:spacing w:val="0"/>
                <w:w w:val="100"/>
                <w:sz w:val="24"/>
                <w:szCs w:val="24"/>
                <w:highlight w:val="none"/>
              </w:rPr>
              <w:t>（</w:t>
            </w:r>
            <w:r>
              <w:rPr>
                <w:rFonts w:hint="eastAsia" w:ascii="华文仿宋" w:hAnsi="华文仿宋" w:eastAsia="华文仿宋" w:cs="华文仿宋"/>
                <w:color w:val="auto"/>
                <w:spacing w:val="0"/>
                <w:w w:val="100"/>
                <w:sz w:val="24"/>
                <w:szCs w:val="24"/>
                <w:highlight w:val="none"/>
                <w:lang w:val="en-US" w:eastAsia="zh-CN"/>
              </w:rPr>
              <w:t>8</w:t>
            </w:r>
            <w:r>
              <w:rPr>
                <w:rFonts w:hint="eastAsia" w:ascii="华文仿宋" w:hAnsi="华文仿宋" w:eastAsia="华文仿宋" w:cs="华文仿宋"/>
                <w:color w:val="auto"/>
                <w:spacing w:val="0"/>
                <w:w w:val="100"/>
                <w:sz w:val="24"/>
                <w:szCs w:val="24"/>
                <w:highlight w:val="none"/>
              </w:rPr>
              <w:t>分）</w:t>
            </w:r>
          </w:p>
        </w:tc>
        <w:tc>
          <w:tcPr>
            <w:tcW w:w="6660" w:type="dxa"/>
            <w:noWrap w:val="0"/>
            <w:vAlign w:val="top"/>
          </w:tcPr>
          <w:p w14:paraId="55B68A4B">
            <w:pPr>
              <w:keepNext w:val="0"/>
              <w:keepLines w:val="0"/>
              <w:widowControl/>
              <w:numPr>
                <w:ilvl w:val="0"/>
                <w:numId w:val="5"/>
              </w:numPr>
              <w:suppressLineNumbers w:val="0"/>
              <w:ind w:firstLine="486" w:firstLineChars="200"/>
              <w:jc w:val="left"/>
              <w:rPr>
                <w:rFonts w:hint="eastAsia" w:ascii="华文仿宋" w:hAnsi="华文仿宋" w:eastAsia="华文仿宋" w:cs="华文仿宋"/>
                <w:b w:val="0"/>
                <w:bCs w:val="0"/>
                <w:color w:val="auto"/>
                <w:sz w:val="24"/>
                <w:szCs w:val="24"/>
              </w:rPr>
            </w:pPr>
            <w:r>
              <w:rPr>
                <w:rFonts w:hint="eastAsia" w:ascii="华文仿宋" w:hAnsi="华文仿宋" w:eastAsia="华文仿宋" w:cs="华文仿宋"/>
                <w:b w:val="0"/>
                <w:bCs w:val="0"/>
                <w:color w:val="auto"/>
                <w:sz w:val="24"/>
                <w:szCs w:val="24"/>
              </w:rPr>
              <w:t>承诺：接受采购人对本项目服务的考核、监督及管理，定期调研 采购人对服务质量的满意度并加以改进，确保服务工作的优质高效，得</w:t>
            </w:r>
            <w:r>
              <w:rPr>
                <w:rFonts w:hint="eastAsia" w:ascii="华文仿宋" w:hAnsi="华文仿宋" w:eastAsia="华文仿宋" w:cs="华文仿宋"/>
                <w:b w:val="0"/>
                <w:bCs w:val="0"/>
                <w:color w:val="auto"/>
                <w:sz w:val="24"/>
                <w:szCs w:val="24"/>
                <w:lang w:val="en-US" w:eastAsia="zh-CN"/>
              </w:rPr>
              <w:t>2</w:t>
            </w:r>
            <w:r>
              <w:rPr>
                <w:rFonts w:hint="eastAsia" w:ascii="华文仿宋" w:hAnsi="华文仿宋" w:eastAsia="华文仿宋" w:cs="华文仿宋"/>
                <w:b w:val="0"/>
                <w:bCs w:val="0"/>
                <w:color w:val="auto"/>
                <w:sz w:val="24"/>
                <w:szCs w:val="24"/>
              </w:rPr>
              <w:t xml:space="preserve">分。无承诺不得分。 </w:t>
            </w:r>
          </w:p>
          <w:p w14:paraId="19EC444E">
            <w:pPr>
              <w:keepNext w:val="0"/>
              <w:keepLines w:val="0"/>
              <w:widowControl/>
              <w:numPr>
                <w:ilvl w:val="0"/>
                <w:numId w:val="5"/>
              </w:numPr>
              <w:suppressLineNumbers w:val="0"/>
              <w:ind w:left="0" w:leftChars="0" w:firstLine="486" w:firstLineChars="200"/>
              <w:jc w:val="left"/>
              <w:rPr>
                <w:rFonts w:hint="eastAsia" w:ascii="华文仿宋" w:hAnsi="华文仿宋" w:eastAsia="华文仿宋" w:cs="华文仿宋"/>
                <w:b w:val="0"/>
                <w:bCs w:val="0"/>
                <w:color w:val="auto"/>
                <w:sz w:val="24"/>
                <w:szCs w:val="24"/>
              </w:rPr>
            </w:pPr>
            <w:r>
              <w:rPr>
                <w:rFonts w:hint="eastAsia" w:ascii="华文仿宋" w:hAnsi="华文仿宋" w:eastAsia="华文仿宋" w:cs="华文仿宋"/>
                <w:b w:val="0"/>
                <w:bCs w:val="0"/>
                <w:color w:val="auto"/>
                <w:sz w:val="24"/>
                <w:szCs w:val="24"/>
              </w:rPr>
              <w:t>承诺：上岗人员固定，不随意更换，若出现服务人员因事、病等服务不能工作的，能及时调整其他服务人员补充，确保服务工作的正常进</w:t>
            </w:r>
            <w:r>
              <w:rPr>
                <w:rFonts w:hint="eastAsia" w:ascii="华文仿宋" w:hAnsi="华文仿宋" w:eastAsia="华文仿宋" w:cs="华文仿宋"/>
                <w:b w:val="0"/>
                <w:bCs w:val="0"/>
                <w:color w:val="auto"/>
                <w:sz w:val="24"/>
                <w:szCs w:val="24"/>
                <w:lang w:val="en-US" w:eastAsia="zh-CN"/>
              </w:rPr>
              <w:t>行</w:t>
            </w:r>
            <w:r>
              <w:rPr>
                <w:rFonts w:hint="eastAsia" w:ascii="华文仿宋" w:hAnsi="华文仿宋" w:eastAsia="华文仿宋" w:cs="华文仿宋"/>
                <w:b w:val="0"/>
                <w:bCs w:val="0"/>
                <w:color w:val="auto"/>
                <w:sz w:val="24"/>
                <w:szCs w:val="24"/>
              </w:rPr>
              <w:t>得</w:t>
            </w:r>
            <w:r>
              <w:rPr>
                <w:rFonts w:hint="eastAsia" w:ascii="华文仿宋" w:hAnsi="华文仿宋" w:eastAsia="华文仿宋" w:cs="华文仿宋"/>
                <w:b w:val="0"/>
                <w:bCs w:val="0"/>
                <w:color w:val="auto"/>
                <w:sz w:val="24"/>
                <w:szCs w:val="24"/>
                <w:lang w:val="en-US" w:eastAsia="zh-CN"/>
              </w:rPr>
              <w:t>2</w:t>
            </w:r>
            <w:r>
              <w:rPr>
                <w:rFonts w:hint="eastAsia" w:ascii="华文仿宋" w:hAnsi="华文仿宋" w:eastAsia="华文仿宋" w:cs="华文仿宋"/>
                <w:b w:val="0"/>
                <w:bCs w:val="0"/>
                <w:color w:val="auto"/>
                <w:sz w:val="24"/>
                <w:szCs w:val="24"/>
              </w:rPr>
              <w:t>分。无承诺不得分。</w:t>
            </w:r>
          </w:p>
          <w:p w14:paraId="6DBC9E5D">
            <w:pPr>
              <w:keepNext w:val="0"/>
              <w:keepLines w:val="0"/>
              <w:widowControl/>
              <w:numPr>
                <w:ilvl w:val="0"/>
                <w:numId w:val="5"/>
              </w:numPr>
              <w:suppressLineNumbers w:val="0"/>
              <w:ind w:left="0" w:leftChars="0" w:firstLine="486" w:firstLineChars="200"/>
              <w:jc w:val="left"/>
              <w:rPr>
                <w:rFonts w:hint="eastAsia" w:ascii="华文仿宋" w:hAnsi="华文仿宋" w:eastAsia="华文仿宋" w:cs="华文仿宋"/>
                <w:b w:val="0"/>
                <w:bCs w:val="0"/>
                <w:color w:val="auto"/>
                <w:sz w:val="24"/>
                <w:szCs w:val="24"/>
              </w:rPr>
            </w:pPr>
            <w:r>
              <w:rPr>
                <w:rFonts w:hint="eastAsia" w:ascii="华文仿宋" w:hAnsi="华文仿宋" w:eastAsia="华文仿宋" w:cs="华文仿宋"/>
                <w:b w:val="0"/>
                <w:bCs w:val="0"/>
                <w:color w:val="auto"/>
                <w:sz w:val="24"/>
                <w:szCs w:val="24"/>
              </w:rPr>
              <w:t>承诺：具有服务意见受理和反馈机制，对采购人提出的意见和建议积极主动响应，及时解决采购人问题，得</w:t>
            </w:r>
            <w:r>
              <w:rPr>
                <w:rFonts w:hint="eastAsia" w:ascii="华文仿宋" w:hAnsi="华文仿宋" w:eastAsia="华文仿宋" w:cs="华文仿宋"/>
                <w:b w:val="0"/>
                <w:bCs w:val="0"/>
                <w:color w:val="auto"/>
                <w:sz w:val="24"/>
                <w:szCs w:val="24"/>
                <w:lang w:val="en-US" w:eastAsia="zh-CN"/>
              </w:rPr>
              <w:t>2</w:t>
            </w:r>
            <w:r>
              <w:rPr>
                <w:rFonts w:hint="eastAsia" w:ascii="华文仿宋" w:hAnsi="华文仿宋" w:eastAsia="华文仿宋" w:cs="华文仿宋"/>
                <w:b w:val="0"/>
                <w:bCs w:val="0"/>
                <w:color w:val="auto"/>
                <w:sz w:val="24"/>
                <w:szCs w:val="24"/>
              </w:rPr>
              <w:t xml:space="preserve">分。不提供不得分。 </w:t>
            </w:r>
          </w:p>
          <w:p w14:paraId="0CCB5F36">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b w:val="0"/>
                <w:bCs w:val="0"/>
                <w:color w:val="auto"/>
                <w:sz w:val="24"/>
                <w:szCs w:val="24"/>
              </w:rPr>
              <w:t>4、承诺：拟派所有人员均持有健康证明</w:t>
            </w:r>
            <w:r>
              <w:rPr>
                <w:rFonts w:hint="eastAsia" w:ascii="华文仿宋" w:hAnsi="华文仿宋" w:eastAsia="华文仿宋" w:cs="华文仿宋"/>
                <w:b w:val="0"/>
                <w:bCs w:val="0"/>
                <w:color w:val="auto"/>
                <w:sz w:val="24"/>
                <w:szCs w:val="24"/>
                <w:lang w:eastAsia="zh-CN"/>
              </w:rPr>
              <w:t>，</w:t>
            </w:r>
            <w:r>
              <w:rPr>
                <w:rFonts w:hint="eastAsia" w:ascii="华文仿宋" w:hAnsi="华文仿宋" w:eastAsia="华文仿宋" w:cs="华文仿宋"/>
                <w:b w:val="0"/>
                <w:bCs w:val="0"/>
                <w:color w:val="auto"/>
                <w:sz w:val="24"/>
                <w:szCs w:val="24"/>
              </w:rPr>
              <w:t>得</w:t>
            </w:r>
            <w:r>
              <w:rPr>
                <w:rFonts w:hint="eastAsia" w:ascii="华文仿宋" w:hAnsi="华文仿宋" w:eastAsia="华文仿宋" w:cs="华文仿宋"/>
                <w:b w:val="0"/>
                <w:bCs w:val="0"/>
                <w:color w:val="auto"/>
                <w:sz w:val="24"/>
                <w:szCs w:val="24"/>
                <w:lang w:val="en-US" w:eastAsia="zh-CN"/>
              </w:rPr>
              <w:t>2</w:t>
            </w:r>
            <w:r>
              <w:rPr>
                <w:rFonts w:hint="eastAsia" w:ascii="华文仿宋" w:hAnsi="华文仿宋" w:eastAsia="华文仿宋" w:cs="华文仿宋"/>
                <w:b w:val="0"/>
                <w:bCs w:val="0"/>
                <w:color w:val="auto"/>
                <w:sz w:val="24"/>
                <w:szCs w:val="24"/>
              </w:rPr>
              <w:t>分。不提供不得分。</w:t>
            </w:r>
            <w:r>
              <w:rPr>
                <w:rFonts w:hint="eastAsia" w:ascii="华文仿宋" w:hAnsi="华文仿宋" w:eastAsia="华文仿宋" w:cs="华文仿宋"/>
                <w:color w:val="auto"/>
                <w:kern w:val="0"/>
                <w:sz w:val="24"/>
                <w:szCs w:val="24"/>
                <w:lang w:val="en-US" w:eastAsia="zh-CN" w:bidi="ar"/>
              </w:rPr>
              <w:t xml:space="preserve">  </w:t>
            </w:r>
          </w:p>
        </w:tc>
      </w:tr>
      <w:tr w14:paraId="033E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5" w:hRule="atLeast"/>
        </w:trPr>
        <w:tc>
          <w:tcPr>
            <w:tcW w:w="1625" w:type="dxa"/>
            <w:noWrap w:val="0"/>
            <w:vAlign w:val="center"/>
          </w:tcPr>
          <w:p w14:paraId="1F151ED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1E48A10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6561E01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jc w:val="center"/>
              <w:textAlignment w:val="baseline"/>
              <w:rPr>
                <w:rFonts w:hint="eastAsia" w:ascii="华文仿宋" w:hAnsi="华文仿宋" w:eastAsia="华文仿宋" w:cs="华文仿宋"/>
                <w:color w:val="auto"/>
                <w:spacing w:val="0"/>
                <w:w w:val="100"/>
                <w:position w:val="17"/>
                <w:sz w:val="24"/>
                <w:szCs w:val="24"/>
              </w:rPr>
            </w:pPr>
            <w:r>
              <w:rPr>
                <w:rFonts w:hint="eastAsia" w:ascii="华文仿宋" w:hAnsi="华文仿宋" w:eastAsia="华文仿宋" w:cs="华文仿宋"/>
                <w:color w:val="auto"/>
                <w:spacing w:val="0"/>
                <w:w w:val="100"/>
                <w:position w:val="17"/>
                <w:sz w:val="24"/>
                <w:szCs w:val="24"/>
              </w:rPr>
              <w:t>组织架构及人员</w:t>
            </w:r>
            <w:r>
              <w:rPr>
                <w:rFonts w:hint="eastAsia" w:ascii="华文仿宋" w:hAnsi="华文仿宋" w:eastAsia="华文仿宋" w:cs="华文仿宋"/>
                <w:color w:val="auto"/>
                <w:spacing w:val="0"/>
                <w:w w:val="100"/>
                <w:position w:val="17"/>
                <w:sz w:val="24"/>
                <w:szCs w:val="24"/>
                <w:lang w:val="en-US" w:eastAsia="zh-CN"/>
              </w:rPr>
              <w:t>配置</w:t>
            </w:r>
            <w:r>
              <w:rPr>
                <w:rFonts w:hint="eastAsia" w:ascii="华文仿宋" w:hAnsi="华文仿宋" w:eastAsia="华文仿宋" w:cs="华文仿宋"/>
                <w:color w:val="auto"/>
                <w:spacing w:val="0"/>
                <w:w w:val="100"/>
                <w:position w:val="17"/>
                <w:sz w:val="24"/>
                <w:szCs w:val="24"/>
              </w:rPr>
              <w:t>方案</w:t>
            </w:r>
          </w:p>
          <w:p w14:paraId="648E808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jc w:val="center"/>
              <w:textAlignment w:val="baseline"/>
              <w:rPr>
                <w:rFonts w:hint="eastAsia" w:ascii="华文仿宋" w:hAnsi="华文仿宋" w:eastAsia="华文仿宋" w:cs="华文仿宋"/>
                <w:color w:val="auto"/>
                <w:spacing w:val="0"/>
                <w:w w:val="100"/>
                <w:sz w:val="24"/>
                <w:szCs w:val="24"/>
                <w:lang w:eastAsia="zh-CN"/>
              </w:rPr>
            </w:pPr>
            <w:r>
              <w:rPr>
                <w:rFonts w:hint="eastAsia" w:ascii="华文仿宋" w:hAnsi="华文仿宋" w:eastAsia="华文仿宋" w:cs="华文仿宋"/>
                <w:color w:val="auto"/>
                <w:spacing w:val="0"/>
                <w:w w:val="100"/>
                <w:position w:val="17"/>
                <w:sz w:val="24"/>
                <w:szCs w:val="24"/>
              </w:rPr>
              <w:t>（</w:t>
            </w:r>
            <w:r>
              <w:rPr>
                <w:rFonts w:hint="eastAsia" w:ascii="华文仿宋" w:hAnsi="华文仿宋" w:eastAsia="华文仿宋" w:cs="华文仿宋"/>
                <w:color w:val="auto"/>
                <w:spacing w:val="0"/>
                <w:w w:val="100"/>
                <w:position w:val="17"/>
                <w:sz w:val="24"/>
                <w:szCs w:val="24"/>
                <w:lang w:val="en-US" w:eastAsia="zh-CN"/>
              </w:rPr>
              <w:t>6</w:t>
            </w:r>
            <w:r>
              <w:rPr>
                <w:rFonts w:hint="eastAsia" w:ascii="华文仿宋" w:hAnsi="华文仿宋" w:eastAsia="华文仿宋" w:cs="华文仿宋"/>
                <w:color w:val="auto"/>
                <w:spacing w:val="0"/>
                <w:w w:val="100"/>
                <w:position w:val="17"/>
                <w:sz w:val="24"/>
                <w:szCs w:val="24"/>
              </w:rPr>
              <w:t>分</w:t>
            </w:r>
            <w:r>
              <w:rPr>
                <w:rFonts w:hint="eastAsia" w:ascii="华文仿宋" w:hAnsi="华文仿宋" w:eastAsia="华文仿宋" w:cs="华文仿宋"/>
                <w:color w:val="auto"/>
                <w:spacing w:val="0"/>
                <w:w w:val="100"/>
                <w:position w:val="17"/>
                <w:sz w:val="24"/>
                <w:szCs w:val="24"/>
                <w:lang w:eastAsia="zh-CN"/>
              </w:rPr>
              <w:t>）</w:t>
            </w:r>
          </w:p>
        </w:tc>
        <w:tc>
          <w:tcPr>
            <w:tcW w:w="6660" w:type="dxa"/>
            <w:noWrap w:val="0"/>
            <w:vAlign w:val="top"/>
          </w:tcPr>
          <w:p w14:paraId="12F5B557">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一、评审内容</w:t>
            </w:r>
          </w:p>
          <w:p w14:paraId="73C053A8">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根据本项目制定合理的管理组织机构及人员配置方案、或计划，包括：1.人员配置计划数量；2.人员配置方案及岗位职责；3.内部管理组织架构。</w:t>
            </w:r>
          </w:p>
          <w:p w14:paraId="6BDB0A12">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二、评审标准</w:t>
            </w:r>
          </w:p>
          <w:p w14:paraId="60BE30C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1.完整性：描述必须全面，对评审内容中的各项要求有详细描述；</w:t>
            </w:r>
          </w:p>
          <w:p w14:paraId="58C6F09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2.针对性：能够紧扣项目实际情况，内容科学合理。</w:t>
            </w:r>
          </w:p>
          <w:p w14:paraId="6407EDCB">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三、赋分标准</w:t>
            </w:r>
            <w:r>
              <w:rPr>
                <w:rFonts w:hint="eastAsia" w:ascii="华文仿宋" w:hAnsi="华文仿宋" w:eastAsia="华文仿宋" w:cs="华文仿宋"/>
                <w:b/>
                <w:bCs/>
                <w:color w:val="000000"/>
                <w:kern w:val="0"/>
                <w:sz w:val="24"/>
                <w:szCs w:val="24"/>
                <w:lang w:val="en-US" w:eastAsia="zh-CN" w:bidi="ar"/>
              </w:rPr>
              <w:t>（满分6）</w:t>
            </w:r>
          </w:p>
          <w:p w14:paraId="094820D6">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1.针对本项目提供人员配置计划，每完全满足1个评审标准得1分，满分2分。</w:t>
            </w:r>
          </w:p>
          <w:p w14:paraId="1203C275">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lang w:val="en-US" w:eastAsia="zh-CN" w:bidi="ar"/>
              </w:rPr>
              <w:t>2.针对本项目提供人</w:t>
            </w:r>
            <w:r>
              <w:rPr>
                <w:rFonts w:hint="eastAsia" w:ascii="华文仿宋" w:hAnsi="华文仿宋" w:eastAsia="华文仿宋" w:cs="华文仿宋"/>
                <w:color w:val="auto"/>
                <w:kern w:val="0"/>
                <w:sz w:val="24"/>
                <w:szCs w:val="24"/>
                <w:highlight w:val="none"/>
                <w:lang w:val="en-US" w:eastAsia="zh-CN" w:bidi="ar"/>
              </w:rPr>
              <w:t>员配备方案及岗位职责，每完全满足 1 个评审标准得1分，满分2分。</w:t>
            </w:r>
          </w:p>
          <w:p w14:paraId="4F787E9E">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highlight w:val="none"/>
                <w:lang w:val="en-US" w:eastAsia="zh-CN" w:bidi="ar"/>
              </w:rPr>
              <w:t>3.针对本项目提供项目内部管理组织架构，每完</w:t>
            </w:r>
            <w:r>
              <w:rPr>
                <w:rFonts w:hint="eastAsia" w:ascii="华文仿宋" w:hAnsi="华文仿宋" w:eastAsia="华文仿宋" w:cs="华文仿宋"/>
                <w:color w:val="auto"/>
                <w:kern w:val="0"/>
                <w:sz w:val="24"/>
                <w:szCs w:val="24"/>
                <w:lang w:val="en-US" w:eastAsia="zh-CN" w:bidi="ar"/>
              </w:rPr>
              <w:t>全满足1个评审标准得1分，满分2分。</w:t>
            </w:r>
          </w:p>
        </w:tc>
      </w:tr>
      <w:tr w14:paraId="36E54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91" w:hRule="atLeast"/>
        </w:trPr>
        <w:tc>
          <w:tcPr>
            <w:tcW w:w="1625" w:type="dxa"/>
            <w:noWrap w:val="0"/>
            <w:vAlign w:val="top"/>
          </w:tcPr>
          <w:p w14:paraId="09AEA4D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1E34B3B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3E584BD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2938B31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4BBC420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5D9C3CB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5"/>
              <w:jc w:val="left"/>
              <w:textAlignment w:val="baseline"/>
              <w:rPr>
                <w:rFonts w:hint="eastAsia" w:ascii="华文仿宋" w:hAnsi="华文仿宋" w:eastAsia="华文仿宋" w:cs="华文仿宋"/>
                <w:color w:val="auto"/>
                <w:spacing w:val="0"/>
                <w:w w:val="100"/>
                <w:sz w:val="24"/>
                <w:szCs w:val="24"/>
                <w:highlight w:val="none"/>
              </w:rPr>
            </w:pPr>
            <w:r>
              <w:rPr>
                <w:rFonts w:hint="eastAsia" w:ascii="华文仿宋" w:hAnsi="华文仿宋" w:eastAsia="华文仿宋" w:cs="华文仿宋"/>
                <w:color w:val="auto"/>
                <w:spacing w:val="0"/>
                <w:w w:val="100"/>
                <w:position w:val="17"/>
                <w:sz w:val="24"/>
                <w:szCs w:val="24"/>
                <w:highlight w:val="none"/>
              </w:rPr>
              <w:t>拟投入的设备、工具以及耗材等（</w:t>
            </w:r>
            <w:r>
              <w:rPr>
                <w:rFonts w:hint="eastAsia" w:ascii="华文仿宋" w:hAnsi="华文仿宋" w:eastAsia="华文仿宋" w:cs="华文仿宋"/>
                <w:color w:val="auto"/>
                <w:spacing w:val="0"/>
                <w:w w:val="100"/>
                <w:position w:val="17"/>
                <w:sz w:val="24"/>
                <w:szCs w:val="24"/>
                <w:highlight w:val="none"/>
                <w:lang w:val="en-US" w:eastAsia="zh-CN"/>
              </w:rPr>
              <w:t>8分）</w:t>
            </w:r>
          </w:p>
        </w:tc>
        <w:tc>
          <w:tcPr>
            <w:tcW w:w="6660" w:type="dxa"/>
            <w:noWrap w:val="0"/>
            <w:vAlign w:val="top"/>
          </w:tcPr>
          <w:p w14:paraId="627AFB83">
            <w:pPr>
              <w:keepNext w:val="0"/>
              <w:keepLines w:val="0"/>
              <w:widowControl/>
              <w:suppressLineNumbers w:val="0"/>
              <w:ind w:firstLine="486" w:firstLineChars="200"/>
              <w:jc w:val="left"/>
              <w:rPr>
                <w:rFonts w:hint="eastAsia" w:ascii="华文仿宋" w:hAnsi="华文仿宋" w:eastAsia="华文仿宋" w:cs="华文仿宋"/>
                <w:b w:val="0"/>
                <w:bCs w:val="0"/>
                <w:color w:val="auto"/>
                <w:kern w:val="0"/>
                <w:sz w:val="24"/>
                <w:szCs w:val="24"/>
                <w:lang w:val="en-US" w:eastAsia="zh-CN" w:bidi="ar"/>
              </w:rPr>
            </w:pPr>
            <w:r>
              <w:rPr>
                <w:rFonts w:hint="eastAsia" w:ascii="华文仿宋" w:hAnsi="华文仿宋" w:eastAsia="华文仿宋" w:cs="华文仿宋"/>
                <w:b w:val="0"/>
                <w:bCs w:val="0"/>
                <w:color w:val="auto"/>
                <w:kern w:val="0"/>
                <w:sz w:val="24"/>
                <w:szCs w:val="24"/>
                <w:lang w:val="en-US" w:eastAsia="zh-CN" w:bidi="ar"/>
              </w:rPr>
              <w:t>1.针对本项目投入办公设备计划。包括：电脑、打印机、固定电话、移动电话得2分。</w:t>
            </w:r>
          </w:p>
          <w:p w14:paraId="72987717">
            <w:pPr>
              <w:keepNext w:val="0"/>
              <w:keepLines w:val="0"/>
              <w:widowControl/>
              <w:suppressLineNumbers w:val="0"/>
              <w:ind w:firstLine="486" w:firstLineChars="200"/>
              <w:jc w:val="left"/>
              <w:rPr>
                <w:rFonts w:hint="eastAsia" w:ascii="华文仿宋" w:hAnsi="华文仿宋" w:eastAsia="华文仿宋" w:cs="华文仿宋"/>
                <w:b w:val="0"/>
                <w:bCs w:val="0"/>
                <w:color w:val="auto"/>
                <w:kern w:val="0"/>
                <w:sz w:val="24"/>
                <w:szCs w:val="24"/>
                <w:lang w:val="en-US" w:eastAsia="zh-CN" w:bidi="ar"/>
              </w:rPr>
            </w:pPr>
            <w:r>
              <w:rPr>
                <w:rFonts w:hint="eastAsia" w:ascii="华文仿宋" w:hAnsi="华文仿宋" w:eastAsia="华文仿宋" w:cs="华文仿宋"/>
                <w:b w:val="0"/>
                <w:bCs w:val="0"/>
                <w:color w:val="auto"/>
                <w:kern w:val="0"/>
                <w:sz w:val="24"/>
                <w:szCs w:val="24"/>
                <w:lang w:val="en-US" w:eastAsia="zh-CN" w:bidi="ar"/>
              </w:rPr>
              <w:t>2.针对本项目提供耗材配置。包括：拖把、扫帚、洗手液、消毒液、檫手纸、电池、门锁得2分。</w:t>
            </w:r>
          </w:p>
          <w:p w14:paraId="4B42819E">
            <w:pPr>
              <w:keepNext w:val="0"/>
              <w:keepLines w:val="0"/>
              <w:widowControl/>
              <w:suppressLineNumbers w:val="0"/>
              <w:ind w:firstLine="486" w:firstLineChars="200"/>
              <w:jc w:val="left"/>
              <w:rPr>
                <w:rFonts w:hint="eastAsia" w:ascii="华文仿宋" w:hAnsi="华文仿宋" w:eastAsia="华文仿宋" w:cs="华文仿宋"/>
                <w:b w:val="0"/>
                <w:bCs w:val="0"/>
                <w:color w:val="auto"/>
                <w:kern w:val="0"/>
                <w:sz w:val="24"/>
                <w:szCs w:val="24"/>
                <w:lang w:val="en-US" w:eastAsia="zh-CN" w:bidi="ar"/>
              </w:rPr>
            </w:pPr>
            <w:r>
              <w:rPr>
                <w:rFonts w:hint="eastAsia" w:ascii="华文仿宋" w:hAnsi="华文仿宋" w:eastAsia="华文仿宋" w:cs="华文仿宋"/>
                <w:b w:val="0"/>
                <w:bCs w:val="0"/>
                <w:color w:val="auto"/>
                <w:kern w:val="0"/>
                <w:sz w:val="24"/>
                <w:szCs w:val="24"/>
                <w:lang w:val="en-US" w:eastAsia="zh-CN" w:bidi="ar"/>
              </w:rPr>
              <w:t>3.针对本项目提供维修工具配置。包括：万用表、电烙铁、绝缘手套、绝缘鞋、管钳、疏通机、扳手、螺丝刀等维修工具得2分。</w:t>
            </w:r>
          </w:p>
          <w:p w14:paraId="7E858078">
            <w:pPr>
              <w:keepNext w:val="0"/>
              <w:keepLines w:val="0"/>
              <w:widowControl/>
              <w:suppressLineNumbers w:val="0"/>
              <w:ind w:firstLine="486" w:firstLineChars="200"/>
              <w:jc w:val="left"/>
              <w:rPr>
                <w:rFonts w:hint="eastAsia" w:ascii="华文仿宋" w:hAnsi="华文仿宋" w:eastAsia="华文仿宋" w:cs="华文仿宋"/>
                <w:b w:val="0"/>
                <w:bCs w:val="0"/>
                <w:color w:val="auto"/>
                <w:kern w:val="0"/>
                <w:sz w:val="24"/>
                <w:szCs w:val="24"/>
                <w:lang w:val="en-US" w:eastAsia="zh-CN" w:bidi="ar"/>
              </w:rPr>
            </w:pPr>
            <w:r>
              <w:rPr>
                <w:rFonts w:hint="eastAsia" w:ascii="华文仿宋" w:hAnsi="华文仿宋" w:eastAsia="华文仿宋" w:cs="华文仿宋"/>
                <w:b w:val="0"/>
                <w:bCs w:val="0"/>
                <w:color w:val="auto"/>
                <w:kern w:val="0"/>
                <w:sz w:val="24"/>
                <w:szCs w:val="24"/>
                <w:lang w:val="en-US" w:eastAsia="zh-CN" w:bidi="ar"/>
              </w:rPr>
              <w:t>4.针对本项目设备工具。包括：扫地机、洗地机、吸尘器、升降车、吊篮、高压水枪、清洁车、绿篱机、剪草机、修枝剪、打药机得2分。</w:t>
            </w:r>
          </w:p>
          <w:p w14:paraId="0418D5EB">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b w:val="0"/>
                <w:bCs w:val="0"/>
                <w:color w:val="auto"/>
                <w:kern w:val="0"/>
                <w:sz w:val="24"/>
                <w:szCs w:val="24"/>
                <w:lang w:val="en-US" w:eastAsia="zh-CN" w:bidi="ar"/>
              </w:rPr>
              <w:t>注：以上配备所需要的物料提供配备明细清单和承诺，未提供明细清单、缺项漏项或未承诺不得分。</w:t>
            </w:r>
          </w:p>
        </w:tc>
      </w:tr>
      <w:tr w14:paraId="5B6B5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625" w:type="dxa"/>
            <w:noWrap w:val="0"/>
            <w:vAlign w:val="top"/>
          </w:tcPr>
          <w:p w14:paraId="6FF68C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2482973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5387374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0446A1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highlight w:val="none"/>
              </w:rPr>
            </w:pPr>
          </w:p>
          <w:p w14:paraId="5EEE842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jc w:val="center"/>
              <w:textAlignment w:val="baseline"/>
              <w:rPr>
                <w:rFonts w:hint="eastAsia" w:ascii="华文仿宋" w:hAnsi="华文仿宋" w:eastAsia="华文仿宋" w:cs="华文仿宋"/>
                <w:color w:val="auto"/>
                <w:spacing w:val="0"/>
                <w:w w:val="100"/>
                <w:position w:val="17"/>
                <w:sz w:val="24"/>
                <w:szCs w:val="24"/>
                <w:highlight w:val="none"/>
              </w:rPr>
            </w:pPr>
            <w:r>
              <w:rPr>
                <w:rFonts w:hint="eastAsia" w:ascii="华文仿宋" w:hAnsi="华文仿宋" w:eastAsia="华文仿宋" w:cs="华文仿宋"/>
                <w:color w:val="auto"/>
                <w:spacing w:val="0"/>
                <w:w w:val="100"/>
                <w:position w:val="17"/>
                <w:sz w:val="24"/>
                <w:szCs w:val="24"/>
                <w:highlight w:val="none"/>
                <w:lang w:eastAsia="zh-CN"/>
              </w:rPr>
              <w:t>培训</w:t>
            </w:r>
            <w:r>
              <w:rPr>
                <w:rFonts w:hint="eastAsia" w:ascii="华文仿宋" w:hAnsi="华文仿宋" w:eastAsia="华文仿宋" w:cs="华文仿宋"/>
                <w:color w:val="auto"/>
                <w:spacing w:val="0"/>
                <w:w w:val="100"/>
                <w:position w:val="17"/>
                <w:sz w:val="24"/>
                <w:szCs w:val="24"/>
                <w:highlight w:val="none"/>
              </w:rPr>
              <w:t>方案</w:t>
            </w:r>
          </w:p>
          <w:p w14:paraId="521AE23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jc w:val="center"/>
              <w:textAlignment w:val="baseline"/>
              <w:rPr>
                <w:rFonts w:hint="eastAsia" w:ascii="华文仿宋" w:hAnsi="华文仿宋" w:eastAsia="华文仿宋" w:cs="华文仿宋"/>
                <w:color w:val="auto"/>
                <w:spacing w:val="0"/>
                <w:w w:val="100"/>
                <w:sz w:val="24"/>
                <w:szCs w:val="24"/>
                <w:highlight w:val="none"/>
                <w:lang w:val="en-US" w:eastAsia="zh-CN"/>
              </w:rPr>
            </w:pPr>
            <w:r>
              <w:rPr>
                <w:rFonts w:hint="eastAsia" w:ascii="华文仿宋" w:hAnsi="华文仿宋" w:eastAsia="华文仿宋" w:cs="华文仿宋"/>
                <w:color w:val="auto"/>
                <w:spacing w:val="0"/>
                <w:w w:val="100"/>
                <w:position w:val="17"/>
                <w:sz w:val="24"/>
                <w:szCs w:val="24"/>
                <w:highlight w:val="none"/>
              </w:rPr>
              <w:t>（</w:t>
            </w:r>
            <w:r>
              <w:rPr>
                <w:rFonts w:hint="eastAsia" w:ascii="华文仿宋" w:hAnsi="华文仿宋" w:eastAsia="华文仿宋" w:cs="华文仿宋"/>
                <w:color w:val="auto"/>
                <w:spacing w:val="0"/>
                <w:w w:val="100"/>
                <w:position w:val="17"/>
                <w:sz w:val="24"/>
                <w:szCs w:val="24"/>
                <w:highlight w:val="none"/>
                <w:lang w:val="en-US" w:eastAsia="zh-CN"/>
              </w:rPr>
              <w:t>5</w:t>
            </w:r>
            <w:r>
              <w:rPr>
                <w:rFonts w:hint="eastAsia" w:ascii="华文仿宋" w:hAnsi="华文仿宋" w:eastAsia="华文仿宋" w:cs="华文仿宋"/>
                <w:color w:val="auto"/>
                <w:spacing w:val="0"/>
                <w:w w:val="100"/>
                <w:position w:val="17"/>
                <w:sz w:val="24"/>
                <w:szCs w:val="24"/>
                <w:highlight w:val="none"/>
              </w:rPr>
              <w:t>分）</w:t>
            </w:r>
          </w:p>
        </w:tc>
        <w:tc>
          <w:tcPr>
            <w:tcW w:w="6660" w:type="dxa"/>
            <w:noWrap w:val="0"/>
            <w:vAlign w:val="top"/>
          </w:tcPr>
          <w:p w14:paraId="7388ACC7">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一、评审内容：</w:t>
            </w:r>
          </w:p>
          <w:p w14:paraId="1AA16909">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针对本项目制定培训方案，方案包括：</w:t>
            </w:r>
          </w:p>
          <w:p w14:paraId="00318D1B">
            <w:pPr>
              <w:keepNext w:val="0"/>
              <w:keepLines w:val="0"/>
              <w:widowControl/>
              <w:numPr>
                <w:ilvl w:val="0"/>
                <w:numId w:val="0"/>
              </w:numPr>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1.日常执勤培训；2.消防培训；3.岗前培训。</w:t>
            </w:r>
          </w:p>
          <w:p w14:paraId="482DFA8F">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二、评审标准</w:t>
            </w:r>
          </w:p>
          <w:p w14:paraId="2F654561">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1.完整性：方案必须全面，对评审内容中的各项要求有详细描述；</w:t>
            </w:r>
          </w:p>
          <w:p w14:paraId="0F34DE02">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2.可实施性：切合本项目实际情况，提出步骤清晰、合理的方案。</w:t>
            </w:r>
          </w:p>
          <w:p w14:paraId="30B06E28">
            <w:pPr>
              <w:keepNext w:val="0"/>
              <w:keepLines w:val="0"/>
              <w:widowControl/>
              <w:suppressLineNumbers w:val="0"/>
              <w:ind w:firstLine="486" w:firstLineChars="200"/>
              <w:jc w:val="left"/>
              <w:rPr>
                <w:rFonts w:hint="eastAsia" w:ascii="华文仿宋" w:hAnsi="华文仿宋" w:eastAsia="华文仿宋" w:cs="华文仿宋"/>
                <w:b/>
                <w:bCs/>
                <w:color w:val="auto"/>
                <w:kern w:val="0"/>
                <w:sz w:val="24"/>
                <w:szCs w:val="24"/>
                <w:lang w:val="en-US" w:eastAsia="zh-CN" w:bidi="ar"/>
              </w:rPr>
            </w:pPr>
            <w:r>
              <w:rPr>
                <w:rFonts w:hint="eastAsia" w:ascii="华文仿宋" w:hAnsi="华文仿宋" w:eastAsia="华文仿宋" w:cs="华文仿宋"/>
                <w:b/>
                <w:bCs/>
                <w:color w:val="auto"/>
                <w:kern w:val="0"/>
                <w:sz w:val="24"/>
                <w:szCs w:val="24"/>
                <w:lang w:val="en-US" w:eastAsia="zh-CN" w:bidi="ar"/>
              </w:rPr>
              <w:t>三、赋分标准</w:t>
            </w:r>
            <w:r>
              <w:rPr>
                <w:rFonts w:hint="eastAsia" w:ascii="华文仿宋" w:hAnsi="华文仿宋" w:eastAsia="华文仿宋" w:cs="华文仿宋"/>
                <w:b/>
                <w:bCs/>
                <w:color w:val="000000"/>
                <w:kern w:val="0"/>
                <w:sz w:val="24"/>
                <w:szCs w:val="24"/>
                <w:lang w:val="en-US" w:eastAsia="zh-CN" w:bidi="ar"/>
              </w:rPr>
              <w:t>（满分5）</w:t>
            </w:r>
          </w:p>
          <w:p w14:paraId="38B2CE33">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1.日常执勤培训：每完全满足一个评审标准得1分，满分2分。</w:t>
            </w:r>
          </w:p>
          <w:p w14:paraId="3E96FF8F">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2.消防培训：每完全满足一个评审标准得1分，满分2分。</w:t>
            </w:r>
          </w:p>
          <w:p w14:paraId="4B66372C">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3.岗前培训：每完全满足一个评审标准得0.5分，满分1分。</w:t>
            </w:r>
          </w:p>
        </w:tc>
      </w:tr>
      <w:tr w14:paraId="6BC11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625" w:type="dxa"/>
            <w:noWrap w:val="0"/>
            <w:vAlign w:val="top"/>
          </w:tcPr>
          <w:p w14:paraId="6336C2F3">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7936C06A">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2F3F42F8">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42E178D9">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6562419B">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4184395C">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09CEE83D">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66791C50">
            <w:pPr>
              <w:keepNext w:val="0"/>
              <w:keepLines w:val="0"/>
              <w:widowControl/>
              <w:suppressLineNumbers w:val="0"/>
              <w:jc w:val="center"/>
              <w:rPr>
                <w:rFonts w:hint="eastAsia" w:ascii="华文仿宋" w:hAnsi="华文仿宋" w:eastAsia="华文仿宋" w:cs="华文仿宋"/>
                <w:color w:val="000000"/>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应急预案</w:t>
            </w:r>
          </w:p>
          <w:p w14:paraId="243F8C81">
            <w:pPr>
              <w:keepNext w:val="0"/>
              <w:keepLines w:val="0"/>
              <w:widowControl/>
              <w:suppressLineNumbers w:val="0"/>
              <w:jc w:val="center"/>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（9分）</w:t>
            </w:r>
          </w:p>
          <w:p w14:paraId="00BD2F1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p>
        </w:tc>
        <w:tc>
          <w:tcPr>
            <w:tcW w:w="6660" w:type="dxa"/>
            <w:noWrap w:val="0"/>
            <w:vAlign w:val="top"/>
          </w:tcPr>
          <w:p w14:paraId="22722C4D">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一、评审内容 </w:t>
            </w:r>
          </w:p>
          <w:p w14:paraId="4A4DE98D">
            <w:pPr>
              <w:keepNext w:val="0"/>
              <w:keepLines w:val="0"/>
              <w:widowControl/>
              <w:suppressLineNumbers w:val="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针对本项目特点提供应急预案，预案内容包含；1.突发紧急事件：用气、用电、防汛、消防、地震、电梯困人；2.违法事件：防盗、打架斗殴、寻衅滋事；3.其他：重要接待、重大活动、迎检活动、大型节庆及各类检查。 </w:t>
            </w:r>
          </w:p>
          <w:p w14:paraId="0BE14B4B">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二、评审标准 </w:t>
            </w:r>
          </w:p>
          <w:p w14:paraId="715FA5A8">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1、完整性：方案须全面，对评审内容中的各项要求有详细描述及说明； </w:t>
            </w:r>
          </w:p>
          <w:p w14:paraId="56ECEA96">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2、可实施性：切合本项目实际情况，步骤清晰、合理可操作性强； </w:t>
            </w:r>
          </w:p>
          <w:p w14:paraId="4DAE1E8E">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3、针对性：方案能够紧扣项目实际情况，内容科学合理。 </w:t>
            </w:r>
          </w:p>
          <w:p w14:paraId="57379E5A">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三、赋分标准（满分9分） </w:t>
            </w:r>
          </w:p>
          <w:p w14:paraId="35FB657B">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1.突发紧急事件：每完全满足一项评审标准得1分，满分3分； </w:t>
            </w:r>
          </w:p>
          <w:p w14:paraId="603B00BF">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2.违法事件:每完全满足一项评审标准得1分，满分3分； </w:t>
            </w:r>
          </w:p>
          <w:p w14:paraId="536C5DD4">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3.其他：每完全满足一项评审标准得1分，满分3分。</w:t>
            </w:r>
          </w:p>
        </w:tc>
      </w:tr>
      <w:tr w14:paraId="4292F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625" w:type="dxa"/>
            <w:noWrap w:val="0"/>
            <w:vAlign w:val="top"/>
          </w:tcPr>
          <w:p w14:paraId="6BD9870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leftChars="0"/>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p>
          <w:p w14:paraId="606A4AC1">
            <w:pPr>
              <w:bidi w:val="0"/>
              <w:rPr>
                <w:rFonts w:hint="eastAsia" w:ascii="华文仿宋" w:hAnsi="华文仿宋" w:eastAsia="华文仿宋" w:cs="华文仿宋"/>
                <w:sz w:val="24"/>
                <w:szCs w:val="24"/>
                <w:lang w:eastAsia="zh-CN"/>
              </w:rPr>
            </w:pPr>
          </w:p>
          <w:p w14:paraId="29E15D56">
            <w:pPr>
              <w:bidi w:val="0"/>
              <w:rPr>
                <w:rFonts w:hint="eastAsia" w:ascii="华文仿宋" w:hAnsi="华文仿宋" w:eastAsia="华文仿宋" w:cs="华文仿宋"/>
                <w:sz w:val="24"/>
                <w:szCs w:val="24"/>
                <w:lang w:eastAsia="zh-CN"/>
              </w:rPr>
            </w:pPr>
          </w:p>
          <w:p w14:paraId="72D066A4">
            <w:pPr>
              <w:bidi w:val="0"/>
              <w:rPr>
                <w:rFonts w:hint="eastAsia" w:ascii="华文仿宋" w:hAnsi="华文仿宋" w:eastAsia="华文仿宋" w:cs="华文仿宋"/>
                <w:sz w:val="24"/>
                <w:szCs w:val="24"/>
                <w:lang w:eastAsia="zh-CN"/>
              </w:rPr>
            </w:pPr>
          </w:p>
          <w:p w14:paraId="6FCFE34B">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36FEE90E">
            <w:pPr>
              <w:keepNext w:val="0"/>
              <w:keepLines w:val="0"/>
              <w:widowControl/>
              <w:suppressLineNumbers w:val="0"/>
              <w:jc w:val="left"/>
              <w:rPr>
                <w:rFonts w:hint="eastAsia" w:ascii="华文仿宋" w:hAnsi="华文仿宋" w:eastAsia="华文仿宋" w:cs="华文仿宋"/>
                <w:color w:val="000000"/>
                <w:kern w:val="0"/>
                <w:sz w:val="24"/>
                <w:szCs w:val="24"/>
                <w:lang w:val="en-US" w:eastAsia="zh-CN" w:bidi="ar"/>
              </w:rPr>
            </w:pPr>
          </w:p>
          <w:p w14:paraId="579649DA">
            <w:pPr>
              <w:keepNext w:val="0"/>
              <w:keepLines w:val="0"/>
              <w:widowControl/>
              <w:suppressLineNumbers w:val="0"/>
              <w:jc w:val="center"/>
              <w:rPr>
                <w:rFonts w:hint="eastAsia" w:ascii="华文仿宋" w:hAnsi="华文仿宋" w:eastAsia="华文仿宋" w:cs="华文仿宋"/>
                <w:color w:val="000000"/>
                <w:kern w:val="0"/>
                <w:sz w:val="24"/>
                <w:szCs w:val="24"/>
                <w:lang w:val="en-US" w:eastAsia="zh-CN" w:bidi="ar"/>
              </w:rPr>
            </w:pPr>
          </w:p>
          <w:p w14:paraId="0F9F548F">
            <w:pPr>
              <w:keepNext w:val="0"/>
              <w:keepLines w:val="0"/>
              <w:widowControl/>
              <w:suppressLineNumbers w:val="0"/>
              <w:jc w:val="center"/>
              <w:rPr>
                <w:rFonts w:hint="eastAsia" w:ascii="华文仿宋" w:hAnsi="华文仿宋" w:eastAsia="华文仿宋" w:cs="华文仿宋"/>
                <w:color w:val="000000"/>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节能降</w:t>
            </w:r>
          </w:p>
          <w:p w14:paraId="12D473C5">
            <w:pPr>
              <w:keepNext w:val="0"/>
              <w:keepLines w:val="0"/>
              <w:widowControl/>
              <w:suppressLineNumbers w:val="0"/>
              <w:jc w:val="center"/>
              <w:rPr>
                <w:rFonts w:hint="eastAsia" w:ascii="华文仿宋" w:hAnsi="华文仿宋" w:eastAsia="华文仿宋" w:cs="华文仿宋"/>
                <w:color w:val="000000"/>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耗方案</w:t>
            </w:r>
          </w:p>
          <w:p w14:paraId="3BA782E9">
            <w:pPr>
              <w:keepNext w:val="0"/>
              <w:keepLines w:val="0"/>
              <w:widowControl/>
              <w:suppressLineNumbers w:val="0"/>
              <w:jc w:val="center"/>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（3分）</w:t>
            </w:r>
          </w:p>
          <w:p w14:paraId="4B40A732">
            <w:pPr>
              <w:bidi w:val="0"/>
              <w:jc w:val="center"/>
              <w:rPr>
                <w:rFonts w:hint="eastAsia" w:ascii="华文仿宋" w:hAnsi="华文仿宋" w:eastAsia="华文仿宋" w:cs="华文仿宋"/>
                <w:sz w:val="24"/>
                <w:szCs w:val="24"/>
                <w:lang w:eastAsia="zh-CN"/>
              </w:rPr>
            </w:pPr>
          </w:p>
        </w:tc>
        <w:tc>
          <w:tcPr>
            <w:tcW w:w="6660" w:type="dxa"/>
            <w:noWrap w:val="0"/>
            <w:vAlign w:val="top"/>
          </w:tcPr>
          <w:p w14:paraId="66E6087B">
            <w:pPr>
              <w:keepNext w:val="0"/>
              <w:keepLines w:val="0"/>
              <w:widowControl/>
              <w:suppressLineNumbers w:val="0"/>
              <w:jc w:val="left"/>
              <w:rPr>
                <w:rFonts w:hint="eastAsia" w:ascii="华文仿宋" w:hAnsi="华文仿宋" w:eastAsia="华文仿宋" w:cs="华文仿宋"/>
                <w:sz w:val="24"/>
                <w:szCs w:val="24"/>
              </w:rPr>
            </w:pPr>
            <w:r>
              <w:rPr>
                <w:rFonts w:hint="eastAsia" w:ascii="华文仿宋" w:hAnsi="华文仿宋" w:eastAsia="华文仿宋" w:cs="华文仿宋"/>
                <w:color w:val="auto"/>
                <w:kern w:val="0"/>
                <w:sz w:val="24"/>
                <w:szCs w:val="24"/>
                <w:lang w:val="en-US" w:eastAsia="zh-CN" w:bidi="ar"/>
              </w:rPr>
              <w:tab/>
            </w:r>
            <w:r>
              <w:rPr>
                <w:rFonts w:hint="eastAsia" w:ascii="华文仿宋" w:hAnsi="华文仿宋" w:eastAsia="华文仿宋" w:cs="华文仿宋"/>
                <w:b/>
                <w:bCs/>
                <w:color w:val="000000"/>
                <w:kern w:val="0"/>
                <w:sz w:val="24"/>
                <w:szCs w:val="24"/>
                <w:lang w:val="en-US" w:eastAsia="zh-CN" w:bidi="ar"/>
              </w:rPr>
              <w:t xml:space="preserve">一、评审内容 </w:t>
            </w:r>
          </w:p>
          <w:p w14:paraId="3E7D780F">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针对本项目提出节能降耗方案，方案内容包含1.节能降耗计划2.节能降耗措施。 </w:t>
            </w:r>
          </w:p>
          <w:p w14:paraId="3438FD56">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二、评审标准 </w:t>
            </w:r>
          </w:p>
          <w:p w14:paraId="018C64ED">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1、完整性：方案须全面，对评审内容中的各项要求有详细描述及说明； </w:t>
            </w:r>
          </w:p>
          <w:p w14:paraId="6243688F">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2、可实施性：切合本项目实际情况，实施步骤清晰、合理； </w:t>
            </w:r>
          </w:p>
          <w:p w14:paraId="3B1A4AE3">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3、针对性：方案能够紧扣项目实际情况，内容科学合理。 </w:t>
            </w:r>
          </w:p>
          <w:p w14:paraId="1F91D4A8">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三、赋分标准（满分3分） </w:t>
            </w:r>
          </w:p>
          <w:p w14:paraId="533CD3DC">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1.节能降耗计划：每完全满足一项评审标准得0.5分，满分1.5分； </w:t>
            </w:r>
          </w:p>
          <w:p w14:paraId="490B8512">
            <w:pPr>
              <w:keepNext w:val="0"/>
              <w:keepLines w:val="0"/>
              <w:widowControl/>
              <w:suppressLineNumbers w:val="0"/>
              <w:ind w:firstLine="486" w:firstLineChars="200"/>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2.节能降耗措施：每完全满足一项评审标准得0.5分，满分1.5分。</w:t>
            </w:r>
          </w:p>
          <w:p w14:paraId="0C5BCB90">
            <w:pPr>
              <w:keepNext w:val="0"/>
              <w:keepLines w:val="0"/>
              <w:widowControl/>
              <w:suppressLineNumbers w:val="0"/>
              <w:tabs>
                <w:tab w:val="left" w:pos="1158"/>
              </w:tabs>
              <w:ind w:firstLine="486" w:firstLineChars="200"/>
              <w:jc w:val="left"/>
              <w:rPr>
                <w:rFonts w:hint="eastAsia" w:ascii="华文仿宋" w:hAnsi="华文仿宋" w:eastAsia="华文仿宋" w:cs="华文仿宋"/>
                <w:color w:val="auto"/>
                <w:kern w:val="0"/>
                <w:sz w:val="24"/>
                <w:szCs w:val="24"/>
                <w:lang w:val="en-US" w:eastAsia="zh-CN" w:bidi="ar"/>
              </w:rPr>
            </w:pPr>
          </w:p>
        </w:tc>
      </w:tr>
      <w:tr w14:paraId="6296B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625" w:type="dxa"/>
            <w:noWrap w:val="0"/>
            <w:vAlign w:val="top"/>
          </w:tcPr>
          <w:p w14:paraId="35E8823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leftChars="0"/>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p>
          <w:p w14:paraId="1636170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leftChars="0"/>
              <w:jc w:val="center"/>
              <w:textAlignment w:val="baseline"/>
              <w:rPr>
                <w:rFonts w:hint="eastAsia" w:ascii="华文仿宋" w:hAnsi="华文仿宋" w:eastAsia="华文仿宋" w:cs="华文仿宋"/>
                <w:color w:val="auto"/>
                <w:spacing w:val="0"/>
                <w:w w:val="100"/>
                <w:position w:val="17"/>
                <w:sz w:val="24"/>
                <w:szCs w:val="24"/>
                <w:highlight w:val="none"/>
                <w:lang w:eastAsia="zh-CN"/>
              </w:rPr>
            </w:pPr>
          </w:p>
          <w:p w14:paraId="747E501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position w:val="17"/>
                <w:sz w:val="24"/>
                <w:szCs w:val="24"/>
                <w:highlight w:val="none"/>
                <w:lang w:val="en-US" w:eastAsia="zh-CN"/>
              </w:rPr>
            </w:pPr>
            <w:r>
              <w:rPr>
                <w:rFonts w:hint="eastAsia" w:ascii="华文仿宋" w:hAnsi="华文仿宋" w:eastAsia="华文仿宋" w:cs="华文仿宋"/>
                <w:color w:val="auto"/>
                <w:spacing w:val="0"/>
                <w:w w:val="100"/>
                <w:position w:val="17"/>
                <w:sz w:val="24"/>
                <w:szCs w:val="24"/>
                <w:highlight w:val="none"/>
                <w:lang w:val="en-US" w:eastAsia="zh-CN"/>
              </w:rPr>
              <w:t>物业经理</w:t>
            </w:r>
          </w:p>
          <w:p w14:paraId="64D145E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leftChars="0"/>
              <w:jc w:val="center"/>
              <w:textAlignment w:val="baseline"/>
              <w:rPr>
                <w:rFonts w:hint="eastAsia" w:ascii="华文仿宋" w:hAnsi="华文仿宋" w:eastAsia="华文仿宋" w:cs="华文仿宋"/>
                <w:color w:val="auto"/>
                <w:spacing w:val="0"/>
                <w:w w:val="100"/>
                <w:position w:val="17"/>
                <w:sz w:val="24"/>
                <w:szCs w:val="24"/>
                <w:highlight w:val="none"/>
                <w:lang w:val="en-US" w:eastAsia="zh-CN"/>
              </w:rPr>
            </w:pPr>
            <w:r>
              <w:rPr>
                <w:rFonts w:hint="eastAsia" w:ascii="华文仿宋" w:hAnsi="华文仿宋" w:eastAsia="华文仿宋" w:cs="华文仿宋"/>
                <w:color w:val="auto"/>
                <w:spacing w:val="0"/>
                <w:w w:val="100"/>
                <w:position w:val="17"/>
                <w:sz w:val="24"/>
                <w:szCs w:val="24"/>
                <w:highlight w:val="none"/>
                <w:lang w:val="en-US" w:eastAsia="zh-CN"/>
              </w:rPr>
              <w:t>（4分）</w:t>
            </w:r>
          </w:p>
        </w:tc>
        <w:tc>
          <w:tcPr>
            <w:tcW w:w="6660" w:type="dxa"/>
            <w:noWrap w:val="0"/>
            <w:vAlign w:val="top"/>
          </w:tcPr>
          <w:p w14:paraId="212301E8">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b w:val="0"/>
                <w:bCs w:val="0"/>
                <w:color w:val="000000"/>
                <w:sz w:val="24"/>
                <w:szCs w:val="24"/>
                <w:lang w:val="en-US" w:eastAsia="zh-CN"/>
              </w:rPr>
              <w:t>物业经理</w:t>
            </w:r>
            <w:r>
              <w:rPr>
                <w:rFonts w:hint="eastAsia" w:ascii="华文仿宋" w:hAnsi="华文仿宋" w:eastAsia="华文仿宋" w:cs="华文仿宋"/>
                <w:b w:val="0"/>
                <w:bCs w:val="0"/>
                <w:color w:val="000000"/>
                <w:sz w:val="24"/>
                <w:szCs w:val="24"/>
              </w:rPr>
              <w:t>具有类似项目物业服务3年管理经验，得</w:t>
            </w:r>
            <w:r>
              <w:rPr>
                <w:rFonts w:hint="eastAsia" w:ascii="华文仿宋" w:hAnsi="华文仿宋" w:eastAsia="华文仿宋" w:cs="华文仿宋"/>
                <w:b w:val="0"/>
                <w:bCs w:val="0"/>
                <w:color w:val="000000"/>
                <w:sz w:val="24"/>
                <w:szCs w:val="24"/>
                <w:lang w:val="en-US" w:eastAsia="zh-CN"/>
              </w:rPr>
              <w:t>2</w:t>
            </w:r>
            <w:r>
              <w:rPr>
                <w:rFonts w:hint="eastAsia" w:ascii="华文仿宋" w:hAnsi="华文仿宋" w:eastAsia="华文仿宋" w:cs="华文仿宋"/>
                <w:b w:val="0"/>
                <w:bCs w:val="0"/>
                <w:color w:val="000000"/>
                <w:sz w:val="24"/>
                <w:szCs w:val="24"/>
              </w:rPr>
              <w:t>分；增加一年经理管理经验额外增加</w:t>
            </w:r>
            <w:r>
              <w:rPr>
                <w:rFonts w:hint="eastAsia" w:ascii="华文仿宋" w:hAnsi="华文仿宋" w:eastAsia="华文仿宋" w:cs="华文仿宋"/>
                <w:b w:val="0"/>
                <w:bCs w:val="0"/>
                <w:color w:val="000000"/>
                <w:sz w:val="24"/>
                <w:szCs w:val="24"/>
                <w:lang w:val="en-US" w:eastAsia="zh-CN"/>
              </w:rPr>
              <w:t>0.5</w:t>
            </w:r>
            <w:r>
              <w:rPr>
                <w:rFonts w:hint="eastAsia" w:ascii="华文仿宋" w:hAnsi="华文仿宋" w:eastAsia="华文仿宋" w:cs="华文仿宋"/>
                <w:b w:val="0"/>
                <w:bCs w:val="0"/>
                <w:color w:val="000000"/>
                <w:sz w:val="24"/>
                <w:szCs w:val="24"/>
              </w:rPr>
              <w:t>分，最多增加</w:t>
            </w:r>
            <w:r>
              <w:rPr>
                <w:rFonts w:hint="eastAsia" w:ascii="华文仿宋" w:hAnsi="华文仿宋" w:eastAsia="华文仿宋" w:cs="华文仿宋"/>
                <w:b w:val="0"/>
                <w:bCs w:val="0"/>
                <w:color w:val="000000"/>
                <w:sz w:val="24"/>
                <w:szCs w:val="24"/>
                <w:lang w:val="en-US" w:eastAsia="zh-CN"/>
              </w:rPr>
              <w:t>2</w:t>
            </w:r>
            <w:r>
              <w:rPr>
                <w:rFonts w:hint="eastAsia" w:ascii="华文仿宋" w:hAnsi="华文仿宋" w:eastAsia="华文仿宋" w:cs="华文仿宋"/>
                <w:b w:val="0"/>
                <w:bCs w:val="0"/>
                <w:color w:val="000000"/>
                <w:sz w:val="24"/>
                <w:szCs w:val="24"/>
              </w:rPr>
              <w:t>分，</w:t>
            </w:r>
            <w:r>
              <w:rPr>
                <w:rFonts w:hint="eastAsia" w:ascii="华文仿宋" w:hAnsi="华文仿宋" w:eastAsia="华文仿宋" w:cs="华文仿宋"/>
                <w:b/>
                <w:bCs/>
                <w:color w:val="000000"/>
                <w:sz w:val="24"/>
                <w:szCs w:val="24"/>
              </w:rPr>
              <w:t>满分</w:t>
            </w:r>
            <w:r>
              <w:rPr>
                <w:rFonts w:hint="eastAsia" w:ascii="华文仿宋" w:hAnsi="华文仿宋" w:eastAsia="华文仿宋" w:cs="华文仿宋"/>
                <w:b/>
                <w:bCs/>
                <w:color w:val="000000"/>
                <w:sz w:val="24"/>
                <w:szCs w:val="24"/>
                <w:lang w:val="en-US" w:eastAsia="zh-CN"/>
              </w:rPr>
              <w:t>4</w:t>
            </w:r>
            <w:r>
              <w:rPr>
                <w:rFonts w:hint="eastAsia" w:ascii="华文仿宋" w:hAnsi="华文仿宋" w:eastAsia="华文仿宋" w:cs="华文仿宋"/>
                <w:b/>
                <w:bCs/>
                <w:color w:val="000000"/>
                <w:sz w:val="24"/>
                <w:szCs w:val="24"/>
              </w:rPr>
              <w:t>分。</w:t>
            </w:r>
            <w:r>
              <w:rPr>
                <w:rFonts w:hint="eastAsia" w:ascii="华文仿宋" w:hAnsi="华文仿宋" w:eastAsia="华文仿宋" w:cs="华文仿宋"/>
                <w:b w:val="0"/>
                <w:bCs w:val="0"/>
                <w:color w:val="000000"/>
                <w:sz w:val="24"/>
                <w:szCs w:val="24"/>
              </w:rPr>
              <w:t>赋分依据：须提供被服务单位加盖公章的证明材料，不提供或缺漏项不得分。</w:t>
            </w:r>
          </w:p>
        </w:tc>
      </w:tr>
      <w:tr w14:paraId="3BE24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625" w:type="dxa"/>
            <w:noWrap w:val="0"/>
            <w:vAlign w:val="top"/>
          </w:tcPr>
          <w:p w14:paraId="73FAC23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position w:val="17"/>
                <w:sz w:val="24"/>
                <w:szCs w:val="24"/>
                <w:highlight w:val="none"/>
                <w:lang w:eastAsia="zh-CN"/>
              </w:rPr>
            </w:pPr>
            <w:r>
              <w:rPr>
                <w:rFonts w:hint="eastAsia" w:ascii="华文仿宋" w:hAnsi="华文仿宋" w:eastAsia="华文仿宋" w:cs="华文仿宋"/>
                <w:color w:val="auto"/>
                <w:spacing w:val="0"/>
                <w:w w:val="100"/>
                <w:position w:val="17"/>
                <w:sz w:val="24"/>
                <w:szCs w:val="24"/>
                <w:highlight w:val="none"/>
                <w:lang w:eastAsia="zh-CN"/>
              </w:rPr>
              <w:t>合理化建议</w:t>
            </w:r>
          </w:p>
          <w:p w14:paraId="0513B5B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6" w:leftChars="0"/>
              <w:jc w:val="center"/>
              <w:textAlignment w:val="baseline"/>
              <w:rPr>
                <w:rFonts w:hint="eastAsia" w:ascii="华文仿宋" w:hAnsi="华文仿宋" w:eastAsia="华文仿宋" w:cs="华文仿宋"/>
                <w:color w:val="auto"/>
                <w:spacing w:val="0"/>
                <w:w w:val="100"/>
                <w:kern w:val="2"/>
                <w:position w:val="17"/>
                <w:sz w:val="24"/>
                <w:szCs w:val="24"/>
                <w:highlight w:val="none"/>
                <w:lang w:val="en-US" w:eastAsia="zh-CN" w:bidi="ar-SA"/>
              </w:rPr>
            </w:pPr>
            <w:r>
              <w:rPr>
                <w:rFonts w:hint="eastAsia" w:ascii="华文仿宋" w:hAnsi="华文仿宋" w:eastAsia="华文仿宋" w:cs="华文仿宋"/>
                <w:color w:val="auto"/>
                <w:spacing w:val="0"/>
                <w:w w:val="100"/>
                <w:position w:val="17"/>
                <w:sz w:val="24"/>
                <w:szCs w:val="24"/>
                <w:highlight w:val="none"/>
                <w:lang w:eastAsia="zh-CN"/>
              </w:rPr>
              <w:t>（</w:t>
            </w:r>
            <w:r>
              <w:rPr>
                <w:rFonts w:hint="eastAsia" w:ascii="华文仿宋" w:hAnsi="华文仿宋" w:eastAsia="华文仿宋" w:cs="华文仿宋"/>
                <w:color w:val="auto"/>
                <w:spacing w:val="0"/>
                <w:w w:val="100"/>
                <w:position w:val="17"/>
                <w:sz w:val="24"/>
                <w:szCs w:val="24"/>
                <w:highlight w:val="none"/>
                <w:lang w:val="en-US" w:eastAsia="zh-CN"/>
              </w:rPr>
              <w:t>4分</w:t>
            </w:r>
            <w:r>
              <w:rPr>
                <w:rFonts w:hint="eastAsia" w:ascii="华文仿宋" w:hAnsi="华文仿宋" w:eastAsia="华文仿宋" w:cs="华文仿宋"/>
                <w:color w:val="auto"/>
                <w:spacing w:val="0"/>
                <w:w w:val="100"/>
                <w:position w:val="17"/>
                <w:sz w:val="24"/>
                <w:szCs w:val="24"/>
                <w:highlight w:val="none"/>
                <w:lang w:eastAsia="zh-CN"/>
              </w:rPr>
              <w:t>）</w:t>
            </w:r>
          </w:p>
        </w:tc>
        <w:tc>
          <w:tcPr>
            <w:tcW w:w="6660" w:type="dxa"/>
            <w:noWrap w:val="0"/>
            <w:vAlign w:val="top"/>
          </w:tcPr>
          <w:p w14:paraId="3B495523">
            <w:pPr>
              <w:keepNext w:val="0"/>
              <w:keepLines w:val="0"/>
              <w:widowControl/>
              <w:suppressLineNumbers w:val="0"/>
              <w:ind w:firstLine="486" w:firstLineChars="200"/>
              <w:jc w:val="left"/>
              <w:rPr>
                <w:rFonts w:hint="eastAsia" w:ascii="华文仿宋" w:hAnsi="华文仿宋" w:eastAsia="华文仿宋" w:cs="华文仿宋"/>
                <w:color w:val="auto"/>
                <w:kern w:val="0"/>
                <w:sz w:val="24"/>
                <w:szCs w:val="24"/>
                <w:lang w:val="en-US" w:eastAsia="zh-CN" w:bidi="ar"/>
              </w:rPr>
            </w:pPr>
            <w:r>
              <w:rPr>
                <w:rFonts w:hint="eastAsia" w:ascii="华文仿宋" w:hAnsi="华文仿宋" w:eastAsia="华文仿宋" w:cs="华文仿宋"/>
                <w:color w:val="auto"/>
                <w:kern w:val="0"/>
                <w:sz w:val="24"/>
                <w:szCs w:val="24"/>
                <w:lang w:val="en-US" w:eastAsia="zh-CN" w:bidi="ar"/>
              </w:rPr>
              <w:t>针对本项目工作中常见问题进行梳理，及时向采购人提出合理化建议，每提供一条得1分，</w:t>
            </w:r>
            <w:r>
              <w:rPr>
                <w:rFonts w:hint="eastAsia" w:ascii="华文仿宋" w:hAnsi="华文仿宋" w:eastAsia="华文仿宋" w:cs="华文仿宋"/>
                <w:b/>
                <w:bCs/>
                <w:color w:val="auto"/>
                <w:kern w:val="0"/>
                <w:sz w:val="24"/>
                <w:szCs w:val="24"/>
                <w:lang w:val="en-US" w:eastAsia="zh-CN" w:bidi="ar"/>
              </w:rPr>
              <w:t>满分4分，</w:t>
            </w:r>
            <w:r>
              <w:rPr>
                <w:rFonts w:hint="eastAsia" w:ascii="华文仿宋" w:hAnsi="华文仿宋" w:eastAsia="华文仿宋" w:cs="华文仿宋"/>
                <w:color w:val="auto"/>
                <w:kern w:val="0"/>
                <w:sz w:val="24"/>
                <w:szCs w:val="24"/>
                <w:lang w:val="en-US" w:eastAsia="zh-CN" w:bidi="ar"/>
              </w:rPr>
              <w:t>不提供不得分。</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17612"/>
      <w:bookmarkStart w:id="124" w:name="_Toc4670"/>
      <w:bookmarkStart w:id="125" w:name="_Toc25855"/>
      <w:bookmarkStart w:id="126" w:name="_Toc30924"/>
      <w:bookmarkStart w:id="127" w:name="_Toc28384"/>
      <w:bookmarkStart w:id="128" w:name="_Toc22712"/>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3"/>
          <w:rFonts w:hint="eastAsia" w:ascii="华文仿宋" w:hAnsi="华文仿宋" w:cs="华文仿宋"/>
          <w:color w:val="000000"/>
          <w:sz w:val="28"/>
          <w:szCs w:val="28"/>
        </w:rPr>
        <w:t>陕西省政府采购网</w:t>
      </w:r>
      <w:r>
        <w:rPr>
          <w:rStyle w:val="23"/>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3"/>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3"/>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3100"/>
      <w:bookmarkStart w:id="130" w:name="_Toc20049"/>
      <w:bookmarkStart w:id="131" w:name="_Toc28870"/>
      <w:bookmarkStart w:id="132" w:name="_Toc10386"/>
      <w:bookmarkStart w:id="133" w:name="_Toc31537"/>
      <w:bookmarkStart w:id="134" w:name="_Toc1400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23346"/>
      <w:bookmarkStart w:id="136" w:name="_Toc1272"/>
      <w:bookmarkStart w:id="137" w:name="_Toc21906"/>
      <w:bookmarkStart w:id="138" w:name="_Toc3153"/>
      <w:bookmarkStart w:id="139" w:name="_Toc16965"/>
      <w:bookmarkStart w:id="140" w:name="_Toc864"/>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5E8CF3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sz w:val="28"/>
          <w:szCs w:val="28"/>
        </w:rPr>
      </w:pPr>
      <w:r>
        <w:rPr>
          <w:rFonts w:hint="eastAsia" w:ascii="华文仿宋" w:hAnsi="华文仿宋" w:eastAsia="华文仿宋" w:cs="华文仿宋"/>
          <w:b/>
          <w:sz w:val="28"/>
          <w:szCs w:val="28"/>
        </w:rPr>
        <w:t>采购项目清单</w:t>
      </w:r>
    </w:p>
    <w:tbl>
      <w:tblPr>
        <w:tblStyle w:val="21"/>
        <w:tblW w:w="83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721"/>
        <w:gridCol w:w="1740"/>
        <w:gridCol w:w="855"/>
      </w:tblGrid>
      <w:tr w14:paraId="0133F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5" w:hRule="atLeast"/>
        </w:trPr>
        <w:tc>
          <w:tcPr>
            <w:tcW w:w="5721" w:type="dxa"/>
            <w:tcBorders>
              <w:top w:val="single" w:color="auto" w:sz="12" w:space="0"/>
              <w:left w:val="single" w:color="auto" w:sz="8" w:space="0"/>
              <w:bottom w:val="single" w:color="auto" w:sz="8" w:space="0"/>
              <w:right w:val="single" w:color="auto" w:sz="8" w:space="0"/>
            </w:tcBorders>
            <w:noWrap w:val="0"/>
            <w:vAlign w:val="center"/>
          </w:tcPr>
          <w:p w14:paraId="5744BE7C">
            <w:pPr>
              <w:wordWrap/>
              <w:autoSpaceDE w:val="0"/>
              <w:autoSpaceDN w:val="0"/>
              <w:snapToGrid/>
              <w:spacing w:line="560" w:lineRule="exact"/>
              <w:jc w:val="center"/>
              <w:textAlignment w:val="auto"/>
              <w:rPr>
                <w:rFonts w:hint="eastAsia" w:ascii="华文仿宋" w:hAnsi="华文仿宋" w:eastAsia="华文仿宋" w:cs="华文仿宋"/>
                <w:b w:val="0"/>
                <w:bCs w:val="0"/>
                <w:color w:val="000000"/>
                <w:kern w:val="0"/>
                <w:sz w:val="28"/>
                <w:szCs w:val="28"/>
                <w:lang w:eastAsia="zh-CN"/>
              </w:rPr>
            </w:pPr>
            <w:r>
              <w:rPr>
                <w:rFonts w:hint="eastAsia" w:ascii="华文仿宋" w:hAnsi="华文仿宋" w:eastAsia="华文仿宋" w:cs="华文仿宋"/>
                <w:b w:val="0"/>
                <w:bCs w:val="0"/>
                <w:color w:val="000000"/>
                <w:kern w:val="0"/>
                <w:sz w:val="28"/>
                <w:szCs w:val="28"/>
                <w:lang w:eastAsia="zh-CN"/>
              </w:rPr>
              <w:t>服务内容</w:t>
            </w:r>
          </w:p>
        </w:tc>
        <w:tc>
          <w:tcPr>
            <w:tcW w:w="1740" w:type="dxa"/>
            <w:tcBorders>
              <w:top w:val="single" w:color="auto" w:sz="12" w:space="0"/>
              <w:left w:val="single" w:color="auto" w:sz="8" w:space="0"/>
              <w:bottom w:val="single" w:color="auto" w:sz="8" w:space="0"/>
              <w:right w:val="single" w:color="auto" w:sz="8" w:space="0"/>
            </w:tcBorders>
            <w:noWrap w:val="0"/>
            <w:vAlign w:val="center"/>
          </w:tcPr>
          <w:p w14:paraId="4C838908">
            <w:pPr>
              <w:wordWrap/>
              <w:autoSpaceDE w:val="0"/>
              <w:autoSpaceDN w:val="0"/>
              <w:snapToGrid/>
              <w:spacing w:line="560" w:lineRule="exact"/>
              <w:jc w:val="center"/>
              <w:textAlignment w:val="auto"/>
              <w:rPr>
                <w:rFonts w:hint="eastAsia" w:ascii="华文仿宋" w:hAnsi="华文仿宋" w:eastAsia="华文仿宋" w:cs="华文仿宋"/>
                <w:b w:val="0"/>
                <w:bCs w:val="0"/>
                <w:color w:val="000000"/>
                <w:kern w:val="0"/>
                <w:sz w:val="28"/>
                <w:szCs w:val="28"/>
              </w:rPr>
            </w:pPr>
            <w:r>
              <w:rPr>
                <w:rFonts w:hint="eastAsia" w:ascii="华文仿宋" w:hAnsi="华文仿宋" w:eastAsia="华文仿宋" w:cs="华文仿宋"/>
                <w:b w:val="0"/>
                <w:bCs w:val="0"/>
                <w:color w:val="000000"/>
                <w:kern w:val="0"/>
                <w:sz w:val="28"/>
                <w:szCs w:val="28"/>
              </w:rPr>
              <w:t>服务期限</w:t>
            </w:r>
          </w:p>
        </w:tc>
        <w:tc>
          <w:tcPr>
            <w:tcW w:w="855" w:type="dxa"/>
            <w:tcBorders>
              <w:top w:val="single" w:color="auto" w:sz="12" w:space="0"/>
              <w:left w:val="single" w:color="auto" w:sz="8" w:space="0"/>
              <w:bottom w:val="single" w:color="auto" w:sz="8" w:space="0"/>
              <w:right w:val="single" w:color="auto" w:sz="12" w:space="0"/>
            </w:tcBorders>
            <w:noWrap w:val="0"/>
            <w:vAlign w:val="center"/>
          </w:tcPr>
          <w:p w14:paraId="30F2A8EE">
            <w:pPr>
              <w:wordWrap/>
              <w:autoSpaceDE w:val="0"/>
              <w:autoSpaceDN w:val="0"/>
              <w:snapToGrid/>
              <w:spacing w:line="560" w:lineRule="exact"/>
              <w:jc w:val="center"/>
              <w:textAlignment w:val="auto"/>
              <w:rPr>
                <w:rFonts w:hint="eastAsia" w:ascii="华文仿宋" w:hAnsi="华文仿宋" w:eastAsia="华文仿宋" w:cs="华文仿宋"/>
                <w:b w:val="0"/>
                <w:bCs w:val="0"/>
                <w:color w:val="000000"/>
                <w:kern w:val="0"/>
                <w:sz w:val="28"/>
                <w:szCs w:val="28"/>
              </w:rPr>
            </w:pPr>
            <w:r>
              <w:rPr>
                <w:rFonts w:hint="eastAsia" w:ascii="华文仿宋" w:hAnsi="华文仿宋" w:eastAsia="华文仿宋" w:cs="华文仿宋"/>
                <w:b w:val="0"/>
                <w:bCs w:val="0"/>
                <w:color w:val="000000"/>
                <w:kern w:val="0"/>
                <w:sz w:val="28"/>
                <w:szCs w:val="28"/>
              </w:rPr>
              <w:t>备注</w:t>
            </w:r>
          </w:p>
        </w:tc>
      </w:tr>
      <w:tr w14:paraId="74F8A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56" w:hRule="atLeast"/>
        </w:trPr>
        <w:tc>
          <w:tcPr>
            <w:tcW w:w="5721" w:type="dxa"/>
            <w:tcBorders>
              <w:top w:val="single" w:color="auto" w:sz="8" w:space="0"/>
              <w:left w:val="single" w:color="auto" w:sz="8" w:space="0"/>
              <w:bottom w:val="single" w:color="auto" w:sz="12" w:space="0"/>
              <w:right w:val="single" w:color="auto" w:sz="8" w:space="0"/>
            </w:tcBorders>
            <w:noWrap w:val="0"/>
            <w:vAlign w:val="center"/>
          </w:tcPr>
          <w:p w14:paraId="511B0F35">
            <w:pPr>
              <w:wordWrap/>
              <w:autoSpaceDE w:val="0"/>
              <w:autoSpaceDN w:val="0"/>
              <w:snapToGrid/>
              <w:spacing w:line="560" w:lineRule="exact"/>
              <w:jc w:val="center"/>
              <w:textAlignment w:val="auto"/>
              <w:rPr>
                <w:rFonts w:hint="eastAsia" w:ascii="华文仿宋" w:hAnsi="华文仿宋" w:eastAsia="华文仿宋" w:cs="华文仿宋"/>
                <w:b w:val="0"/>
                <w:bCs w:val="0"/>
                <w:color w:val="000000"/>
                <w:kern w:val="0"/>
                <w:sz w:val="28"/>
                <w:szCs w:val="28"/>
              </w:rPr>
            </w:pPr>
            <w:r>
              <w:rPr>
                <w:rFonts w:hint="eastAsia" w:ascii="华文仿宋" w:hAnsi="华文仿宋" w:eastAsia="华文仿宋" w:cs="华文仿宋"/>
                <w:b w:val="0"/>
                <w:bCs w:val="0"/>
                <w:color w:val="auto"/>
                <w:sz w:val="28"/>
                <w:szCs w:val="28"/>
                <w:lang w:val="en-US" w:eastAsia="zh-CN"/>
              </w:rPr>
              <w:t>延安市公安局业务技术用房</w:t>
            </w:r>
            <w:r>
              <w:rPr>
                <w:rFonts w:hint="eastAsia" w:ascii="华文仿宋" w:hAnsi="华文仿宋" w:eastAsia="华文仿宋" w:cs="华文仿宋"/>
                <w:b w:val="0"/>
                <w:bCs w:val="0"/>
                <w:color w:val="auto"/>
                <w:sz w:val="28"/>
                <w:szCs w:val="28"/>
                <w:lang w:eastAsia="zh-CN"/>
              </w:rPr>
              <w:t>物业管理服务</w:t>
            </w:r>
          </w:p>
        </w:tc>
        <w:tc>
          <w:tcPr>
            <w:tcW w:w="1740" w:type="dxa"/>
            <w:tcBorders>
              <w:top w:val="single" w:color="auto" w:sz="8" w:space="0"/>
              <w:left w:val="single" w:color="auto" w:sz="8" w:space="0"/>
              <w:bottom w:val="single" w:color="auto" w:sz="12" w:space="0"/>
              <w:right w:val="single" w:color="auto" w:sz="8" w:space="0"/>
            </w:tcBorders>
            <w:noWrap w:val="0"/>
            <w:vAlign w:val="center"/>
          </w:tcPr>
          <w:p w14:paraId="70ACCC17">
            <w:pPr>
              <w:wordWrap/>
              <w:autoSpaceDE w:val="0"/>
              <w:autoSpaceDN w:val="0"/>
              <w:snapToGrid/>
              <w:spacing w:line="560" w:lineRule="exact"/>
              <w:jc w:val="center"/>
              <w:textAlignment w:val="auto"/>
              <w:rPr>
                <w:rFonts w:hint="eastAsia" w:ascii="华文仿宋" w:hAnsi="华文仿宋" w:eastAsia="华文仿宋" w:cs="华文仿宋"/>
                <w:b w:val="0"/>
                <w:bCs w:val="0"/>
                <w:color w:val="000000"/>
                <w:kern w:val="0"/>
                <w:sz w:val="28"/>
                <w:szCs w:val="28"/>
                <w:highlight w:val="yellow"/>
                <w:lang w:eastAsia="zh-CN"/>
              </w:rPr>
            </w:pPr>
            <w:r>
              <w:rPr>
                <w:rFonts w:hint="eastAsia" w:ascii="华文仿宋" w:hAnsi="华文仿宋" w:eastAsia="华文仿宋" w:cs="华文仿宋"/>
                <w:b w:val="0"/>
                <w:bCs w:val="0"/>
                <w:color w:val="000000"/>
                <w:kern w:val="0"/>
                <w:sz w:val="28"/>
                <w:szCs w:val="28"/>
                <w:highlight w:val="none"/>
                <w:lang w:val="en-US" w:eastAsia="zh-CN"/>
              </w:rPr>
              <w:t>1</w:t>
            </w:r>
            <w:r>
              <w:rPr>
                <w:rFonts w:hint="eastAsia" w:ascii="华文仿宋" w:hAnsi="华文仿宋" w:eastAsia="华文仿宋" w:cs="华文仿宋"/>
                <w:b w:val="0"/>
                <w:bCs w:val="0"/>
                <w:color w:val="000000"/>
                <w:kern w:val="0"/>
                <w:sz w:val="28"/>
                <w:szCs w:val="28"/>
                <w:highlight w:val="none"/>
              </w:rPr>
              <w:t>年</w:t>
            </w:r>
          </w:p>
        </w:tc>
        <w:tc>
          <w:tcPr>
            <w:tcW w:w="855" w:type="dxa"/>
            <w:tcBorders>
              <w:top w:val="single" w:color="auto" w:sz="8" w:space="0"/>
              <w:left w:val="single" w:color="auto" w:sz="8" w:space="0"/>
              <w:bottom w:val="single" w:color="auto" w:sz="12" w:space="0"/>
              <w:right w:val="single" w:color="auto" w:sz="12" w:space="0"/>
            </w:tcBorders>
            <w:noWrap w:val="0"/>
            <w:vAlign w:val="center"/>
          </w:tcPr>
          <w:p w14:paraId="3919EDB4">
            <w:pPr>
              <w:wordWrap/>
              <w:autoSpaceDE w:val="0"/>
              <w:autoSpaceDN w:val="0"/>
              <w:snapToGrid/>
              <w:spacing w:line="560" w:lineRule="exact"/>
              <w:jc w:val="center"/>
              <w:textAlignment w:val="auto"/>
              <w:rPr>
                <w:rFonts w:hint="eastAsia" w:ascii="华文仿宋" w:hAnsi="华文仿宋" w:eastAsia="华文仿宋" w:cs="华文仿宋"/>
                <w:b w:val="0"/>
                <w:bCs w:val="0"/>
                <w:kern w:val="0"/>
                <w:sz w:val="28"/>
                <w:szCs w:val="28"/>
                <w:highlight w:val="yellow"/>
                <w:lang w:val="en-US" w:eastAsia="zh-CN"/>
              </w:rPr>
            </w:pPr>
          </w:p>
        </w:tc>
      </w:tr>
    </w:tbl>
    <w:p w14:paraId="30A2C534">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eastAsia="zh-CN"/>
        </w:rPr>
        <w:t>（一）、</w:t>
      </w:r>
      <w:r>
        <w:rPr>
          <w:rFonts w:hint="eastAsia" w:ascii="华文仿宋" w:hAnsi="华文仿宋" w:eastAsia="华文仿宋" w:cs="华文仿宋"/>
          <w:b/>
          <w:bCs/>
          <w:color w:val="auto"/>
          <w:sz w:val="28"/>
          <w:szCs w:val="28"/>
        </w:rPr>
        <w:t>项目概况</w:t>
      </w:r>
    </w:p>
    <w:p w14:paraId="6FD4E18D">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延安市“公安局业务技术用房”位于延安新区（北区），大楼主体建筑面积34431平方米，其中地上11层，建筑面积22470平方米，地下2层，建筑面积1</w:t>
      </w: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961平米,附属用房1200平米，室外绿化面积10000平米。其中办公用房152间（大43间，小109间）；技术用房107间（大29间，小78间）及地下负一层整层（机房占地约2600㎡，办案区占地约2400㎡）；地下车库占地约5000㎡；会议室6间（11楼</w:t>
      </w:r>
      <w:r>
        <w:rPr>
          <w:rFonts w:hint="eastAsia" w:ascii="华文仿宋" w:hAnsi="华文仿宋" w:eastAsia="华文仿宋" w:cs="华文仿宋"/>
          <w:color w:val="auto"/>
          <w:sz w:val="28"/>
          <w:szCs w:val="28"/>
          <w:lang w:eastAsia="zh-CN"/>
        </w:rPr>
        <w:t>情指中心功能</w:t>
      </w:r>
      <w:r>
        <w:rPr>
          <w:rFonts w:hint="eastAsia" w:ascii="华文仿宋" w:hAnsi="华文仿宋" w:eastAsia="华文仿宋" w:cs="华文仿宋"/>
          <w:color w:val="auto"/>
          <w:sz w:val="28"/>
          <w:szCs w:val="28"/>
        </w:rPr>
        <w:t>室、9楼多功能会议室、7楼视频会议室、7楼局务会议室、6楼党委会议室</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1楼功能房</w:t>
      </w:r>
      <w:r>
        <w:rPr>
          <w:rFonts w:hint="eastAsia" w:ascii="华文仿宋" w:hAnsi="华文仿宋" w:eastAsia="华文仿宋" w:cs="华文仿宋"/>
          <w:color w:val="auto"/>
          <w:sz w:val="28"/>
          <w:szCs w:val="28"/>
        </w:rPr>
        <w:t>）；卫生间24间（每层两间，后院餐厅楼内有两间卫生间）；后院餐厅2楼非就餐使用面积约600㎡；大楼周边非办公区域使用面积约27000㎡。</w:t>
      </w:r>
    </w:p>
    <w:p w14:paraId="673D2AC2">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eastAsia="zh-CN"/>
        </w:rPr>
        <w:t>（二）、磋商</w:t>
      </w:r>
      <w:r>
        <w:rPr>
          <w:rFonts w:hint="eastAsia" w:ascii="华文仿宋" w:hAnsi="华文仿宋" w:eastAsia="华文仿宋" w:cs="华文仿宋"/>
          <w:b/>
          <w:bCs/>
          <w:color w:val="auto"/>
          <w:sz w:val="28"/>
          <w:szCs w:val="28"/>
        </w:rPr>
        <w:t>范围与服务内容:</w:t>
      </w:r>
    </w:p>
    <w:p w14:paraId="35A3D4AD">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rPr>
        <w:t>1.延安市公安局业务技术用房办公楼物业服务与特约服务。</w:t>
      </w:r>
    </w:p>
    <w:p w14:paraId="609B920F">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b/>
          <w:bCs/>
          <w:color w:val="auto"/>
          <w:sz w:val="28"/>
          <w:szCs w:val="28"/>
        </w:rPr>
        <w:t>2.服务内容包括：</w:t>
      </w:r>
      <w:r>
        <w:rPr>
          <w:rFonts w:hint="eastAsia" w:ascii="华文仿宋" w:hAnsi="华文仿宋" w:eastAsia="华文仿宋" w:cs="华文仿宋"/>
          <w:color w:val="auto"/>
          <w:sz w:val="28"/>
          <w:szCs w:val="28"/>
        </w:rPr>
        <w:t>（1）办公楼的秩序维护及安全防范（门卫、巡逻等安保服务）；（2）</w:t>
      </w:r>
      <w:r>
        <w:rPr>
          <w:rFonts w:hint="eastAsia" w:ascii="华文仿宋" w:hAnsi="华文仿宋" w:eastAsia="华文仿宋" w:cs="华文仿宋"/>
          <w:color w:val="auto"/>
          <w:sz w:val="28"/>
          <w:szCs w:val="28"/>
          <w:lang w:val="en-US" w:eastAsia="zh-CN"/>
        </w:rPr>
        <w:t>二次供水蓄水箱、</w:t>
      </w:r>
      <w:r>
        <w:rPr>
          <w:rFonts w:hint="eastAsia" w:ascii="华文仿宋" w:hAnsi="华文仿宋" w:eastAsia="华文仿宋" w:cs="华文仿宋"/>
          <w:color w:val="auto"/>
          <w:sz w:val="28"/>
          <w:szCs w:val="28"/>
        </w:rPr>
        <w:t>中央纯净水器的</w:t>
      </w:r>
      <w:r>
        <w:rPr>
          <w:rFonts w:hint="eastAsia" w:ascii="华文仿宋" w:hAnsi="华文仿宋" w:eastAsia="华文仿宋" w:cs="华文仿宋"/>
          <w:color w:val="auto"/>
          <w:sz w:val="28"/>
          <w:szCs w:val="28"/>
          <w:lang w:val="en-US" w:eastAsia="zh-CN"/>
        </w:rPr>
        <w:t>定期</w:t>
      </w:r>
      <w:r>
        <w:rPr>
          <w:rFonts w:hint="eastAsia" w:ascii="华文仿宋" w:hAnsi="华文仿宋" w:eastAsia="华文仿宋" w:cs="华文仿宋"/>
          <w:color w:val="auto"/>
          <w:sz w:val="28"/>
          <w:szCs w:val="28"/>
        </w:rPr>
        <w:t>维护</w:t>
      </w:r>
      <w:r>
        <w:rPr>
          <w:rFonts w:hint="eastAsia" w:ascii="华文仿宋" w:hAnsi="华文仿宋" w:eastAsia="华文仿宋" w:cs="华文仿宋"/>
          <w:color w:val="auto"/>
          <w:sz w:val="28"/>
          <w:szCs w:val="28"/>
          <w:lang w:val="en-US" w:eastAsia="zh-CN"/>
        </w:rPr>
        <w:t>及</w:t>
      </w:r>
      <w:r>
        <w:rPr>
          <w:rFonts w:hint="eastAsia" w:ascii="华文仿宋" w:hAnsi="华文仿宋" w:eastAsia="华文仿宋" w:cs="华文仿宋"/>
          <w:color w:val="auto"/>
          <w:sz w:val="28"/>
          <w:szCs w:val="28"/>
        </w:rPr>
        <w:t>保养</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耗材更换等服务</w:t>
      </w:r>
      <w:r>
        <w:rPr>
          <w:rFonts w:hint="eastAsia" w:ascii="华文仿宋" w:hAnsi="华文仿宋" w:eastAsia="华文仿宋" w:cs="华文仿宋"/>
          <w:color w:val="auto"/>
          <w:sz w:val="28"/>
          <w:szCs w:val="28"/>
        </w:rPr>
        <w:t>（二次供水</w:t>
      </w:r>
      <w:r>
        <w:rPr>
          <w:rFonts w:hint="eastAsia" w:ascii="华文仿宋" w:hAnsi="华文仿宋" w:eastAsia="华文仿宋" w:cs="华文仿宋"/>
          <w:color w:val="auto"/>
          <w:sz w:val="28"/>
          <w:szCs w:val="28"/>
          <w:highlight w:val="none"/>
          <w:lang w:eastAsia="zh-CN"/>
        </w:rPr>
        <w:t>、中央纯净水</w:t>
      </w:r>
      <w:r>
        <w:rPr>
          <w:rFonts w:hint="eastAsia" w:ascii="华文仿宋" w:hAnsi="华文仿宋" w:eastAsia="华文仿宋" w:cs="华文仿宋"/>
          <w:color w:val="auto"/>
          <w:sz w:val="28"/>
          <w:szCs w:val="28"/>
          <w:highlight w:val="none"/>
        </w:rPr>
        <w:t>检验</w:t>
      </w:r>
      <w:r>
        <w:rPr>
          <w:rFonts w:hint="eastAsia" w:ascii="华文仿宋" w:hAnsi="华文仿宋" w:eastAsia="华文仿宋" w:cs="华文仿宋"/>
          <w:color w:val="auto"/>
          <w:sz w:val="28"/>
          <w:szCs w:val="28"/>
          <w:highlight w:val="none"/>
          <w:lang w:val="en-US" w:eastAsia="zh-CN"/>
        </w:rPr>
        <w:t>并出具CMA资质的检测报告）；</w:t>
      </w:r>
      <w:r>
        <w:rPr>
          <w:rFonts w:hint="eastAsia" w:ascii="华文仿宋" w:hAnsi="华文仿宋" w:eastAsia="华文仿宋" w:cs="华文仿宋"/>
          <w:color w:val="auto"/>
          <w:sz w:val="28"/>
          <w:szCs w:val="28"/>
          <w:highlight w:val="none"/>
        </w:rPr>
        <w:t>（3）中央空调的维护保养；（4）室内外公</w:t>
      </w:r>
      <w:r>
        <w:rPr>
          <w:rFonts w:hint="eastAsia" w:ascii="华文仿宋" w:hAnsi="华文仿宋" w:eastAsia="华文仿宋" w:cs="华文仿宋"/>
          <w:color w:val="auto"/>
          <w:sz w:val="28"/>
          <w:szCs w:val="28"/>
        </w:rPr>
        <w:t>共区域保洁服务</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地下停车场卫生清洁及设备维护</w:t>
      </w:r>
      <w:r>
        <w:rPr>
          <w:rFonts w:hint="eastAsia" w:ascii="华文仿宋" w:hAnsi="华文仿宋" w:eastAsia="华文仿宋" w:cs="华文仿宋"/>
          <w:color w:val="auto"/>
          <w:sz w:val="28"/>
          <w:szCs w:val="28"/>
        </w:rPr>
        <w:t>、办公楼外墙及办公楼“四害”消杀工作</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所有公共区域及会议室、功能用房、室外广场绿化带的卫生清洁</w:t>
      </w:r>
      <w:r>
        <w:rPr>
          <w:rFonts w:hint="eastAsia" w:ascii="华文仿宋" w:hAnsi="华文仿宋" w:eastAsia="华文仿宋" w:cs="华文仿宋"/>
          <w:color w:val="auto"/>
          <w:sz w:val="28"/>
          <w:szCs w:val="28"/>
        </w:rPr>
        <w:t>；（5）室内外植物的绿化养护（室外草坪的绿化养护和树苗的补栽）；（6）室内外内公共区域终端设施设备日常维修和管理；（7）水电管道的维护维修及保养（含水、电、暖、给排水主管道等设施的</w:t>
      </w:r>
      <w:r>
        <w:rPr>
          <w:rFonts w:hint="eastAsia" w:ascii="华文仿宋" w:hAnsi="华文仿宋" w:eastAsia="华文仿宋" w:cs="华文仿宋"/>
          <w:color w:val="auto"/>
          <w:sz w:val="28"/>
          <w:szCs w:val="28"/>
          <w:highlight w:val="none"/>
          <w:lang w:eastAsia="zh-CN"/>
        </w:rPr>
        <w:t>配件更换</w:t>
      </w:r>
      <w:r>
        <w:rPr>
          <w:rFonts w:hint="eastAsia" w:ascii="华文仿宋" w:hAnsi="华文仿宋" w:eastAsia="华文仿宋" w:cs="华文仿宋"/>
          <w:color w:val="auto"/>
          <w:sz w:val="28"/>
          <w:szCs w:val="28"/>
        </w:rPr>
        <w:t>）；（8）室外亮化项目的维护维修；（9）停车场管理（含进出入人员管理登记，秩序维护、车辆安全等服务）；（10）安防监控系统的维修维护；（11）消防系统的维修维护（灭火器的更换及检验）；（12）配电室与地下室发电机的管理维护及保养；（13）地下室增压水泵的管理、维护；（14）会务服务及特约会务服务；</w:t>
      </w:r>
      <w:r>
        <w:rPr>
          <w:rFonts w:hint="eastAsia" w:ascii="华文仿宋" w:hAnsi="华文仿宋" w:eastAsia="华文仿宋" w:cs="华文仿宋"/>
          <w:color w:val="auto"/>
          <w:sz w:val="28"/>
          <w:szCs w:val="28"/>
          <w:highlight w:val="none"/>
        </w:rPr>
        <w:t>（15）室外运动场设备的维护及维修；</w:t>
      </w:r>
      <w:r>
        <w:rPr>
          <w:rFonts w:hint="eastAsia" w:ascii="华文仿宋" w:hAnsi="华文仿宋" w:eastAsia="华文仿宋" w:cs="华文仿宋"/>
          <w:color w:val="auto"/>
          <w:sz w:val="28"/>
          <w:szCs w:val="28"/>
        </w:rPr>
        <w:t>（16）垃圾的分类清运服务；（17）办公区域桌椅维修；（18）办公区域门窗维修；（19）一楼大厅上访人员的秩序维护；（20）</w:t>
      </w:r>
      <w:r>
        <w:rPr>
          <w:rFonts w:hint="eastAsia" w:ascii="华文仿宋" w:hAnsi="华文仿宋" w:eastAsia="华文仿宋" w:cs="华文仿宋"/>
          <w:color w:val="auto"/>
          <w:sz w:val="28"/>
          <w:szCs w:val="28"/>
          <w:lang w:val="en-US" w:eastAsia="zh-CN"/>
        </w:rPr>
        <w:t>会议室易耗品损坏购置由采购人承担80%，供应商承担20%费用；</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21</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物业服务企业应有固定的维修场地和专业的维修团队等。</w:t>
      </w:r>
    </w:p>
    <w:p w14:paraId="1672F8CB">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lang w:eastAsia="zh-CN"/>
        </w:rPr>
      </w:pPr>
      <w:r>
        <w:rPr>
          <w:rFonts w:hint="eastAsia" w:ascii="华文仿宋" w:hAnsi="华文仿宋" w:eastAsia="华文仿宋" w:cs="华文仿宋"/>
          <w:b/>
          <w:bCs/>
          <w:color w:val="auto"/>
          <w:sz w:val="28"/>
          <w:szCs w:val="28"/>
          <w:lang w:eastAsia="zh-CN"/>
        </w:rPr>
        <w:t>（三）</w:t>
      </w:r>
      <w:r>
        <w:rPr>
          <w:rFonts w:hint="eastAsia" w:ascii="华文仿宋" w:hAnsi="华文仿宋" w:eastAsia="华文仿宋" w:cs="华文仿宋"/>
          <w:b/>
          <w:bCs/>
          <w:color w:val="auto"/>
          <w:sz w:val="28"/>
          <w:szCs w:val="28"/>
        </w:rPr>
        <w:t>、服务目的及</w:t>
      </w:r>
      <w:r>
        <w:rPr>
          <w:rFonts w:hint="eastAsia" w:ascii="华文仿宋" w:hAnsi="华文仿宋" w:eastAsia="华文仿宋" w:cs="华文仿宋"/>
          <w:b/>
          <w:bCs/>
          <w:color w:val="auto"/>
          <w:sz w:val="28"/>
          <w:szCs w:val="28"/>
          <w:lang w:val="en-US" w:eastAsia="zh-CN"/>
        </w:rPr>
        <w:t>内容</w:t>
      </w:r>
    </w:p>
    <w:p w14:paraId="33C21494">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实行市场化、专业化物业管理服务，目的在于通过对业务技术用房实施专业化物业管理服务，提升机关后勤服务质量，提高服务效率，降低服务成本，减轻财政负担，营造舒心、优美的办公环境，保障物业功能的正常发挥</w:t>
      </w:r>
      <w:r>
        <w:rPr>
          <w:rFonts w:hint="eastAsia" w:ascii="华文仿宋" w:hAnsi="华文仿宋" w:eastAsia="华文仿宋" w:cs="华文仿宋"/>
          <w:color w:val="auto"/>
          <w:sz w:val="28"/>
          <w:szCs w:val="28"/>
          <w:lang w:eastAsia="zh-CN"/>
        </w:rPr>
        <w:t>。</w:t>
      </w:r>
    </w:p>
    <w:p w14:paraId="27686B19">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2.</w:t>
      </w:r>
      <w:r>
        <w:rPr>
          <w:rFonts w:hint="eastAsia" w:ascii="华文仿宋" w:hAnsi="华文仿宋" w:eastAsia="华文仿宋" w:cs="华文仿宋"/>
          <w:color w:val="auto"/>
          <w:sz w:val="28"/>
          <w:szCs w:val="28"/>
        </w:rPr>
        <w:t>投标人应根据采购人的人员岗位要求，配备服务人员和服务设施。</w:t>
      </w:r>
    </w:p>
    <w:p w14:paraId="68FB01C6">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rPr>
        <w:t>拟派服务人员应按规定统一着装、着装整齐清洁，仪表仪容整洁端庄。投标人须按照国家规定为员工购买社保及相关保险并签订劳动合同或聘用协议，管理、服务人员必须统一着装，相关费用由投标人承担。</w:t>
      </w:r>
    </w:p>
    <w:p w14:paraId="27FC0EF7">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4.</w:t>
      </w:r>
      <w:r>
        <w:rPr>
          <w:rFonts w:hint="eastAsia" w:ascii="华文仿宋" w:hAnsi="华文仿宋" w:eastAsia="华文仿宋" w:cs="华文仿宋"/>
          <w:color w:val="auto"/>
          <w:sz w:val="28"/>
          <w:szCs w:val="28"/>
        </w:rPr>
        <w:t>拟派服务人员应及时、认真做好工作日志、交接班记录、账册等记录工作，做到字迹清晰、数据准确。投标人每周需要会同工程、保洁部门的人员与采购人举行周例会，汇报工作和相关项目的工作进度，做到良好沟通协调。同时积极协调街区和周边相关物业单位和社区部门，做好沟通协调。</w:t>
      </w:r>
    </w:p>
    <w:p w14:paraId="0112CA6E">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5.</w:t>
      </w:r>
      <w:r>
        <w:rPr>
          <w:rFonts w:hint="eastAsia" w:ascii="华文仿宋" w:hAnsi="华文仿宋" w:eastAsia="华文仿宋" w:cs="华文仿宋"/>
          <w:color w:val="auto"/>
          <w:sz w:val="28"/>
          <w:szCs w:val="28"/>
        </w:rPr>
        <w:t>拟派服务人员应接受过相关专业技能和保密法规常识的培训，掌握物业管理基本法律法规，熟悉采购人的基本情况，能正确使用相关专用设备。</w:t>
      </w:r>
    </w:p>
    <w:p w14:paraId="636A4804">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6.</w:t>
      </w:r>
      <w:r>
        <w:rPr>
          <w:rFonts w:hint="eastAsia" w:ascii="华文仿宋" w:hAnsi="华文仿宋" w:eastAsia="华文仿宋" w:cs="华文仿宋"/>
          <w:color w:val="auto"/>
          <w:sz w:val="28"/>
          <w:szCs w:val="28"/>
        </w:rPr>
        <w:t>人员安排必须充分满足各岗位和工作量的需要。</w:t>
      </w:r>
    </w:p>
    <w:p w14:paraId="3034EA0E">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7.</w:t>
      </w:r>
      <w:r>
        <w:rPr>
          <w:rFonts w:hint="eastAsia" w:ascii="华文仿宋" w:hAnsi="华文仿宋" w:eastAsia="华文仿宋" w:cs="华文仿宋"/>
          <w:color w:val="auto"/>
          <w:sz w:val="28"/>
          <w:szCs w:val="28"/>
        </w:rPr>
        <w:t>拟派服务人员要求相对稳定，特殊情况有变化，需提前告知采购人管理部门，并征得采购人同意后方可实施，人员到位相互对接时间不少于一周，新到人员档案信息及时备案到采购人。</w:t>
      </w:r>
    </w:p>
    <w:p w14:paraId="04304872">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8.</w:t>
      </w:r>
      <w:r>
        <w:rPr>
          <w:rFonts w:hint="eastAsia" w:ascii="华文仿宋" w:hAnsi="华文仿宋" w:eastAsia="华文仿宋" w:cs="华文仿宋"/>
          <w:color w:val="auto"/>
          <w:sz w:val="28"/>
          <w:szCs w:val="28"/>
        </w:rPr>
        <w:t>投标人在物业服务过程中须参加采购人组织的日常检查及各项考</w:t>
      </w:r>
    </w:p>
    <w:p w14:paraId="6F0AFB87">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9.</w:t>
      </w:r>
      <w:r>
        <w:rPr>
          <w:rFonts w:hint="eastAsia" w:ascii="华文仿宋" w:hAnsi="华文仿宋" w:eastAsia="华文仿宋" w:cs="华文仿宋"/>
          <w:color w:val="auto"/>
          <w:sz w:val="28"/>
          <w:szCs w:val="28"/>
        </w:rPr>
        <w:t>为提高物业管理服务水平，所有拟派服务人员在服务期间按岗位要求进行定期短期培训，也包括保密教育，并签订保密承诺书。需要时，应接受采购人对服务人员的集中培训。</w:t>
      </w:r>
    </w:p>
    <w:p w14:paraId="297E98B1">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b/>
          <w:bCs/>
          <w:color w:val="auto"/>
          <w:sz w:val="28"/>
          <w:szCs w:val="28"/>
          <w:lang w:val="en-US" w:eastAsia="zh-CN"/>
        </w:rPr>
        <w:t xml:space="preserve">   人员配置要求</w:t>
      </w:r>
    </w:p>
    <w:tbl>
      <w:tblPr>
        <w:tblStyle w:val="3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40"/>
        <w:gridCol w:w="933"/>
        <w:gridCol w:w="819"/>
        <w:gridCol w:w="5716"/>
        <w:gridCol w:w="966"/>
      </w:tblGrid>
      <w:tr w14:paraId="475CB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jc w:val="center"/>
        </w:trPr>
        <w:tc>
          <w:tcPr>
            <w:tcW w:w="353" w:type="pct"/>
            <w:noWrap w:val="0"/>
            <w:vAlign w:val="center"/>
          </w:tcPr>
          <w:p w14:paraId="747D75D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序号</w:t>
            </w:r>
          </w:p>
        </w:tc>
        <w:tc>
          <w:tcPr>
            <w:tcW w:w="514" w:type="pct"/>
            <w:noWrap w:val="0"/>
            <w:vAlign w:val="center"/>
          </w:tcPr>
          <w:p w14:paraId="3B7EBCF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职务</w:t>
            </w:r>
          </w:p>
        </w:tc>
        <w:tc>
          <w:tcPr>
            <w:tcW w:w="451" w:type="pct"/>
            <w:noWrap w:val="0"/>
            <w:vAlign w:val="center"/>
          </w:tcPr>
          <w:p w14:paraId="789232E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人数</w:t>
            </w:r>
          </w:p>
        </w:tc>
        <w:tc>
          <w:tcPr>
            <w:tcW w:w="3148" w:type="pct"/>
            <w:noWrap w:val="0"/>
            <w:vAlign w:val="center"/>
          </w:tcPr>
          <w:p w14:paraId="5D1AD45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lang w:val="en-US" w:eastAsia="zh-CN"/>
              </w:rPr>
            </w:pPr>
            <w:r>
              <w:rPr>
                <w:rFonts w:hint="eastAsia" w:ascii="华文仿宋" w:hAnsi="华文仿宋" w:eastAsia="华文仿宋" w:cs="华文仿宋"/>
                <w:b/>
                <w:bCs/>
                <w:color w:val="auto"/>
                <w:spacing w:val="0"/>
                <w:w w:val="100"/>
                <w:sz w:val="28"/>
                <w:szCs w:val="28"/>
              </w:rPr>
              <w:t>要求</w:t>
            </w:r>
            <w:r>
              <w:rPr>
                <w:rFonts w:hint="eastAsia" w:ascii="华文仿宋" w:hAnsi="华文仿宋" w:eastAsia="华文仿宋" w:cs="华文仿宋"/>
                <w:b/>
                <w:bCs/>
                <w:color w:val="auto"/>
                <w:spacing w:val="0"/>
                <w:w w:val="100"/>
                <w:sz w:val="28"/>
                <w:szCs w:val="28"/>
                <w:lang w:val="en-US" w:eastAsia="zh-CN"/>
              </w:rPr>
              <w:t>描述</w:t>
            </w:r>
          </w:p>
        </w:tc>
        <w:tc>
          <w:tcPr>
            <w:tcW w:w="532" w:type="pct"/>
            <w:noWrap w:val="0"/>
            <w:vAlign w:val="center"/>
          </w:tcPr>
          <w:p w14:paraId="31CBC16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备注</w:t>
            </w:r>
          </w:p>
        </w:tc>
      </w:tr>
      <w:tr w14:paraId="10247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53" w:type="pct"/>
            <w:noWrap w:val="0"/>
            <w:vAlign w:val="center"/>
          </w:tcPr>
          <w:p w14:paraId="52F98B2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w:t>
            </w:r>
          </w:p>
        </w:tc>
        <w:tc>
          <w:tcPr>
            <w:tcW w:w="514" w:type="pct"/>
            <w:noWrap w:val="0"/>
            <w:vAlign w:val="center"/>
          </w:tcPr>
          <w:p w14:paraId="64C53C3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物业</w:t>
            </w:r>
          </w:p>
          <w:p w14:paraId="053165B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经理</w:t>
            </w:r>
          </w:p>
        </w:tc>
        <w:tc>
          <w:tcPr>
            <w:tcW w:w="451" w:type="pct"/>
            <w:noWrap w:val="0"/>
            <w:vAlign w:val="center"/>
          </w:tcPr>
          <w:p w14:paraId="4C642F9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lang w:val="en-US" w:eastAsia="zh-CN"/>
              </w:rPr>
              <w:t xml:space="preserve"> </w:t>
            </w:r>
            <w:r>
              <w:rPr>
                <w:rFonts w:hint="eastAsia" w:ascii="华文仿宋" w:hAnsi="华文仿宋" w:eastAsia="华文仿宋" w:cs="华文仿宋"/>
                <w:color w:val="auto"/>
                <w:spacing w:val="0"/>
                <w:w w:val="100"/>
                <w:sz w:val="28"/>
                <w:szCs w:val="28"/>
              </w:rPr>
              <w:t>1人</w:t>
            </w:r>
          </w:p>
        </w:tc>
        <w:tc>
          <w:tcPr>
            <w:tcW w:w="3148" w:type="pct"/>
            <w:noWrap w:val="0"/>
            <w:vAlign w:val="top"/>
          </w:tcPr>
          <w:p w14:paraId="2EA95B3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担任物业项目经理</w:t>
            </w:r>
            <w:r>
              <w:rPr>
                <w:rFonts w:hint="eastAsia" w:ascii="华文仿宋" w:hAnsi="华文仿宋" w:eastAsia="华文仿宋" w:cs="华文仿宋"/>
                <w:color w:val="auto"/>
                <w:spacing w:val="0"/>
                <w:w w:val="100"/>
                <w:sz w:val="28"/>
                <w:szCs w:val="28"/>
                <w:lang w:val="en-US" w:eastAsia="zh-CN"/>
              </w:rPr>
              <w:t>3</w:t>
            </w:r>
            <w:r>
              <w:rPr>
                <w:rFonts w:hint="eastAsia" w:ascii="华文仿宋" w:hAnsi="华文仿宋" w:eastAsia="华文仿宋" w:cs="华文仿宋"/>
                <w:color w:val="auto"/>
                <w:spacing w:val="0"/>
                <w:w w:val="100"/>
                <w:sz w:val="28"/>
                <w:szCs w:val="28"/>
              </w:rPr>
              <w:t>年以上管理经验，</w:t>
            </w:r>
            <w:r>
              <w:rPr>
                <w:rFonts w:hint="eastAsia" w:ascii="华文仿宋" w:hAnsi="华文仿宋" w:eastAsia="华文仿宋" w:cs="华文仿宋"/>
                <w:color w:val="auto"/>
                <w:spacing w:val="0"/>
                <w:w w:val="100"/>
                <w:sz w:val="28"/>
                <w:szCs w:val="28"/>
                <w:lang w:val="en-US" w:eastAsia="zh-CN"/>
              </w:rPr>
              <w:t>掌握</w:t>
            </w:r>
            <w:r>
              <w:rPr>
                <w:rFonts w:hint="eastAsia" w:ascii="华文仿宋" w:hAnsi="华文仿宋" w:eastAsia="华文仿宋" w:cs="华文仿宋"/>
                <w:color w:val="auto"/>
                <w:spacing w:val="0"/>
                <w:w w:val="100"/>
                <w:sz w:val="28"/>
                <w:szCs w:val="28"/>
              </w:rPr>
              <w:t>物业管理专业知识</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熟悉物业管理相关的法律法规</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掌握物业运营管理的各个环节</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对物业项目的管理工作高度负责，认真履行职责</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有良好的组织能力。</w:t>
            </w:r>
          </w:p>
        </w:tc>
        <w:tc>
          <w:tcPr>
            <w:tcW w:w="532" w:type="pct"/>
            <w:noWrap w:val="0"/>
            <w:vAlign w:val="top"/>
          </w:tcPr>
          <w:p w14:paraId="44AF605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648BE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jc w:val="center"/>
        </w:trPr>
        <w:tc>
          <w:tcPr>
            <w:tcW w:w="353" w:type="pct"/>
            <w:noWrap w:val="0"/>
            <w:vAlign w:val="center"/>
          </w:tcPr>
          <w:p w14:paraId="54B8A36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2</w:t>
            </w:r>
          </w:p>
        </w:tc>
        <w:tc>
          <w:tcPr>
            <w:tcW w:w="514" w:type="pct"/>
            <w:noWrap w:val="0"/>
            <w:vAlign w:val="center"/>
          </w:tcPr>
          <w:p w14:paraId="61D6A4A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会务</w:t>
            </w:r>
          </w:p>
          <w:p w14:paraId="6BF0EA4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主管</w:t>
            </w:r>
          </w:p>
        </w:tc>
        <w:tc>
          <w:tcPr>
            <w:tcW w:w="451" w:type="pct"/>
            <w:noWrap w:val="0"/>
            <w:vAlign w:val="center"/>
          </w:tcPr>
          <w:p w14:paraId="7F78FFB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lang w:val="en-US" w:eastAsia="zh-CN"/>
              </w:rPr>
              <w:t xml:space="preserve"> </w:t>
            </w:r>
            <w:r>
              <w:rPr>
                <w:rFonts w:hint="eastAsia" w:ascii="华文仿宋" w:hAnsi="华文仿宋" w:eastAsia="华文仿宋" w:cs="华文仿宋"/>
                <w:color w:val="auto"/>
                <w:spacing w:val="0"/>
                <w:w w:val="100"/>
                <w:sz w:val="28"/>
                <w:szCs w:val="28"/>
              </w:rPr>
              <w:t>1人</w:t>
            </w:r>
          </w:p>
        </w:tc>
        <w:tc>
          <w:tcPr>
            <w:tcW w:w="3148" w:type="pct"/>
            <w:noWrap w:val="0"/>
            <w:vAlign w:val="top"/>
          </w:tcPr>
          <w:p w14:paraId="6C2C848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大专以上学历，熟悉</w:t>
            </w:r>
            <w:r>
              <w:rPr>
                <w:rFonts w:hint="eastAsia" w:ascii="华文仿宋" w:hAnsi="华文仿宋" w:eastAsia="华文仿宋" w:cs="华文仿宋"/>
                <w:color w:val="auto"/>
                <w:spacing w:val="0"/>
                <w:w w:val="100"/>
                <w:sz w:val="28"/>
                <w:szCs w:val="28"/>
                <w:lang w:val="en-US" w:eastAsia="zh-CN"/>
              </w:rPr>
              <w:t>会务</w:t>
            </w:r>
            <w:r>
              <w:rPr>
                <w:rFonts w:hint="eastAsia" w:ascii="华文仿宋" w:hAnsi="华文仿宋" w:eastAsia="华文仿宋" w:cs="华文仿宋"/>
                <w:color w:val="auto"/>
                <w:spacing w:val="0"/>
                <w:w w:val="100"/>
                <w:sz w:val="28"/>
                <w:szCs w:val="28"/>
              </w:rPr>
              <w:t>管理的各个环节，掌握</w:t>
            </w:r>
            <w:r>
              <w:rPr>
                <w:rFonts w:hint="eastAsia" w:ascii="华文仿宋" w:hAnsi="华文仿宋" w:eastAsia="华文仿宋" w:cs="华文仿宋"/>
                <w:color w:val="auto"/>
                <w:spacing w:val="0"/>
                <w:w w:val="100"/>
                <w:sz w:val="28"/>
                <w:szCs w:val="28"/>
                <w:lang w:val="en-US" w:eastAsia="zh-CN"/>
              </w:rPr>
              <w:t>各项</w:t>
            </w:r>
            <w:r>
              <w:rPr>
                <w:rFonts w:hint="eastAsia" w:ascii="华文仿宋" w:hAnsi="华文仿宋" w:eastAsia="华文仿宋" w:cs="华文仿宋"/>
                <w:color w:val="auto"/>
                <w:spacing w:val="0"/>
                <w:w w:val="100"/>
                <w:sz w:val="28"/>
                <w:szCs w:val="28"/>
              </w:rPr>
              <w:t>会务流程，具备良好的沟通协调能力、逻辑思维能力及抗压能力，熟练掌握办公软件及相关策划工具</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工作细致认真。</w:t>
            </w:r>
          </w:p>
        </w:tc>
        <w:tc>
          <w:tcPr>
            <w:tcW w:w="532" w:type="pct"/>
            <w:noWrap w:val="0"/>
            <w:vAlign w:val="top"/>
          </w:tcPr>
          <w:p w14:paraId="5696332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39B23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jc w:val="center"/>
        </w:trPr>
        <w:tc>
          <w:tcPr>
            <w:tcW w:w="353" w:type="pct"/>
            <w:noWrap w:val="0"/>
            <w:vAlign w:val="center"/>
          </w:tcPr>
          <w:p w14:paraId="4D84612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3</w:t>
            </w:r>
          </w:p>
        </w:tc>
        <w:tc>
          <w:tcPr>
            <w:tcW w:w="514" w:type="pct"/>
            <w:noWrap w:val="0"/>
            <w:vAlign w:val="center"/>
          </w:tcPr>
          <w:p w14:paraId="696A2D1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会务</w:t>
            </w:r>
          </w:p>
          <w:p w14:paraId="439183E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zh-CN" w:bidi="ar-SA"/>
              </w:rPr>
              <w:t>人</w:t>
            </w:r>
            <w:r>
              <w:rPr>
                <w:rFonts w:hint="eastAsia" w:ascii="华文仿宋" w:hAnsi="华文仿宋" w:eastAsia="华文仿宋" w:cs="华文仿宋"/>
                <w:color w:val="auto"/>
                <w:spacing w:val="0"/>
                <w:w w:val="100"/>
                <w:kern w:val="2"/>
                <w:sz w:val="28"/>
                <w:szCs w:val="28"/>
                <w:lang w:val="en-US" w:eastAsia="en-US" w:bidi="ar-SA"/>
              </w:rPr>
              <w:t>员</w:t>
            </w:r>
          </w:p>
        </w:tc>
        <w:tc>
          <w:tcPr>
            <w:tcW w:w="451" w:type="pct"/>
            <w:noWrap w:val="0"/>
            <w:vAlign w:val="center"/>
          </w:tcPr>
          <w:p w14:paraId="02B0178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4人</w:t>
            </w:r>
          </w:p>
        </w:tc>
        <w:tc>
          <w:tcPr>
            <w:tcW w:w="3148" w:type="pct"/>
            <w:noWrap w:val="0"/>
            <w:vAlign w:val="top"/>
          </w:tcPr>
          <w:p w14:paraId="2CF1975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lang w:eastAsia="zh-CN"/>
              </w:rPr>
            </w:pPr>
            <w:r>
              <w:rPr>
                <w:rFonts w:hint="eastAsia" w:ascii="华文仿宋" w:hAnsi="华文仿宋" w:eastAsia="华文仿宋" w:cs="华文仿宋"/>
                <w:color w:val="auto"/>
                <w:spacing w:val="0"/>
                <w:w w:val="100"/>
                <w:sz w:val="28"/>
                <w:szCs w:val="28"/>
              </w:rPr>
              <w:t>能熟练完成会议摆台、茶水服务、会场巡检、物资归位、保密意识；供应商须承诺统一着装、仪容整洁；可要求"普通话流利"</w:t>
            </w:r>
            <w:r>
              <w:rPr>
                <w:rFonts w:hint="eastAsia" w:ascii="华文仿宋" w:hAnsi="华文仿宋" w:eastAsia="华文仿宋" w:cs="华文仿宋"/>
                <w:color w:val="auto"/>
                <w:spacing w:val="0"/>
                <w:w w:val="100"/>
                <w:sz w:val="28"/>
                <w:szCs w:val="28"/>
                <w:lang w:eastAsia="zh-CN"/>
              </w:rPr>
              <w:t>。</w:t>
            </w:r>
          </w:p>
        </w:tc>
        <w:tc>
          <w:tcPr>
            <w:tcW w:w="532" w:type="pct"/>
            <w:noWrap w:val="0"/>
            <w:vAlign w:val="top"/>
          </w:tcPr>
          <w:p w14:paraId="3C66493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78754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353" w:type="pct"/>
            <w:noWrap w:val="0"/>
            <w:vAlign w:val="center"/>
          </w:tcPr>
          <w:p w14:paraId="07F3D92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4</w:t>
            </w:r>
          </w:p>
        </w:tc>
        <w:tc>
          <w:tcPr>
            <w:tcW w:w="514" w:type="pct"/>
            <w:noWrap w:val="0"/>
            <w:vAlign w:val="center"/>
          </w:tcPr>
          <w:p w14:paraId="13BD8E7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保洁</w:t>
            </w:r>
          </w:p>
          <w:p w14:paraId="294A635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主管</w:t>
            </w:r>
          </w:p>
        </w:tc>
        <w:tc>
          <w:tcPr>
            <w:tcW w:w="451" w:type="pct"/>
            <w:noWrap w:val="0"/>
            <w:vAlign w:val="center"/>
          </w:tcPr>
          <w:p w14:paraId="012E1AB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1人</w:t>
            </w:r>
          </w:p>
        </w:tc>
        <w:tc>
          <w:tcPr>
            <w:tcW w:w="3148" w:type="pct"/>
            <w:noWrap w:val="0"/>
            <w:vAlign w:val="top"/>
          </w:tcPr>
          <w:p w14:paraId="3A85E5E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lang w:eastAsia="zh-CN"/>
              </w:rPr>
            </w:pPr>
            <w:r>
              <w:rPr>
                <w:rFonts w:hint="eastAsia" w:ascii="华文仿宋" w:hAnsi="华文仿宋" w:eastAsia="华文仿宋" w:cs="华文仿宋"/>
                <w:color w:val="auto"/>
                <w:spacing w:val="0"/>
                <w:w w:val="100"/>
                <w:sz w:val="28"/>
                <w:szCs w:val="28"/>
              </w:rPr>
              <w:t>具有良好的清洁专业知识</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熟悉各类清洁设备和工具的使用方法</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掌握各种清洁剂的特性和使用规范</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了解清洁工作的流程和标准</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熟知清洁工作中的安全注意事项</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能够对保洁人员进行安全培训，提高他们的安全意识</w:t>
            </w:r>
            <w:r>
              <w:rPr>
                <w:rFonts w:hint="eastAsia" w:ascii="华文仿宋" w:hAnsi="华文仿宋" w:eastAsia="华文仿宋" w:cs="华文仿宋"/>
                <w:color w:val="auto"/>
                <w:spacing w:val="0"/>
                <w:w w:val="100"/>
                <w:sz w:val="28"/>
                <w:szCs w:val="28"/>
                <w:lang w:eastAsia="zh-CN"/>
              </w:rPr>
              <w:t>。</w:t>
            </w:r>
          </w:p>
        </w:tc>
        <w:tc>
          <w:tcPr>
            <w:tcW w:w="532" w:type="pct"/>
            <w:noWrap w:val="0"/>
            <w:vAlign w:val="top"/>
          </w:tcPr>
          <w:p w14:paraId="051DB75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6732E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353" w:type="pct"/>
            <w:noWrap w:val="0"/>
            <w:vAlign w:val="center"/>
          </w:tcPr>
          <w:p w14:paraId="6630896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5</w:t>
            </w:r>
          </w:p>
        </w:tc>
        <w:tc>
          <w:tcPr>
            <w:tcW w:w="514" w:type="pct"/>
            <w:noWrap w:val="0"/>
            <w:vAlign w:val="center"/>
          </w:tcPr>
          <w:p w14:paraId="20809FC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保洁</w:t>
            </w:r>
          </w:p>
          <w:p w14:paraId="1E81553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zh-CN" w:bidi="ar-SA"/>
              </w:rPr>
              <w:t>人</w:t>
            </w:r>
            <w:r>
              <w:rPr>
                <w:rFonts w:hint="eastAsia" w:ascii="华文仿宋" w:hAnsi="华文仿宋" w:eastAsia="华文仿宋" w:cs="华文仿宋"/>
                <w:color w:val="auto"/>
                <w:spacing w:val="0"/>
                <w:w w:val="100"/>
                <w:kern w:val="2"/>
                <w:sz w:val="28"/>
                <w:szCs w:val="28"/>
                <w:lang w:val="en-US" w:eastAsia="en-US" w:bidi="ar-SA"/>
              </w:rPr>
              <w:t>员</w:t>
            </w:r>
          </w:p>
        </w:tc>
        <w:tc>
          <w:tcPr>
            <w:tcW w:w="451" w:type="pct"/>
            <w:noWrap w:val="0"/>
            <w:vAlign w:val="center"/>
          </w:tcPr>
          <w:p w14:paraId="122CC26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12人</w:t>
            </w:r>
          </w:p>
        </w:tc>
        <w:tc>
          <w:tcPr>
            <w:tcW w:w="3148" w:type="pct"/>
            <w:noWrap w:val="0"/>
            <w:vAlign w:val="top"/>
          </w:tcPr>
          <w:p w14:paraId="1989133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lang w:val="en-US" w:eastAsia="zh-CN"/>
              </w:rPr>
              <w:t>熟悉</w:t>
            </w:r>
            <w:r>
              <w:rPr>
                <w:rFonts w:hint="eastAsia" w:ascii="华文仿宋" w:hAnsi="华文仿宋" w:eastAsia="华文仿宋" w:cs="华文仿宋"/>
                <w:color w:val="auto"/>
                <w:spacing w:val="0"/>
                <w:w w:val="100"/>
                <w:sz w:val="28"/>
                <w:szCs w:val="28"/>
              </w:rPr>
              <w:t>清洁操作技能</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熟练掌握各种清洁工具的使用方法</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掌握不同材质表面的清洁要点热爱清洁工作，不怕脏、不怕累</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主动完成工作，不拖延、不推诿</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严格遵守工作安排和调度，按照规定的时间和流程完成清洁任务。</w:t>
            </w:r>
          </w:p>
        </w:tc>
        <w:tc>
          <w:tcPr>
            <w:tcW w:w="532" w:type="pct"/>
            <w:noWrap w:val="0"/>
            <w:vAlign w:val="top"/>
          </w:tcPr>
          <w:p w14:paraId="1F151B6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4015B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353" w:type="pct"/>
            <w:noWrap w:val="0"/>
            <w:vAlign w:val="center"/>
          </w:tcPr>
          <w:p w14:paraId="1A23B19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6</w:t>
            </w:r>
          </w:p>
        </w:tc>
        <w:tc>
          <w:tcPr>
            <w:tcW w:w="514" w:type="pct"/>
            <w:noWrap w:val="0"/>
            <w:vAlign w:val="center"/>
          </w:tcPr>
          <w:p w14:paraId="2A5887D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保安</w:t>
            </w:r>
          </w:p>
          <w:p w14:paraId="390B15E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队长</w:t>
            </w:r>
          </w:p>
        </w:tc>
        <w:tc>
          <w:tcPr>
            <w:tcW w:w="451" w:type="pct"/>
            <w:noWrap w:val="0"/>
            <w:vAlign w:val="top"/>
          </w:tcPr>
          <w:p w14:paraId="7671420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p w14:paraId="46FE830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1人</w:t>
            </w:r>
          </w:p>
        </w:tc>
        <w:tc>
          <w:tcPr>
            <w:tcW w:w="3148" w:type="pct"/>
            <w:noWrap w:val="0"/>
            <w:vAlign w:val="top"/>
          </w:tcPr>
          <w:p w14:paraId="0188D70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lang w:eastAsia="zh-CN"/>
              </w:rPr>
            </w:pPr>
            <w:r>
              <w:rPr>
                <w:rFonts w:hint="eastAsia" w:ascii="华文仿宋" w:hAnsi="华文仿宋" w:eastAsia="华文仿宋" w:cs="华文仿宋"/>
                <w:color w:val="auto"/>
                <w:spacing w:val="0"/>
                <w:w w:val="100"/>
                <w:sz w:val="28"/>
                <w:szCs w:val="28"/>
                <w:lang w:val="en-US" w:eastAsia="zh-CN"/>
              </w:rPr>
              <w:t>掌握</w:t>
            </w:r>
            <w:r>
              <w:rPr>
                <w:rFonts w:hint="eastAsia" w:ascii="华文仿宋" w:hAnsi="华文仿宋" w:eastAsia="华文仿宋" w:cs="华文仿宋"/>
                <w:color w:val="auto"/>
                <w:spacing w:val="0"/>
                <w:w w:val="100"/>
                <w:sz w:val="28"/>
                <w:szCs w:val="28"/>
                <w:lang w:eastAsia="zh-CN"/>
              </w:rPr>
              <w:t>安保专业知识，熟悉安全保卫工作的各项规章制度和操作流程，掌握各类安全防范知识，包括消防安全、治安防范、反恐防暴等方面的知识，能够制定相应的安全预案，具有良好的沟通协调能力，能够运用法律知识处理工作中的纠纷和问题，维护业主和物业的合法权益，具备良好的应变能力和决策能力。</w:t>
            </w:r>
          </w:p>
        </w:tc>
        <w:tc>
          <w:tcPr>
            <w:tcW w:w="532" w:type="pct"/>
            <w:noWrap w:val="0"/>
            <w:vAlign w:val="top"/>
          </w:tcPr>
          <w:p w14:paraId="6473F72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7B38B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809" w:hRule="atLeast"/>
          <w:jc w:val="center"/>
        </w:trPr>
        <w:tc>
          <w:tcPr>
            <w:tcW w:w="353" w:type="pct"/>
            <w:noWrap w:val="0"/>
            <w:vAlign w:val="center"/>
          </w:tcPr>
          <w:p w14:paraId="585A74A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kern w:val="2"/>
                <w:sz w:val="28"/>
                <w:szCs w:val="28"/>
                <w:lang w:val="en-US" w:eastAsia="en-US" w:bidi="ar-SA"/>
              </w:rPr>
            </w:pPr>
            <w:r>
              <w:rPr>
                <w:rFonts w:hint="eastAsia" w:ascii="华文仿宋" w:hAnsi="华文仿宋" w:eastAsia="华文仿宋" w:cs="华文仿宋"/>
                <w:color w:val="auto"/>
                <w:spacing w:val="0"/>
                <w:w w:val="100"/>
                <w:kern w:val="2"/>
                <w:sz w:val="28"/>
                <w:szCs w:val="28"/>
                <w:lang w:val="en-US" w:eastAsia="en-US" w:bidi="ar-SA"/>
              </w:rPr>
              <w:t>7</w:t>
            </w:r>
          </w:p>
        </w:tc>
        <w:tc>
          <w:tcPr>
            <w:tcW w:w="514" w:type="pct"/>
            <w:noWrap w:val="0"/>
            <w:vAlign w:val="center"/>
          </w:tcPr>
          <w:p w14:paraId="06A63C5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zh-CN" w:bidi="ar-SA"/>
              </w:rPr>
            </w:pPr>
            <w:r>
              <w:rPr>
                <w:rFonts w:hint="eastAsia" w:ascii="华文仿宋" w:hAnsi="华文仿宋" w:eastAsia="华文仿宋" w:cs="华文仿宋"/>
                <w:color w:val="auto"/>
                <w:spacing w:val="0"/>
                <w:w w:val="100"/>
                <w:kern w:val="2"/>
                <w:sz w:val="28"/>
                <w:szCs w:val="28"/>
                <w:lang w:val="en-US" w:eastAsia="en-US" w:bidi="ar-SA"/>
              </w:rPr>
              <w:t>保安</w:t>
            </w:r>
            <w:r>
              <w:rPr>
                <w:rFonts w:hint="eastAsia" w:ascii="华文仿宋" w:hAnsi="华文仿宋" w:eastAsia="华文仿宋" w:cs="华文仿宋"/>
                <w:color w:val="auto"/>
                <w:spacing w:val="0"/>
                <w:w w:val="100"/>
                <w:kern w:val="2"/>
                <w:sz w:val="28"/>
                <w:szCs w:val="28"/>
                <w:lang w:val="en-US" w:eastAsia="zh-CN" w:bidi="ar-SA"/>
              </w:rPr>
              <w:t>人员</w:t>
            </w:r>
          </w:p>
        </w:tc>
        <w:tc>
          <w:tcPr>
            <w:tcW w:w="451" w:type="pct"/>
            <w:noWrap w:val="0"/>
            <w:vAlign w:val="center"/>
          </w:tcPr>
          <w:p w14:paraId="124B78D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snapToGrid w:val="0"/>
                <w:color w:val="auto"/>
                <w:spacing w:val="0"/>
                <w:w w:val="100"/>
                <w:kern w:val="0"/>
                <w:sz w:val="28"/>
                <w:szCs w:val="28"/>
                <w:highlight w:val="none"/>
                <w:lang w:val="en-US" w:eastAsia="en-US" w:bidi="ar-SA"/>
              </w:rPr>
            </w:pPr>
            <w:r>
              <w:rPr>
                <w:rFonts w:hint="eastAsia" w:ascii="华文仿宋" w:hAnsi="华文仿宋" w:eastAsia="华文仿宋" w:cs="华文仿宋"/>
                <w:color w:val="auto"/>
                <w:spacing w:val="0"/>
                <w:w w:val="100"/>
                <w:sz w:val="28"/>
                <w:szCs w:val="28"/>
                <w:highlight w:val="none"/>
                <w:lang w:val="en-US" w:eastAsia="zh-CN"/>
              </w:rPr>
              <w:t>12</w:t>
            </w:r>
            <w:r>
              <w:rPr>
                <w:rFonts w:hint="eastAsia" w:ascii="华文仿宋" w:hAnsi="华文仿宋" w:eastAsia="华文仿宋" w:cs="华文仿宋"/>
                <w:color w:val="auto"/>
                <w:spacing w:val="0"/>
                <w:w w:val="100"/>
                <w:sz w:val="28"/>
                <w:szCs w:val="28"/>
                <w:highlight w:val="none"/>
              </w:rPr>
              <w:t>人</w:t>
            </w:r>
          </w:p>
        </w:tc>
        <w:tc>
          <w:tcPr>
            <w:tcW w:w="3148" w:type="pct"/>
            <w:noWrap w:val="0"/>
            <w:vAlign w:val="top"/>
          </w:tcPr>
          <w:p w14:paraId="7874C6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auto"/>
                <w:spacing w:val="0"/>
                <w:w w:val="100"/>
                <w:sz w:val="28"/>
                <w:szCs w:val="28"/>
                <w:highlight w:val="none"/>
                <w:lang w:val="en-US" w:eastAsia="en-US"/>
              </w:rPr>
            </w:pPr>
            <w:r>
              <w:rPr>
                <w:rFonts w:hint="eastAsia" w:ascii="华文仿宋" w:hAnsi="华文仿宋" w:eastAsia="华文仿宋" w:cs="华文仿宋"/>
                <w:color w:val="auto"/>
                <w:spacing w:val="0"/>
                <w:w w:val="100"/>
                <w:kern w:val="2"/>
                <w:sz w:val="28"/>
                <w:szCs w:val="28"/>
                <w:lang w:val="en-US" w:eastAsia="zh-CN" w:bidi="ar-SA"/>
              </w:rPr>
              <w:t>具有良好的体能和健康的体能</w:t>
            </w:r>
            <w:r>
              <w:rPr>
                <w:rFonts w:hint="eastAsia" w:ascii="华文仿宋" w:hAnsi="华文仿宋" w:eastAsia="华文仿宋" w:cs="华文仿宋"/>
                <w:color w:val="auto"/>
                <w:spacing w:val="0"/>
                <w:w w:val="100"/>
                <w:kern w:val="2"/>
                <w:sz w:val="28"/>
                <w:szCs w:val="28"/>
                <w:lang w:val="en-US" w:eastAsia="en-US" w:bidi="ar-SA"/>
              </w:rPr>
              <w:t>，</w:t>
            </w:r>
            <w:r>
              <w:rPr>
                <w:rFonts w:hint="eastAsia" w:ascii="华文仿宋" w:hAnsi="华文仿宋" w:eastAsia="华文仿宋" w:cs="华文仿宋"/>
                <w:color w:val="auto"/>
                <w:spacing w:val="0"/>
                <w:w w:val="100"/>
                <w:kern w:val="2"/>
                <w:sz w:val="28"/>
                <w:szCs w:val="28"/>
                <w:lang w:val="en-US" w:eastAsia="zh-CN" w:bidi="ar-SA"/>
              </w:rPr>
              <w:t>熟练掌握保安器械的使用方法，热爱保安工作，服从安排，具有保密意识，具备良好的语言表达能力，保持良好的个人形象，着装整洁、规范，佩戴好工作证件，负责项目门卫值守、监控室值班、楼宇安全巡查、区域内车辆进出查验及 停放管理。</w:t>
            </w:r>
          </w:p>
        </w:tc>
        <w:tc>
          <w:tcPr>
            <w:tcW w:w="532" w:type="pct"/>
            <w:noWrap w:val="0"/>
            <w:vAlign w:val="top"/>
          </w:tcPr>
          <w:p w14:paraId="06059B2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highlight w:val="none"/>
              </w:rPr>
            </w:pPr>
          </w:p>
        </w:tc>
      </w:tr>
      <w:tr w14:paraId="1E592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jc w:val="center"/>
        </w:trPr>
        <w:tc>
          <w:tcPr>
            <w:tcW w:w="353" w:type="pct"/>
            <w:noWrap w:val="0"/>
            <w:vAlign w:val="center"/>
          </w:tcPr>
          <w:p w14:paraId="37C5DB7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both"/>
              <w:textAlignment w:val="baseline"/>
              <w:rPr>
                <w:rFonts w:hint="eastAsia" w:ascii="华文仿宋" w:hAnsi="华文仿宋" w:eastAsia="华文仿宋" w:cs="华文仿宋"/>
                <w:color w:val="auto"/>
                <w:spacing w:val="0"/>
                <w:w w:val="100"/>
                <w:kern w:val="2"/>
                <w:sz w:val="28"/>
                <w:szCs w:val="28"/>
                <w:lang w:val="en-US" w:eastAsia="zh-CN" w:bidi="ar-SA"/>
              </w:rPr>
            </w:pPr>
            <w:r>
              <w:rPr>
                <w:rFonts w:hint="eastAsia" w:ascii="华文仿宋" w:hAnsi="华文仿宋" w:eastAsia="华文仿宋" w:cs="华文仿宋"/>
                <w:color w:val="auto"/>
                <w:spacing w:val="0"/>
                <w:w w:val="100"/>
                <w:kern w:val="2"/>
                <w:sz w:val="28"/>
                <w:szCs w:val="28"/>
                <w:lang w:val="en-US" w:eastAsia="zh-CN" w:bidi="ar-SA"/>
              </w:rPr>
              <w:t>8</w:t>
            </w:r>
          </w:p>
        </w:tc>
        <w:tc>
          <w:tcPr>
            <w:tcW w:w="514" w:type="pct"/>
            <w:noWrap w:val="0"/>
            <w:vAlign w:val="center"/>
          </w:tcPr>
          <w:p w14:paraId="4BF8036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zh-CN" w:bidi="ar-SA"/>
              </w:rPr>
            </w:pPr>
            <w:r>
              <w:rPr>
                <w:rFonts w:hint="eastAsia" w:ascii="华文仿宋" w:hAnsi="华文仿宋" w:eastAsia="华文仿宋" w:cs="华文仿宋"/>
                <w:color w:val="auto"/>
                <w:spacing w:val="0"/>
                <w:w w:val="100"/>
                <w:kern w:val="2"/>
                <w:sz w:val="28"/>
                <w:szCs w:val="28"/>
                <w:lang w:val="en-US" w:eastAsia="zh-CN" w:bidi="ar-SA"/>
              </w:rPr>
              <w:t>工程人员</w:t>
            </w:r>
          </w:p>
        </w:tc>
        <w:tc>
          <w:tcPr>
            <w:tcW w:w="451" w:type="pct"/>
            <w:noWrap w:val="0"/>
            <w:vAlign w:val="top"/>
          </w:tcPr>
          <w:p w14:paraId="435713D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highlight w:val="none"/>
              </w:rPr>
            </w:pPr>
          </w:p>
          <w:p w14:paraId="6442C60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highlight w:val="none"/>
                <w:lang w:val="en-US" w:eastAsia="zh-CN"/>
              </w:rPr>
            </w:pPr>
          </w:p>
          <w:p w14:paraId="13DDFAD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left"/>
              <w:textAlignment w:val="baseline"/>
              <w:rPr>
                <w:rFonts w:hint="eastAsia" w:ascii="华文仿宋" w:hAnsi="华文仿宋" w:eastAsia="华文仿宋" w:cs="华文仿宋"/>
                <w:color w:val="auto"/>
                <w:spacing w:val="0"/>
                <w:w w:val="100"/>
                <w:sz w:val="28"/>
                <w:szCs w:val="28"/>
                <w:highlight w:val="none"/>
                <w:lang w:val="en-US" w:eastAsia="zh-CN"/>
              </w:rPr>
            </w:pPr>
          </w:p>
          <w:p w14:paraId="1E0A5E6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83" w:firstLineChars="100"/>
              <w:jc w:val="left"/>
              <w:textAlignment w:val="baseline"/>
              <w:rPr>
                <w:rFonts w:hint="eastAsia" w:ascii="华文仿宋" w:hAnsi="华文仿宋" w:eastAsia="华文仿宋" w:cs="华文仿宋"/>
                <w:color w:val="auto"/>
                <w:spacing w:val="0"/>
                <w:w w:val="100"/>
                <w:sz w:val="28"/>
                <w:szCs w:val="28"/>
                <w:highlight w:val="none"/>
                <w:lang w:val="en-US" w:eastAsia="zh-CN"/>
              </w:rPr>
            </w:pPr>
          </w:p>
          <w:p w14:paraId="38B3763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snapToGrid w:val="0"/>
                <w:color w:val="auto"/>
                <w:spacing w:val="0"/>
                <w:w w:val="100"/>
                <w:kern w:val="0"/>
                <w:sz w:val="28"/>
                <w:szCs w:val="28"/>
                <w:highlight w:val="none"/>
                <w:lang w:val="en-US" w:eastAsia="zh-CN" w:bidi="ar-SA"/>
              </w:rPr>
            </w:pPr>
            <w:r>
              <w:rPr>
                <w:rFonts w:hint="eastAsia" w:ascii="华文仿宋" w:hAnsi="华文仿宋" w:eastAsia="华文仿宋" w:cs="华文仿宋"/>
                <w:color w:val="auto"/>
                <w:spacing w:val="0"/>
                <w:w w:val="100"/>
                <w:sz w:val="28"/>
                <w:szCs w:val="28"/>
                <w:highlight w:val="none"/>
                <w:lang w:val="en-US" w:eastAsia="zh-CN"/>
              </w:rPr>
              <w:t>3</w:t>
            </w:r>
            <w:r>
              <w:rPr>
                <w:rFonts w:hint="eastAsia" w:ascii="华文仿宋" w:hAnsi="华文仿宋" w:eastAsia="华文仿宋" w:cs="华文仿宋"/>
                <w:color w:val="auto"/>
                <w:spacing w:val="0"/>
                <w:w w:val="100"/>
                <w:sz w:val="28"/>
                <w:szCs w:val="28"/>
                <w:highlight w:val="none"/>
              </w:rPr>
              <w:t>人</w:t>
            </w:r>
          </w:p>
        </w:tc>
        <w:tc>
          <w:tcPr>
            <w:tcW w:w="3148" w:type="pct"/>
            <w:noWrap w:val="0"/>
            <w:vAlign w:val="top"/>
          </w:tcPr>
          <w:p w14:paraId="6DAC0EF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highlight w:val="none"/>
                <w:lang w:val="en-US" w:eastAsia="en-US"/>
              </w:rPr>
            </w:pPr>
            <w:r>
              <w:rPr>
                <w:rFonts w:hint="eastAsia" w:ascii="华文仿宋" w:hAnsi="华文仿宋" w:eastAsia="华文仿宋" w:cs="华文仿宋"/>
                <w:color w:val="auto"/>
                <w:spacing w:val="0"/>
                <w:w w:val="100"/>
                <w:kern w:val="2"/>
                <w:sz w:val="28"/>
                <w:szCs w:val="28"/>
                <w:highlight w:val="none"/>
                <w:lang w:val="en-US" w:eastAsia="zh-CN" w:bidi="ar-SA"/>
              </w:rPr>
              <w:t>高压电工作业1人；低压电工作业1人，消防操作人员1人）；</w:t>
            </w:r>
            <w:r>
              <w:rPr>
                <w:rFonts w:hint="eastAsia" w:ascii="华文仿宋" w:hAnsi="华文仿宋" w:eastAsia="华文仿宋" w:cs="华文仿宋"/>
                <w:color w:val="auto"/>
                <w:spacing w:val="0"/>
                <w:w w:val="100"/>
                <w:sz w:val="28"/>
                <w:szCs w:val="28"/>
                <w:highlight w:val="none"/>
              </w:rPr>
              <w:t>熟练掌握水电维修各项技能，</w:t>
            </w:r>
            <w:r>
              <w:rPr>
                <w:rFonts w:hint="eastAsia" w:ascii="华文仿宋" w:hAnsi="华文仿宋" w:eastAsia="华文仿宋" w:cs="华文仿宋"/>
                <w:color w:val="auto"/>
                <w:spacing w:val="0"/>
                <w:w w:val="100"/>
                <w:kern w:val="2"/>
                <w:sz w:val="28"/>
                <w:szCs w:val="28"/>
                <w:highlight w:val="none"/>
                <w:lang w:val="en-US" w:eastAsia="zh-CN" w:bidi="ar-SA"/>
              </w:rPr>
              <w:t>负责项目配电室值班、电气日常维修；负责项目水泵房值班、给排水维修；负责项目各项零星类维修。负责电梯设备的巡视与监管，电梯的维护与保养由专业的维保单位负责。</w:t>
            </w:r>
            <w:r>
              <w:rPr>
                <w:rFonts w:hint="eastAsia" w:ascii="华文仿宋" w:hAnsi="华文仿宋" w:eastAsia="华文仿宋" w:cs="华文仿宋"/>
                <w:color w:val="auto"/>
                <w:spacing w:val="0"/>
                <w:w w:val="100"/>
                <w:sz w:val="28"/>
                <w:szCs w:val="28"/>
                <w:highlight w:val="none"/>
              </w:rPr>
              <w:t>服</w:t>
            </w:r>
            <w:r>
              <w:rPr>
                <w:rFonts w:hint="eastAsia" w:ascii="华文仿宋" w:hAnsi="华文仿宋" w:eastAsia="华文仿宋" w:cs="华文仿宋"/>
                <w:color w:val="auto"/>
                <w:spacing w:val="0"/>
                <w:w w:val="100"/>
                <w:sz w:val="28"/>
                <w:szCs w:val="28"/>
                <w:highlight w:val="none"/>
                <w:lang w:val="en-US" w:eastAsia="zh-CN"/>
              </w:rPr>
              <w:t>从</w:t>
            </w:r>
            <w:r>
              <w:rPr>
                <w:rFonts w:hint="eastAsia" w:ascii="华文仿宋" w:hAnsi="华文仿宋" w:eastAsia="华文仿宋" w:cs="华文仿宋"/>
                <w:color w:val="auto"/>
                <w:spacing w:val="0"/>
                <w:w w:val="100"/>
                <w:sz w:val="28"/>
                <w:szCs w:val="28"/>
                <w:highlight w:val="none"/>
              </w:rPr>
              <w:t>上级安排的各项工作。</w:t>
            </w:r>
            <w:r>
              <w:rPr>
                <w:rFonts w:hint="eastAsia" w:ascii="华文仿宋" w:hAnsi="华文仿宋" w:eastAsia="华文仿宋" w:cs="华文仿宋"/>
                <w:color w:val="auto"/>
                <w:spacing w:val="0"/>
                <w:w w:val="100"/>
                <w:kern w:val="2"/>
                <w:sz w:val="28"/>
                <w:szCs w:val="28"/>
                <w:highlight w:val="none"/>
                <w:lang w:val="en-US" w:eastAsia="zh-CN" w:bidi="ar-SA"/>
              </w:rPr>
              <w:t>具备特种行业从业资格证书。</w:t>
            </w:r>
          </w:p>
        </w:tc>
        <w:tc>
          <w:tcPr>
            <w:tcW w:w="532" w:type="pct"/>
            <w:noWrap w:val="0"/>
            <w:vAlign w:val="top"/>
          </w:tcPr>
          <w:p w14:paraId="70B0987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8"/>
                <w:szCs w:val="28"/>
              </w:rPr>
            </w:pPr>
          </w:p>
        </w:tc>
      </w:tr>
      <w:tr w14:paraId="14E2B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353" w:type="pct"/>
            <w:noWrap w:val="0"/>
            <w:vAlign w:val="center"/>
          </w:tcPr>
          <w:p w14:paraId="7B844F9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zh-CN" w:bidi="ar-SA"/>
              </w:rPr>
            </w:pPr>
            <w:r>
              <w:rPr>
                <w:rFonts w:hint="eastAsia" w:ascii="华文仿宋" w:hAnsi="华文仿宋" w:eastAsia="华文仿宋" w:cs="华文仿宋"/>
                <w:color w:val="auto"/>
                <w:spacing w:val="0"/>
                <w:w w:val="100"/>
                <w:kern w:val="2"/>
                <w:sz w:val="28"/>
                <w:szCs w:val="28"/>
                <w:lang w:val="en-US" w:eastAsia="zh-CN" w:bidi="ar-SA"/>
              </w:rPr>
              <w:t>9</w:t>
            </w:r>
          </w:p>
        </w:tc>
        <w:tc>
          <w:tcPr>
            <w:tcW w:w="514" w:type="pct"/>
            <w:noWrap w:val="0"/>
            <w:vAlign w:val="center"/>
          </w:tcPr>
          <w:p w14:paraId="22A9AA7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8"/>
                <w:szCs w:val="28"/>
                <w:lang w:val="en-US" w:eastAsia="zh-CN" w:bidi="ar-SA"/>
              </w:rPr>
            </w:pPr>
            <w:r>
              <w:rPr>
                <w:rFonts w:hint="eastAsia" w:ascii="华文仿宋" w:hAnsi="华文仿宋" w:eastAsia="华文仿宋" w:cs="华文仿宋"/>
                <w:color w:val="auto"/>
                <w:spacing w:val="0"/>
                <w:w w:val="100"/>
                <w:kern w:val="2"/>
                <w:sz w:val="28"/>
                <w:szCs w:val="28"/>
                <w:lang w:val="en-US" w:eastAsia="zh-CN" w:bidi="ar-SA"/>
              </w:rPr>
              <w:t>绿化人员</w:t>
            </w:r>
          </w:p>
        </w:tc>
        <w:tc>
          <w:tcPr>
            <w:tcW w:w="451" w:type="pct"/>
            <w:noWrap w:val="0"/>
            <w:vAlign w:val="center"/>
          </w:tcPr>
          <w:p w14:paraId="3B2B3F1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snapToGrid w:val="0"/>
                <w:color w:val="auto"/>
                <w:spacing w:val="0"/>
                <w:w w:val="100"/>
                <w:kern w:val="0"/>
                <w:sz w:val="28"/>
                <w:szCs w:val="28"/>
                <w:lang w:val="en-US" w:eastAsia="en-US" w:bidi="ar-SA"/>
              </w:rPr>
            </w:pPr>
            <w:r>
              <w:rPr>
                <w:rFonts w:hint="eastAsia" w:ascii="华文仿宋" w:hAnsi="华文仿宋" w:eastAsia="华文仿宋" w:cs="华文仿宋"/>
                <w:color w:val="auto"/>
                <w:spacing w:val="0"/>
                <w:w w:val="100"/>
                <w:sz w:val="28"/>
                <w:szCs w:val="28"/>
                <w:lang w:val="en-US" w:eastAsia="zh-CN"/>
              </w:rPr>
              <w:t xml:space="preserve"> </w:t>
            </w:r>
            <w:r>
              <w:rPr>
                <w:rFonts w:hint="eastAsia" w:ascii="华文仿宋" w:hAnsi="华文仿宋" w:eastAsia="华文仿宋" w:cs="华文仿宋"/>
                <w:color w:val="auto"/>
                <w:spacing w:val="0"/>
                <w:w w:val="100"/>
                <w:sz w:val="28"/>
                <w:szCs w:val="28"/>
              </w:rPr>
              <w:t>1人</w:t>
            </w:r>
          </w:p>
        </w:tc>
        <w:tc>
          <w:tcPr>
            <w:tcW w:w="3148" w:type="pct"/>
            <w:noWrap w:val="0"/>
            <w:vAlign w:val="top"/>
          </w:tcPr>
          <w:p w14:paraId="7B403F3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lang w:val="en-US" w:eastAsia="en-US"/>
              </w:rPr>
            </w:pPr>
            <w:r>
              <w:rPr>
                <w:rFonts w:hint="eastAsia" w:ascii="华文仿宋" w:hAnsi="华文仿宋" w:eastAsia="华文仿宋" w:cs="华文仿宋"/>
                <w:color w:val="auto"/>
                <w:spacing w:val="0"/>
                <w:w w:val="100"/>
                <w:kern w:val="2"/>
                <w:sz w:val="28"/>
                <w:szCs w:val="28"/>
                <w:highlight w:val="none"/>
                <w:lang w:val="en-US" w:eastAsia="zh-CN" w:bidi="ar-SA"/>
              </w:rPr>
              <w:t>熟悉常见园林植物的种类、特性、生长习性和养护要点，了解植物的繁殖方式，熟练掌握修剪、整形技术，能够正确使用和维护绿化工具及设备，热爱绿化工作，负责制定绿化服务工作计划及绿植养护计划。熟悉花草生长规律，工作细致认真。</w:t>
            </w:r>
          </w:p>
        </w:tc>
        <w:tc>
          <w:tcPr>
            <w:tcW w:w="532" w:type="pct"/>
            <w:noWrap w:val="0"/>
            <w:vAlign w:val="top"/>
          </w:tcPr>
          <w:p w14:paraId="0DC6A1D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snapToGrid w:val="0"/>
                <w:color w:val="auto"/>
                <w:spacing w:val="0"/>
                <w:w w:val="100"/>
                <w:kern w:val="0"/>
                <w:sz w:val="28"/>
                <w:szCs w:val="28"/>
                <w:lang w:val="en-US" w:eastAsia="en-US" w:bidi="ar-SA"/>
              </w:rPr>
            </w:pPr>
          </w:p>
        </w:tc>
      </w:tr>
      <w:tr w14:paraId="5B564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jc w:val="center"/>
        </w:trPr>
        <w:tc>
          <w:tcPr>
            <w:tcW w:w="867" w:type="pct"/>
            <w:gridSpan w:val="2"/>
            <w:noWrap w:val="0"/>
            <w:vAlign w:val="center"/>
          </w:tcPr>
          <w:p w14:paraId="3F0EE74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lang w:eastAsia="zh-CN"/>
              </w:rPr>
            </w:pPr>
            <w:r>
              <w:rPr>
                <w:rFonts w:hint="eastAsia" w:ascii="华文仿宋" w:hAnsi="华文仿宋" w:eastAsia="华文仿宋" w:cs="华文仿宋"/>
                <w:color w:val="auto"/>
                <w:spacing w:val="0"/>
                <w:w w:val="100"/>
                <w:sz w:val="28"/>
                <w:szCs w:val="28"/>
                <w:lang w:eastAsia="zh-CN"/>
              </w:rPr>
              <w:t>合计</w:t>
            </w:r>
          </w:p>
        </w:tc>
        <w:tc>
          <w:tcPr>
            <w:tcW w:w="451" w:type="pct"/>
            <w:noWrap w:val="0"/>
            <w:vAlign w:val="center"/>
          </w:tcPr>
          <w:p w14:paraId="134E6A5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8"/>
                <w:szCs w:val="28"/>
                <w:highlight w:val="none"/>
                <w:lang w:val="en-US" w:eastAsia="zh-CN"/>
              </w:rPr>
            </w:pPr>
            <w:r>
              <w:rPr>
                <w:rFonts w:hint="eastAsia" w:ascii="华文仿宋" w:hAnsi="华文仿宋" w:eastAsia="华文仿宋" w:cs="华文仿宋"/>
                <w:color w:val="auto"/>
                <w:spacing w:val="0"/>
                <w:w w:val="100"/>
                <w:sz w:val="28"/>
                <w:szCs w:val="28"/>
                <w:highlight w:val="none"/>
                <w:lang w:val="en-US" w:eastAsia="zh-CN"/>
              </w:rPr>
              <w:t>36人</w:t>
            </w:r>
          </w:p>
        </w:tc>
        <w:tc>
          <w:tcPr>
            <w:tcW w:w="3148" w:type="pct"/>
            <w:noWrap w:val="0"/>
            <w:vAlign w:val="top"/>
          </w:tcPr>
          <w:p w14:paraId="2B74CF4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455" w:leftChars="0"/>
              <w:jc w:val="center"/>
              <w:textAlignment w:val="baseline"/>
              <w:rPr>
                <w:rFonts w:hint="eastAsia" w:ascii="华文仿宋" w:hAnsi="华文仿宋" w:eastAsia="华文仿宋" w:cs="华文仿宋"/>
                <w:color w:val="auto"/>
                <w:spacing w:val="0"/>
                <w:w w:val="100"/>
                <w:sz w:val="28"/>
                <w:szCs w:val="28"/>
                <w:highlight w:val="none"/>
              </w:rPr>
            </w:pPr>
          </w:p>
        </w:tc>
        <w:tc>
          <w:tcPr>
            <w:tcW w:w="532" w:type="pct"/>
            <w:noWrap w:val="0"/>
            <w:vAlign w:val="top"/>
          </w:tcPr>
          <w:p w14:paraId="07FF971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455" w:leftChars="0"/>
              <w:jc w:val="left"/>
              <w:textAlignment w:val="baseline"/>
              <w:rPr>
                <w:rFonts w:hint="eastAsia" w:ascii="华文仿宋" w:hAnsi="华文仿宋" w:eastAsia="华文仿宋" w:cs="华文仿宋"/>
                <w:color w:val="auto"/>
                <w:spacing w:val="0"/>
                <w:w w:val="100"/>
                <w:sz w:val="28"/>
                <w:szCs w:val="28"/>
                <w:lang w:val="en-US" w:eastAsia="en-US"/>
              </w:rPr>
            </w:pPr>
          </w:p>
        </w:tc>
      </w:tr>
    </w:tbl>
    <w:p w14:paraId="08B798BD">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3.</w:t>
      </w:r>
      <w:r>
        <w:rPr>
          <w:rFonts w:hint="eastAsia" w:ascii="华文仿宋" w:hAnsi="华文仿宋" w:eastAsia="华文仿宋" w:cs="华文仿宋"/>
          <w:b/>
          <w:bCs/>
          <w:color w:val="auto"/>
          <w:sz w:val="28"/>
          <w:szCs w:val="28"/>
        </w:rPr>
        <w:t>物业服务内容</w:t>
      </w:r>
    </w:p>
    <w:p w14:paraId="4D68FF2C">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3.1.</w:t>
      </w:r>
      <w:r>
        <w:rPr>
          <w:rFonts w:hint="eastAsia" w:ascii="华文仿宋" w:hAnsi="华文仿宋" w:eastAsia="华文仿宋" w:cs="华文仿宋"/>
          <w:color w:val="auto"/>
          <w:sz w:val="28"/>
          <w:szCs w:val="28"/>
        </w:rPr>
        <w:t>常规服务内容</w:t>
      </w:r>
    </w:p>
    <w:p w14:paraId="0448CCDB">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（1）办公楼水、电、暖的</w:t>
      </w:r>
      <w:r>
        <w:rPr>
          <w:rFonts w:hint="eastAsia" w:ascii="华文仿宋" w:hAnsi="华文仿宋" w:eastAsia="华文仿宋" w:cs="华文仿宋"/>
          <w:color w:val="auto"/>
          <w:sz w:val="28"/>
          <w:szCs w:val="28"/>
          <w:highlight w:val="none"/>
          <w:lang w:eastAsia="zh-CN"/>
        </w:rPr>
        <w:t>保障正常</w:t>
      </w:r>
      <w:r>
        <w:rPr>
          <w:rFonts w:hint="eastAsia" w:ascii="华文仿宋" w:hAnsi="华文仿宋" w:eastAsia="华文仿宋" w:cs="华文仿宋"/>
          <w:color w:val="auto"/>
          <w:sz w:val="28"/>
          <w:szCs w:val="28"/>
          <w:highlight w:val="none"/>
        </w:rPr>
        <w:t>供应；</w:t>
      </w:r>
    </w:p>
    <w:p w14:paraId="626F07B1">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（2）办公楼电梯的运行及维护（含电梯运行费、年检费、维保费、</w:t>
      </w:r>
      <w:r>
        <w:rPr>
          <w:rFonts w:hint="eastAsia" w:ascii="华文仿宋" w:hAnsi="华文仿宋" w:eastAsia="华文仿宋" w:cs="华文仿宋"/>
          <w:color w:val="auto"/>
          <w:sz w:val="28"/>
          <w:szCs w:val="28"/>
          <w:highlight w:val="none"/>
          <w:lang w:eastAsia="zh-CN"/>
        </w:rPr>
        <w:t>常规配件的</w:t>
      </w:r>
      <w:r>
        <w:rPr>
          <w:rFonts w:hint="eastAsia" w:ascii="华文仿宋" w:hAnsi="华文仿宋" w:eastAsia="华文仿宋" w:cs="华文仿宋"/>
          <w:color w:val="auto"/>
          <w:sz w:val="28"/>
          <w:szCs w:val="28"/>
          <w:highlight w:val="none"/>
        </w:rPr>
        <w:t>维修</w:t>
      </w:r>
      <w:r>
        <w:rPr>
          <w:rFonts w:hint="eastAsia" w:ascii="华文仿宋" w:hAnsi="华文仿宋" w:eastAsia="华文仿宋" w:cs="华文仿宋"/>
          <w:color w:val="auto"/>
          <w:sz w:val="28"/>
          <w:szCs w:val="28"/>
          <w:highlight w:val="none"/>
          <w:lang w:eastAsia="zh-CN"/>
        </w:rPr>
        <w:t>更换</w:t>
      </w:r>
      <w:r>
        <w:rPr>
          <w:rFonts w:hint="eastAsia" w:ascii="华文仿宋" w:hAnsi="华文仿宋" w:eastAsia="华文仿宋" w:cs="华文仿宋"/>
          <w:color w:val="auto"/>
          <w:sz w:val="28"/>
          <w:szCs w:val="28"/>
          <w:highlight w:val="none"/>
        </w:rPr>
        <w:t>费</w:t>
      </w:r>
      <w:r>
        <w:rPr>
          <w:rFonts w:hint="eastAsia" w:ascii="华文仿宋" w:hAnsi="华文仿宋" w:eastAsia="华文仿宋" w:cs="华文仿宋"/>
          <w:color w:val="auto"/>
          <w:sz w:val="28"/>
          <w:szCs w:val="28"/>
          <w:highlight w:val="none"/>
          <w:lang w:eastAsia="zh-CN"/>
        </w:rPr>
        <w:t>用</w:t>
      </w:r>
      <w:r>
        <w:rPr>
          <w:rFonts w:hint="eastAsia" w:ascii="华文仿宋" w:hAnsi="华文仿宋" w:eastAsia="华文仿宋" w:cs="华文仿宋"/>
          <w:color w:val="auto"/>
          <w:sz w:val="28"/>
          <w:szCs w:val="28"/>
          <w:highlight w:val="none"/>
        </w:rPr>
        <w:t>等）；</w:t>
      </w:r>
    </w:p>
    <w:p w14:paraId="7A3320E6">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（3）室内外供暖、消防设施的维修维护（含消防年检、干粉灭火器的更新检验）以及水、电、给排水主管道等设施的维修维护和</w:t>
      </w:r>
      <w:r>
        <w:rPr>
          <w:rFonts w:hint="eastAsia" w:ascii="华文仿宋" w:hAnsi="华文仿宋" w:eastAsia="华文仿宋" w:cs="华文仿宋"/>
          <w:color w:val="auto"/>
          <w:sz w:val="28"/>
          <w:szCs w:val="28"/>
          <w:highlight w:val="none"/>
          <w:lang w:eastAsia="zh-CN"/>
        </w:rPr>
        <w:t>配件更换、</w:t>
      </w:r>
      <w:r>
        <w:rPr>
          <w:rFonts w:hint="eastAsia" w:ascii="华文仿宋" w:hAnsi="华文仿宋" w:eastAsia="华文仿宋" w:cs="华文仿宋"/>
          <w:color w:val="auto"/>
          <w:sz w:val="28"/>
          <w:szCs w:val="28"/>
          <w:highlight w:val="none"/>
        </w:rPr>
        <w:t>保养（含维修人工费、材料费等一切费用）；</w:t>
      </w:r>
    </w:p>
    <w:p w14:paraId="138CA90F">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（4）化粪池、餐厅油水分离池的清理和管理（含人工费、材料费）；</w:t>
      </w:r>
    </w:p>
    <w:p w14:paraId="0132F0E1">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（5）地下停车场（人防设施）的管理（含地下停车场的卫生保洁费、设施维修维护费、材料费、秩序维护、车辆安全等）；</w:t>
      </w:r>
    </w:p>
    <w:p w14:paraId="0FBCD6C1">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（6）房屋及楼内公共区域设施设备日常维修、养护和管理（含维修用材料费、人工费等）；</w:t>
      </w:r>
    </w:p>
    <w:p w14:paraId="044CEE40">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（7）办公区域的秩序维护及安全防范；</w:t>
      </w:r>
    </w:p>
    <w:p w14:paraId="3D24EBC3">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（8）办公场所公共区域内卫生的清洁、垃圾的收集、分类、运输、办公楼外墙、玻璃幕墙的定期清洗；办公区域的消毒及四害消杀、物业档案资料管理工作；</w:t>
      </w:r>
    </w:p>
    <w:p w14:paraId="1C4D8D63">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（9）二次供水蓄水箱、中央纯净水器的定期维护保养及维修、耗材更换等服务（含材料费、人工费及二次供水</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中央纯净水检验报告）；</w:t>
      </w:r>
    </w:p>
    <w:p w14:paraId="3B54F319">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（10）突发事件处理；</w:t>
      </w:r>
    </w:p>
    <w:p w14:paraId="44F1B53C">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（11）法规和政策规定由物业服务企业承担的其它事项。</w:t>
      </w:r>
    </w:p>
    <w:p w14:paraId="110CD16D">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rPr>
        <w:t>2.特约服务内容</w:t>
      </w:r>
    </w:p>
    <w:p w14:paraId="36D303DF">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（1）办公楼的会议室管理与清洁（会议室易耗品损坏购置由采购人承担 80% ，</w:t>
      </w:r>
      <w:r>
        <w:rPr>
          <w:rFonts w:hint="eastAsia" w:ascii="华文仿宋" w:hAnsi="华文仿宋" w:eastAsia="华文仿宋" w:cs="华文仿宋"/>
          <w:color w:val="auto"/>
          <w:sz w:val="28"/>
          <w:szCs w:val="28"/>
          <w:lang w:eastAsia="zh-CN"/>
        </w:rPr>
        <w:t>供应商</w:t>
      </w:r>
      <w:r>
        <w:rPr>
          <w:rFonts w:hint="eastAsia" w:ascii="华文仿宋" w:hAnsi="华文仿宋" w:eastAsia="华文仿宋" w:cs="华文仿宋"/>
          <w:color w:val="auto"/>
          <w:sz w:val="28"/>
          <w:szCs w:val="28"/>
        </w:rPr>
        <w:t>承担 20%费用）；</w:t>
      </w:r>
    </w:p>
    <w:p w14:paraId="41BC31DA">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（2）室外运动场设备的维护及保养和维修；</w:t>
      </w:r>
    </w:p>
    <w:p w14:paraId="30BDD850">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）室内外植物的绿化养护（</w:t>
      </w:r>
      <w:r>
        <w:rPr>
          <w:rFonts w:hint="eastAsia" w:ascii="华文仿宋" w:hAnsi="华文仿宋" w:eastAsia="华文仿宋" w:cs="华文仿宋"/>
          <w:color w:val="auto"/>
          <w:sz w:val="28"/>
          <w:szCs w:val="28"/>
          <w:highlight w:val="none"/>
          <w:lang w:eastAsia="zh-CN"/>
        </w:rPr>
        <w:t>含</w:t>
      </w:r>
      <w:r>
        <w:rPr>
          <w:rFonts w:hint="eastAsia" w:ascii="华文仿宋" w:hAnsi="华文仿宋" w:eastAsia="华文仿宋" w:cs="华文仿宋"/>
          <w:color w:val="auto"/>
          <w:sz w:val="28"/>
          <w:szCs w:val="28"/>
          <w:highlight w:val="none"/>
        </w:rPr>
        <w:t>室外草坪的绿化养护和树苗的补栽</w:t>
      </w:r>
      <w:r>
        <w:rPr>
          <w:rFonts w:hint="eastAsia" w:ascii="华文仿宋" w:hAnsi="华文仿宋" w:eastAsia="华文仿宋" w:cs="华文仿宋"/>
          <w:color w:val="auto"/>
          <w:sz w:val="28"/>
          <w:szCs w:val="28"/>
          <w:highlight w:val="none"/>
          <w:lang w:eastAsia="zh-CN"/>
        </w:rPr>
        <w:t>费用</w:t>
      </w:r>
      <w:r>
        <w:rPr>
          <w:rFonts w:hint="eastAsia" w:ascii="华文仿宋" w:hAnsi="华文仿宋" w:eastAsia="华文仿宋" w:cs="华文仿宋"/>
          <w:color w:val="auto"/>
          <w:sz w:val="28"/>
          <w:szCs w:val="28"/>
          <w:highlight w:val="none"/>
        </w:rPr>
        <w:t>）</w:t>
      </w:r>
    </w:p>
    <w:p w14:paraId="33995236">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lang w:eastAsia="zh-CN"/>
        </w:rPr>
        <w:t>）办</w:t>
      </w:r>
      <w:r>
        <w:rPr>
          <w:rFonts w:hint="eastAsia" w:ascii="华文仿宋" w:hAnsi="华文仿宋" w:eastAsia="华文仿宋" w:cs="华文仿宋"/>
          <w:color w:val="auto"/>
          <w:sz w:val="28"/>
          <w:szCs w:val="28"/>
          <w:lang w:eastAsia="zh-CN"/>
        </w:rPr>
        <w:t>公室照明灯管、直饮水水龙头、门锁等配件费用（</w:t>
      </w:r>
      <w:r>
        <w:rPr>
          <w:rFonts w:hint="eastAsia" w:ascii="华文仿宋" w:hAnsi="华文仿宋" w:eastAsia="华文仿宋" w:cs="华文仿宋"/>
          <w:color w:val="auto"/>
          <w:sz w:val="28"/>
          <w:szCs w:val="28"/>
        </w:rPr>
        <w:t>采购人承担</w:t>
      </w:r>
      <w:r>
        <w:rPr>
          <w:rFonts w:hint="eastAsia" w:ascii="华文仿宋" w:hAnsi="华文仿宋" w:eastAsia="华文仿宋" w:cs="华文仿宋"/>
          <w:color w:val="auto"/>
          <w:sz w:val="28"/>
          <w:szCs w:val="28"/>
          <w:lang w:val="en-US" w:eastAsia="zh-CN"/>
        </w:rPr>
        <w:t>50</w:t>
      </w:r>
      <w:r>
        <w:rPr>
          <w:rFonts w:hint="eastAsia" w:ascii="华文仿宋" w:hAnsi="华文仿宋" w:eastAsia="华文仿宋" w:cs="华文仿宋"/>
          <w:color w:val="auto"/>
          <w:sz w:val="28"/>
          <w:szCs w:val="28"/>
        </w:rPr>
        <w:t>% ，</w:t>
      </w:r>
      <w:r>
        <w:rPr>
          <w:rFonts w:hint="eastAsia" w:ascii="华文仿宋" w:hAnsi="华文仿宋" w:eastAsia="华文仿宋" w:cs="华文仿宋"/>
          <w:color w:val="auto"/>
          <w:sz w:val="28"/>
          <w:szCs w:val="28"/>
          <w:lang w:eastAsia="zh-CN"/>
        </w:rPr>
        <w:t>供应商</w:t>
      </w:r>
      <w:r>
        <w:rPr>
          <w:rFonts w:hint="eastAsia" w:ascii="华文仿宋" w:hAnsi="华文仿宋" w:eastAsia="华文仿宋" w:cs="华文仿宋"/>
          <w:color w:val="auto"/>
          <w:sz w:val="28"/>
          <w:szCs w:val="28"/>
        </w:rPr>
        <w:t>承担</w:t>
      </w:r>
      <w:r>
        <w:rPr>
          <w:rFonts w:hint="eastAsia" w:ascii="华文仿宋" w:hAnsi="华文仿宋" w:eastAsia="华文仿宋" w:cs="华文仿宋"/>
          <w:color w:val="auto"/>
          <w:sz w:val="28"/>
          <w:szCs w:val="28"/>
          <w:lang w:val="en-US" w:eastAsia="zh-CN"/>
        </w:rPr>
        <w:t>50</w:t>
      </w:r>
      <w:r>
        <w:rPr>
          <w:rFonts w:hint="eastAsia" w:ascii="华文仿宋" w:hAnsi="华文仿宋" w:eastAsia="华文仿宋" w:cs="华文仿宋"/>
          <w:color w:val="auto"/>
          <w:sz w:val="28"/>
          <w:szCs w:val="28"/>
        </w:rPr>
        <w:t>%费用</w:t>
      </w:r>
      <w:r>
        <w:rPr>
          <w:rFonts w:hint="eastAsia" w:ascii="华文仿宋" w:hAnsi="华文仿宋" w:eastAsia="华文仿宋" w:cs="华文仿宋"/>
          <w:color w:val="auto"/>
          <w:sz w:val="28"/>
          <w:szCs w:val="28"/>
          <w:lang w:eastAsia="zh-CN"/>
        </w:rPr>
        <w:t>）</w:t>
      </w:r>
    </w:p>
    <w:p w14:paraId="600092BB">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5</w:t>
      </w:r>
      <w:r>
        <w:rPr>
          <w:rFonts w:hint="eastAsia" w:ascii="华文仿宋" w:hAnsi="华文仿宋" w:eastAsia="华文仿宋" w:cs="华文仿宋"/>
          <w:color w:val="auto"/>
          <w:sz w:val="28"/>
          <w:szCs w:val="28"/>
        </w:rPr>
        <w:t>）采购人委托的其他服务内容。</w:t>
      </w:r>
    </w:p>
    <w:p w14:paraId="35334550">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w:t>
      </w:r>
      <w:r>
        <w:rPr>
          <w:rFonts w:hint="eastAsia" w:ascii="华文仿宋" w:hAnsi="华文仿宋" w:eastAsia="华文仿宋" w:cs="华文仿宋"/>
          <w:b/>
          <w:bCs/>
          <w:color w:val="auto"/>
          <w:sz w:val="28"/>
          <w:szCs w:val="28"/>
        </w:rPr>
        <w:t>物业服务标准</w:t>
      </w:r>
    </w:p>
    <w:p w14:paraId="18437882">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w:t>
      </w:r>
      <w:r>
        <w:rPr>
          <w:rFonts w:hint="eastAsia" w:ascii="华文仿宋" w:hAnsi="华文仿宋" w:eastAsia="华文仿宋" w:cs="华文仿宋"/>
          <w:b/>
          <w:bCs/>
          <w:color w:val="auto"/>
          <w:sz w:val="28"/>
          <w:szCs w:val="28"/>
        </w:rPr>
        <w:t>1.基本要求</w:t>
      </w:r>
    </w:p>
    <w:p w14:paraId="4E08D015">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（1）服务宗旨与原则。以“</w:t>
      </w:r>
      <w:r>
        <w:rPr>
          <w:rFonts w:hint="eastAsia" w:ascii="华文仿宋" w:hAnsi="华文仿宋" w:eastAsia="华文仿宋" w:cs="华文仿宋"/>
          <w:color w:val="auto"/>
          <w:sz w:val="28"/>
          <w:szCs w:val="28"/>
          <w:lang w:eastAsia="zh-CN"/>
        </w:rPr>
        <w:t>服务</w:t>
      </w:r>
      <w:r>
        <w:rPr>
          <w:rFonts w:hint="eastAsia" w:ascii="华文仿宋" w:hAnsi="华文仿宋" w:eastAsia="华文仿宋" w:cs="华文仿宋"/>
          <w:color w:val="auto"/>
          <w:sz w:val="28"/>
          <w:szCs w:val="28"/>
        </w:rPr>
        <w:t>至上、</w:t>
      </w:r>
      <w:r>
        <w:rPr>
          <w:rFonts w:hint="eastAsia" w:ascii="华文仿宋" w:hAnsi="华文仿宋" w:eastAsia="华文仿宋" w:cs="华文仿宋"/>
          <w:color w:val="auto"/>
          <w:sz w:val="28"/>
          <w:szCs w:val="28"/>
          <w:lang w:eastAsia="zh-CN"/>
        </w:rPr>
        <w:t>精益求精</w:t>
      </w:r>
      <w:r>
        <w:rPr>
          <w:rFonts w:hint="eastAsia" w:ascii="华文仿宋" w:hAnsi="华文仿宋" w:eastAsia="华文仿宋" w:cs="华文仿宋"/>
          <w:color w:val="auto"/>
          <w:sz w:val="28"/>
          <w:szCs w:val="28"/>
        </w:rPr>
        <w:t xml:space="preserve"> ”为宗旨，坚持</w:t>
      </w:r>
      <w:r>
        <w:rPr>
          <w:rFonts w:hint="eastAsia" w:ascii="华文仿宋" w:hAnsi="华文仿宋" w:eastAsia="华文仿宋" w:cs="华文仿宋"/>
          <w:color w:val="auto"/>
          <w:sz w:val="28"/>
          <w:szCs w:val="28"/>
          <w:lang w:eastAsia="zh-CN"/>
        </w:rPr>
        <w:t>以人为本</w:t>
      </w:r>
      <w:r>
        <w:rPr>
          <w:rFonts w:hint="eastAsia" w:ascii="华文仿宋" w:hAnsi="华文仿宋" w:eastAsia="华文仿宋" w:cs="华文仿宋"/>
          <w:color w:val="auto"/>
          <w:sz w:val="28"/>
          <w:szCs w:val="28"/>
        </w:rPr>
        <w:t>、文明服务原则，实现专业化、精细化、规范化、标准化服务。</w:t>
      </w:r>
    </w:p>
    <w:p w14:paraId="277EFF87">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（2）物业公司需熟悉国家相关物业管理法律法规政策和政府部门相关办理事项审批程序。</w:t>
      </w:r>
    </w:p>
    <w:p w14:paraId="71FBF54B">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（3）物业公司要有健全的质量管理体系，技术支持有保障，人员安排合理，服务到位，符合国家标准规范。</w:t>
      </w:r>
    </w:p>
    <w:p w14:paraId="3C0E7D23">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（4）物业公司要有健全的管理制度、监督制度，完善的服务方案，规范的操作规程和公共突发事件机制及处理措施。</w:t>
      </w:r>
    </w:p>
    <w:p w14:paraId="32347E1A">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5</w:t>
      </w:r>
      <w:r>
        <w:rPr>
          <w:rFonts w:hint="eastAsia" w:ascii="华文仿宋" w:hAnsi="华文仿宋" w:eastAsia="华文仿宋" w:cs="华文仿宋"/>
          <w:color w:val="auto"/>
          <w:sz w:val="28"/>
          <w:szCs w:val="28"/>
        </w:rPr>
        <w:t>）物业公司全体员工要统一着装，佩戴标志，上岗人员必须经过专业培训，具有服务意识、敬业精神强、业务素质过硬、行为语言规范、服务主动热情等基本素质。</w:t>
      </w:r>
    </w:p>
    <w:p w14:paraId="3BEEC8FD">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6</w:t>
      </w:r>
      <w:r>
        <w:rPr>
          <w:rFonts w:hint="eastAsia" w:ascii="华文仿宋" w:hAnsi="华文仿宋" w:eastAsia="华文仿宋" w:cs="华文仿宋"/>
          <w:color w:val="auto"/>
          <w:sz w:val="28"/>
          <w:szCs w:val="28"/>
        </w:rPr>
        <w:t>）从事物业管理、保障和服务的专业人员应</w:t>
      </w:r>
      <w:r>
        <w:rPr>
          <w:rFonts w:hint="eastAsia" w:ascii="华文仿宋" w:hAnsi="华文仿宋" w:eastAsia="华文仿宋" w:cs="华文仿宋"/>
          <w:color w:val="auto"/>
          <w:sz w:val="28"/>
          <w:szCs w:val="28"/>
          <w:lang w:eastAsia="zh-CN"/>
        </w:rPr>
        <w:t>持有专业资格证书上岗</w:t>
      </w:r>
      <w:r>
        <w:rPr>
          <w:rFonts w:hint="eastAsia" w:ascii="华文仿宋" w:hAnsi="华文仿宋" w:eastAsia="华文仿宋" w:cs="华文仿宋"/>
          <w:color w:val="auto"/>
          <w:sz w:val="28"/>
          <w:szCs w:val="28"/>
        </w:rPr>
        <w:t>。各类专业人员及各专项服务单位操作人员应当按照国家有关规定，取得与其岗位要求相一致的资格证书，物业公司要定期对从业人员进行物业管理业务知识培训、消防培训及其他服务培训。</w:t>
      </w:r>
    </w:p>
    <w:p w14:paraId="4D919A44">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7</w:t>
      </w:r>
      <w:r>
        <w:rPr>
          <w:rFonts w:hint="eastAsia" w:ascii="华文仿宋" w:hAnsi="华文仿宋" w:eastAsia="华文仿宋" w:cs="华文仿宋"/>
          <w:color w:val="auto"/>
          <w:sz w:val="28"/>
          <w:szCs w:val="28"/>
        </w:rPr>
        <w:t>）物业公司要严格按《中华人民共和国劳动合同法》管理从业人员，用工期间应签订相应的劳动用工合同，建立人事档案，并需按照国家、省、市有关法律、法规和政策规定，为所雇用的正式员工缴纳社会保险等必须交纳的费用。</w:t>
      </w:r>
    </w:p>
    <w:p w14:paraId="3FA8E786">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w:t>
      </w:r>
      <w:r>
        <w:rPr>
          <w:rFonts w:hint="eastAsia" w:ascii="华文仿宋" w:hAnsi="华文仿宋" w:eastAsia="华文仿宋" w:cs="华文仿宋"/>
          <w:b/>
          <w:bCs/>
          <w:color w:val="auto"/>
          <w:sz w:val="28"/>
          <w:szCs w:val="28"/>
        </w:rPr>
        <w:t>2.房屋及装修的日常维修、养护和管理</w:t>
      </w:r>
    </w:p>
    <w:p w14:paraId="02507B3A">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服务内容：建筑物本体及附属装修物的维修、维护、保养和管理，包括楼顶、屋顶、吊顶、门窗、地面、梁、柱、内外墙体、楼梯间、走廊、通道、门厅、雨棚、卫生间、设备机房以及公共区域地板砖、墙砖、石材等公共区域和共用部位。</w:t>
      </w:r>
    </w:p>
    <w:p w14:paraId="15323188">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2）服务标准：①建立科学、规范、安全的操作规程，确保规范管理、养护和维修；依据房屋使用说明书等的要求，指导正确使用房屋，对违反法律法规和管理规定的行为，及时劝告并报有关主管部门；②根据房屋及室外基础设施实际使用年限，定期检查房屋共用部位及室外基础设施的使用状况，及时编制维修计划，提出报告与建议，根据国家相关规定和</w:t>
      </w:r>
      <w:r>
        <w:rPr>
          <w:rFonts w:hint="eastAsia" w:ascii="华文仿宋" w:hAnsi="华文仿宋" w:eastAsia="华文仿宋" w:cs="华文仿宋"/>
          <w:color w:val="auto"/>
          <w:sz w:val="28"/>
          <w:szCs w:val="28"/>
          <w:lang w:val="en-US" w:eastAsia="zh-CN"/>
        </w:rPr>
        <w:t>采购人</w:t>
      </w:r>
      <w:r>
        <w:rPr>
          <w:rFonts w:hint="eastAsia" w:ascii="华文仿宋" w:hAnsi="华文仿宋" w:eastAsia="华文仿宋" w:cs="华文仿宋"/>
          <w:color w:val="auto"/>
          <w:sz w:val="28"/>
          <w:szCs w:val="28"/>
        </w:rPr>
        <w:t>的有关要求组织养护维修；③建立定期巡查制度，巡检记录和保养记录齐全，发现问题及时维护；屋面防水每周巡察一次并做好记录，对漏水点进行记录、统计，及时组织维修，确保使用功能正常可靠，无渗漏；④公共洗手间及设施，每日点检一遍并记录,发现问题及时处理，并做好《公共设施点检记录》。确保使用功能正常，清洁美观，完好率100%；⑤公用标识系统，每日巡查一遍并做好《公共设施点检记录》，发现问题及时处理，每周清洁标识一次，每月对标识进行维护，标识清晰美观，安装牢固可靠，完好率达到 95%以上；⑥楼梯间、消防通道每日巡查一次并做好记录，发现问题，及时修复，确保使用功能正常可靠，清洁美观，完好率达到 98%以上；⑦及时完成各项零星维修任务</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小损小坏要及时修复，大的损坏要第一时间报告</w:t>
      </w:r>
      <w:r>
        <w:rPr>
          <w:rFonts w:hint="eastAsia" w:ascii="华文仿宋" w:hAnsi="华文仿宋" w:eastAsia="华文仿宋" w:cs="华文仿宋"/>
          <w:color w:val="auto"/>
          <w:sz w:val="28"/>
          <w:szCs w:val="28"/>
          <w:lang w:eastAsia="zh-CN"/>
        </w:rPr>
        <w:t>采购人</w:t>
      </w:r>
      <w:r>
        <w:rPr>
          <w:rFonts w:hint="eastAsia" w:ascii="华文仿宋" w:hAnsi="华文仿宋" w:eastAsia="华文仿宋" w:cs="华文仿宋"/>
          <w:color w:val="auto"/>
          <w:sz w:val="28"/>
          <w:szCs w:val="28"/>
        </w:rPr>
        <w:t>，根据双方分工，制定维修方案，及时进行维修。⑧建立突发事件应急预案，接到紧急报修时，保证在10 分钟内赶到现场；一般维修15分钟内赶到现场处理。如没有特殊情况，维修必须当天完成</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完成合格率100%；⑨全年房屋及室外基础设施急、零修及时率达到 100%，维修质量合格率达100%，确保房屋及楼内公共区域终端设施设备的完好等级和正常使用。</w:t>
      </w:r>
    </w:p>
    <w:p w14:paraId="4618D7CD">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（3）科学设置岗位</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必须配备相应的专业技术人员，全天候提供维修维护服务</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其他岗位根据需要配置。</w:t>
      </w:r>
    </w:p>
    <w:p w14:paraId="0AD26055">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w:t>
      </w:r>
      <w:r>
        <w:rPr>
          <w:rFonts w:hint="eastAsia" w:ascii="华文仿宋" w:hAnsi="华文仿宋" w:eastAsia="华文仿宋" w:cs="华文仿宋"/>
          <w:b/>
          <w:bCs/>
          <w:color w:val="auto"/>
          <w:sz w:val="28"/>
          <w:szCs w:val="28"/>
        </w:rPr>
        <w:t>3.公共设施设备维护</w:t>
      </w:r>
    </w:p>
    <w:p w14:paraId="387F7C76">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服务内容：承担对公共区域内设施设备的检查巡视，负责对公共设施、设备终端日常维护保养，包括配电箱（柜）至终端用电设备，公共区域照明系统、弱电系统；水嘴、卫生洁具、排水管等给排水终端设备；公共设施设备的日常运行与维修、维护、保养。</w:t>
      </w:r>
    </w:p>
    <w:p w14:paraId="0E6A3EE0">
      <w:pPr>
        <w:keepNext w:val="0"/>
        <w:keepLines w:val="0"/>
        <w:pageBreakBefore w:val="0"/>
        <w:widowControl/>
        <w:kinsoku/>
        <w:wordWrap/>
        <w:overflowPunct/>
        <w:topLinePunct/>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2）服务标准：加强对公共区域内设施设备日常检查巡视，发现问题，及时处理；保证服务范围内的给排水系统、供电系统的正常运行使用。加强日常维护检修，公共使用的照明、指示灯具线路、开关要保证完好，确保用电完全；加强用能设施设备管理，物业公司每天对办公区的公共设施设备运行情况以及水、电等关闭情况进行检</w:t>
      </w:r>
      <w:r>
        <w:rPr>
          <w:rFonts w:hint="eastAsia" w:ascii="华文仿宋" w:hAnsi="华文仿宋" w:eastAsia="华文仿宋" w:cs="华文仿宋"/>
          <w:color w:val="auto"/>
          <w:kern w:val="0"/>
          <w:sz w:val="28"/>
          <w:szCs w:val="28"/>
        </w:rPr>
        <w:t>查，及时更换不能继续使用的水龙头、照明等能耗设备，严禁使用</w:t>
      </w:r>
      <w:r>
        <w:rPr>
          <w:rFonts w:hint="eastAsia" w:ascii="华文仿宋" w:hAnsi="华文仿宋" w:eastAsia="华文仿宋" w:cs="华文仿宋"/>
          <w:color w:val="auto"/>
          <w:sz w:val="28"/>
          <w:szCs w:val="28"/>
        </w:rPr>
        <w:t>高耗能设备，节约每一滴水、每一度电。夜间值班人员做到按规定进行巡查，发现问题及时处理，严防跑冒漏滴。定期对公共设施设备进行检查，冬、雨季和天气异常时增加检查频率，发现问题立即安排抢修；对质量较差、易出问题的部位，应及时记录备案，重点检查；每年年底或年初对上述项目进行全面检查，对完损程度做出评价，列出年度养护维修计划。检查和小修要有记录。根据需要配置，科学设置岗位。</w:t>
      </w:r>
    </w:p>
    <w:p w14:paraId="21790804">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 xml:space="preserve"> 4.</w:t>
      </w:r>
      <w:r>
        <w:rPr>
          <w:rFonts w:hint="eastAsia" w:ascii="华文仿宋" w:hAnsi="华文仿宋" w:eastAsia="华文仿宋" w:cs="华文仿宋"/>
          <w:b/>
          <w:bCs/>
          <w:color w:val="auto"/>
          <w:sz w:val="28"/>
          <w:szCs w:val="28"/>
        </w:rPr>
        <w:t>4.公共秩序维护</w:t>
      </w:r>
    </w:p>
    <w:p w14:paraId="0EFFE570">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（1）服务内容：办公楼（区）来人来访的通报、证件检验、登记等；防盗、防火报警监控设备运行管理，门卫、守护和巡逻，公共秩序维护，治安及其它突发事件处理等。</w:t>
      </w:r>
    </w:p>
    <w:p w14:paraId="5DDE31E8">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rPr>
        <w:t>（2）服务标准：市公安局办公楼为集中办公区，每天办公人员流量大。因此，在上下班高峰期在首层设专人维护秩序并进行</w:t>
      </w:r>
      <w:r>
        <w:rPr>
          <w:rFonts w:hint="eastAsia" w:ascii="华文仿宋" w:hAnsi="华文仿宋" w:eastAsia="华文仿宋" w:cs="华文仿宋"/>
          <w:color w:val="auto"/>
          <w:sz w:val="28"/>
          <w:szCs w:val="28"/>
          <w:lang w:val="en-US" w:eastAsia="zh-CN"/>
        </w:rPr>
        <w:t>引导人员分流上楼。</w:t>
      </w:r>
      <w:r>
        <w:rPr>
          <w:rFonts w:hint="eastAsia" w:ascii="华文仿宋" w:hAnsi="华文仿宋" w:eastAsia="华文仿宋" w:cs="华文仿宋"/>
          <w:color w:val="auto"/>
          <w:sz w:val="28"/>
          <w:szCs w:val="28"/>
        </w:rPr>
        <w:t>①构筑安全管理体系，根据公安局及周边的环境情况将区域分为：禁区、防护区、监视区三个区域，确定相应的防护区域、采取不同的布防手段达到预期的布防效果。并通过人防、技防、物防相结合的方式来协助构建安全管理体系。②建立办公楼（区）公共秩序等管理制度并认真落实，确保办公区安全，营造正常的工作环境；楼宇要24小时有人值守巡查，并做好值班记录；③严格人员出入管理，来人来访要出示有效证件，经确认电话联系后方可登记进入。严格验证、登记，杜绝闲杂人员进入办公楼（区）；进入办公楼宇的送水人员，必须提交相关的证明材料，由物业公司审核后，办理证件方可进入办公区域；送快递等人员一律不得进入办公大楼。严格物品出入控制。物业公司要对干部职工、供应商和施工等人员的物品出入进行分类管理，经确认登记后方可进入；④保证防盗、防火等报警监控设备的正常运行，做好安全防范和日常巡查工作；监控室实行24小时值班制度，值班人员严格执行保密制度；工作人员要熟练掌握监控系统的操作，需要保存的录像资料另行存储在电脑磁盘中，以便日后查阅；严禁闲杂人员进入楼宇监控中心，单位</w:t>
      </w:r>
      <w:r>
        <w:rPr>
          <w:rFonts w:hint="eastAsia" w:ascii="华文仿宋" w:hAnsi="华文仿宋" w:eastAsia="华文仿宋" w:cs="华文仿宋"/>
          <w:color w:val="auto"/>
          <w:sz w:val="28"/>
          <w:szCs w:val="28"/>
          <w:lang w:eastAsia="zh-CN"/>
        </w:rPr>
        <w:t>或</w:t>
      </w:r>
      <w:r>
        <w:rPr>
          <w:rFonts w:hint="eastAsia" w:ascii="华文仿宋" w:hAnsi="华文仿宋" w:eastAsia="华文仿宋" w:cs="华文仿宋"/>
          <w:color w:val="auto"/>
          <w:sz w:val="28"/>
          <w:szCs w:val="28"/>
        </w:rPr>
        <w:t>其他部门、调取楼宇监控录像，必须经过</w:t>
      </w:r>
      <w:r>
        <w:rPr>
          <w:rFonts w:hint="eastAsia" w:ascii="华文仿宋" w:hAnsi="华文仿宋" w:eastAsia="华文仿宋" w:cs="华文仿宋"/>
          <w:color w:val="auto"/>
          <w:sz w:val="28"/>
          <w:szCs w:val="28"/>
          <w:lang w:val="en-US" w:eastAsia="zh-CN"/>
        </w:rPr>
        <w:t>采购人</w:t>
      </w:r>
      <w:r>
        <w:rPr>
          <w:rFonts w:hint="eastAsia" w:ascii="华文仿宋" w:hAnsi="华文仿宋" w:eastAsia="华文仿宋" w:cs="华文仿宋"/>
          <w:color w:val="auto"/>
          <w:sz w:val="28"/>
          <w:szCs w:val="28"/>
        </w:rPr>
        <w:t>及主管部门批准，并进行详细登记，同时要做好保密工作；监控中心要做好值班和交接班记录；⑤遇有计划性重大活动安排时，制定活动开展配合计划；⑥建立突发事件应急预案，及时发现和处理各种安全和事故隐患，迅速有效处置突发事件。⑦外围秩序维护管理是整个安全防范体系的第一道屏障，在正常上班时间段内人流、物流量集中，且在上下班高峰期，交通的疏导压力很大，容易造成车辆堵塞和发生交通事故。在非高峰时段(特别是晚上)路面人员较少，发生治安事件的机率较高。要求安全管理服务将从外围岗位设置、高峰期交通疏导、闲杂人员控制、可疑车辆及人员处理等方面把好外围关</w:t>
      </w:r>
      <w:r>
        <w:rPr>
          <w:rFonts w:hint="eastAsia" w:ascii="华文仿宋" w:hAnsi="华文仿宋" w:eastAsia="华文仿宋" w:cs="华文仿宋"/>
          <w:color w:val="auto"/>
          <w:sz w:val="28"/>
          <w:szCs w:val="28"/>
          <w:lang w:eastAsia="zh-CN"/>
        </w:rPr>
        <w:t>。</w:t>
      </w:r>
    </w:p>
    <w:p w14:paraId="17F6E8FA">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根据工作需要和</w:t>
      </w:r>
      <w:r>
        <w:rPr>
          <w:rFonts w:hint="eastAsia" w:ascii="华文仿宋" w:hAnsi="华文仿宋" w:eastAsia="华文仿宋" w:cs="华文仿宋"/>
          <w:color w:val="auto"/>
          <w:sz w:val="28"/>
          <w:szCs w:val="28"/>
          <w:lang w:eastAsia="zh-CN"/>
        </w:rPr>
        <w:t>采购人</w:t>
      </w:r>
      <w:r>
        <w:rPr>
          <w:rFonts w:hint="eastAsia" w:ascii="华文仿宋" w:hAnsi="华文仿宋" w:eastAsia="华文仿宋" w:cs="华文仿宋"/>
          <w:color w:val="auto"/>
          <w:sz w:val="28"/>
          <w:szCs w:val="28"/>
        </w:rPr>
        <w:t>要求，物业公司合理设置保安人员，加强室内外巡逻岗、固定岗、客服岗、监控室岗，做到人员配备到位，全天候服务，确保公共秩序井然有序。</w:t>
      </w:r>
    </w:p>
    <w:p w14:paraId="34F80586">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w:t>
      </w:r>
      <w:r>
        <w:rPr>
          <w:rFonts w:hint="eastAsia" w:ascii="华文仿宋" w:hAnsi="华文仿宋" w:eastAsia="华文仿宋" w:cs="华文仿宋"/>
          <w:b/>
          <w:bCs/>
          <w:color w:val="auto"/>
          <w:sz w:val="28"/>
          <w:szCs w:val="28"/>
        </w:rPr>
        <w:t>5.地下停车场管理</w:t>
      </w:r>
    </w:p>
    <w:p w14:paraId="30B09BD5">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服务内容：①车库地面划出车辆行驶指引标志、车位标志及编号；②合理规划地下停车场车库的使用管理，防止乱停、乱放；③贯彻人防为主的原则，做好停车场的出入口控制，建立车辆停放登记制度；④禁止无关人员进入地下停车场或长时间逗留；⑤若发现车辆灯未关、或异常等现象，尽快与车主者联系；⑥遇有计划性重大活动安排时，制定活动开展配合计划，事先做好预留车位及场地检查工作，摆放醒目标志</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并做好协调、劝说及解释工作；⑦停车库的进出口上方醒目处，应有挂禁令标志、限高标志。</w:t>
      </w:r>
    </w:p>
    <w:p w14:paraId="31AAC100">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（2）服务标准：一是停车场入口标识、入口限高标识、通行方向标识</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专用车位标识、通往各电梯或楼梯标识、车辆避碰标识、其它交通必须标识、各设备标识等长期保持完好。二是物业管理公司设立完善、优质的VI标识系统。</w:t>
      </w:r>
    </w:p>
    <w:p w14:paraId="01CB028D">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地下停车场管理制度</w:t>
      </w:r>
    </w:p>
    <w:p w14:paraId="7079D343">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①进入停车场的车辆须具备《车辆通行证》，且号牌应与本车相符；</w:t>
      </w:r>
    </w:p>
    <w:p w14:paraId="113F48C1">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②进入停车场的驾驶员，须听从工作人员指挥；</w:t>
      </w:r>
    </w:p>
    <w:p w14:paraId="49C38D0E">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③机动车辆在(地下车库)行驶，严禁超车、鸣号，时速不得超过5km/h；</w:t>
      </w:r>
    </w:p>
    <w:p w14:paraId="0A91EE92">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④进场车辆应保持场内清洁，严禁停</w:t>
      </w:r>
      <w:r>
        <w:rPr>
          <w:rFonts w:hint="eastAsia" w:ascii="华文仿宋" w:hAnsi="华文仿宋" w:eastAsia="华文仿宋" w:cs="华文仿宋"/>
          <w:color w:val="auto"/>
          <w:sz w:val="28"/>
          <w:szCs w:val="28"/>
          <w:lang w:val="en-US" w:eastAsia="zh-CN"/>
        </w:rPr>
        <w:t>车</w:t>
      </w:r>
      <w:r>
        <w:rPr>
          <w:rFonts w:hint="eastAsia" w:ascii="华文仿宋" w:hAnsi="华文仿宋" w:eastAsia="华文仿宋" w:cs="华文仿宋"/>
          <w:color w:val="auto"/>
          <w:sz w:val="28"/>
          <w:szCs w:val="28"/>
        </w:rPr>
        <w:t>场内修车、洗车、学习驾驶等；</w:t>
      </w:r>
    </w:p>
    <w:p w14:paraId="3B073874">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⑤禁止标高2米以上车辆、集装箱车、2.5 吨以上的货车、拖拉机、工程车，以及运载易燃、易爆、有毒等危险物品的车辆进入；</w:t>
      </w:r>
    </w:p>
    <w:p w14:paraId="5A29007C">
      <w:pPr>
        <w:keepNext w:val="0"/>
        <w:keepLines w:val="0"/>
        <w:pageBreakBefore w:val="0"/>
        <w:widowControl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⑥车辆应按车位依次停放整齐，车头车尾方向一致，如因乱停乱放影响交通等</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造成损失负赔偿责任。</w:t>
      </w:r>
    </w:p>
    <w:p w14:paraId="7FDAE19F">
      <w:pPr>
        <w:keepNext w:val="0"/>
        <w:keepLines w:val="0"/>
        <w:pageBreakBefore w:val="0"/>
        <w:kinsoku/>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lang w:val="en-US" w:eastAsia="zh-CN"/>
        </w:rPr>
        <w:t>4.6.</w:t>
      </w:r>
      <w:r>
        <w:rPr>
          <w:rFonts w:hint="eastAsia" w:ascii="华文仿宋" w:hAnsi="华文仿宋" w:eastAsia="华文仿宋" w:cs="华文仿宋"/>
          <w:b/>
          <w:bCs/>
          <w:color w:val="auto"/>
          <w:sz w:val="28"/>
          <w:szCs w:val="28"/>
        </w:rPr>
        <w:t>保洁服务</w:t>
      </w:r>
    </w:p>
    <w:p w14:paraId="6DF3CCAB">
      <w:pPr>
        <w:keepNext w:val="0"/>
        <w:keepLines w:val="0"/>
        <w:pageBreakBefore w:val="0"/>
        <w:widowControl/>
        <w:kinsoku w:val="0"/>
        <w:wordWrap/>
        <w:overflowPunct/>
        <w:topLinePunct w:val="0"/>
        <w:autoSpaceDE w:val="0"/>
        <w:autoSpaceDN w:val="0"/>
        <w:bidi w:val="0"/>
        <w:adjustRightInd w:val="0"/>
        <w:snapToGrid w:val="0"/>
        <w:spacing w:line="500" w:lineRule="exact"/>
        <w:ind w:right="75"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（1）保洁服务内容: 办公楼（区）内楼梯、大厅、走廊、天台、电梯间、卫生间（含摆放洗手液、卫生纸）、公共活动场所、玻璃幕墙、楼层大堂、消防通道、楼宇外墙等所有公共部位。物业服务区域内各种公共设施设备、灯饰、消防栓、灭火器、标识牌等所有公共场地等。</w:t>
      </w:r>
    </w:p>
    <w:p w14:paraId="41E5584E">
      <w:pPr>
        <w:pStyle w:val="10"/>
        <w:keepNext w:val="0"/>
        <w:keepLines w:val="0"/>
        <w:pageBreakBefore w:val="0"/>
        <w:widowControl/>
        <w:kinsoku w:val="0"/>
        <w:wordWrap/>
        <w:overflowPunct/>
        <w:topLinePunct w:val="0"/>
        <w:autoSpaceDE w:val="0"/>
        <w:autoSpaceDN w:val="0"/>
        <w:bidi w:val="0"/>
        <w:adjustRightInd w:val="0"/>
        <w:snapToGrid w:val="0"/>
        <w:spacing w:line="500" w:lineRule="exact"/>
        <w:ind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w:t>
      </w:r>
      <w:r>
        <w:rPr>
          <w:rFonts w:hint="eastAsia" w:ascii="华文仿宋" w:hAnsi="华文仿宋" w:eastAsia="华文仿宋" w:cs="华文仿宋"/>
          <w:color w:val="auto"/>
          <w:spacing w:val="0"/>
          <w:w w:val="100"/>
          <w:sz w:val="28"/>
          <w:szCs w:val="28"/>
          <w:lang w:val="en-US" w:eastAsia="zh-CN"/>
        </w:rPr>
        <w:t>2</w:t>
      </w:r>
      <w:r>
        <w:rPr>
          <w:rFonts w:hint="eastAsia" w:ascii="华文仿宋" w:hAnsi="华文仿宋" w:eastAsia="华文仿宋" w:cs="华文仿宋"/>
          <w:color w:val="auto"/>
          <w:spacing w:val="0"/>
          <w:w w:val="100"/>
          <w:sz w:val="28"/>
          <w:szCs w:val="28"/>
        </w:rPr>
        <w:t>）保洁服务标准：建立环境卫生管理制度并认真落实，实行标准化清扫保洁，由专人负责检查、监督，所有公共区域保持清洁，无随意堆放杂物，不见废弃物、污渍，无异味、无卫生死角；清扫积水积雪及时，确保办公区和物业服务区容貌整洁。要有恶劣天气应急预案，确保在高温、严寒、强降雨、强降雪等恶劣天气期间，道路畅通无积水、积雪。</w:t>
      </w:r>
    </w:p>
    <w:p w14:paraId="2FD9F6DC">
      <w:pPr>
        <w:pStyle w:val="10"/>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pacing w:val="0"/>
          <w:w w:val="100"/>
          <w:kern w:val="0"/>
          <w:position w:val="0"/>
          <w:sz w:val="28"/>
          <w:szCs w:val="28"/>
        </w:rPr>
        <w:t>①一楼大厅</w:t>
      </w:r>
    </w:p>
    <w:tbl>
      <w:tblPr>
        <w:tblStyle w:val="38"/>
        <w:tblpPr w:leftFromText="180" w:rightFromText="180" w:vertAnchor="text" w:horzAnchor="page" w:tblpX="1807" w:tblpY="687"/>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5"/>
        <w:gridCol w:w="1595"/>
        <w:gridCol w:w="3761"/>
        <w:gridCol w:w="2294"/>
      </w:tblGrid>
      <w:tr w14:paraId="2DB6C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2240" w:type="dxa"/>
            <w:gridSpan w:val="2"/>
            <w:tcBorders>
              <w:top w:val="single" w:color="auto" w:sz="4" w:space="0"/>
              <w:left w:val="single" w:color="auto" w:sz="4" w:space="0"/>
              <w:bottom w:val="single" w:color="auto" w:sz="4" w:space="0"/>
              <w:right w:val="single" w:color="auto" w:sz="4" w:space="0"/>
            </w:tcBorders>
            <w:noWrap w:val="0"/>
            <w:vAlign w:val="center"/>
          </w:tcPr>
          <w:p w14:paraId="4C47E47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auto"/>
              <w:rPr>
                <w:rFonts w:hint="eastAsia" w:ascii="华文仿宋" w:hAnsi="华文仿宋" w:eastAsia="华文仿宋" w:cs="华文仿宋"/>
                <w:b/>
                <w:bCs/>
                <w:color w:val="auto"/>
                <w:spacing w:val="0"/>
                <w:w w:val="100"/>
                <w:kern w:val="0"/>
                <w:sz w:val="24"/>
                <w:szCs w:val="24"/>
              </w:rPr>
            </w:pPr>
            <w:r>
              <w:rPr>
                <w:rFonts w:hint="eastAsia" w:ascii="华文仿宋" w:hAnsi="华文仿宋" w:eastAsia="华文仿宋" w:cs="华文仿宋"/>
                <w:b/>
                <w:bCs/>
                <w:color w:val="auto"/>
                <w:spacing w:val="0"/>
                <w:w w:val="100"/>
                <w:kern w:val="0"/>
                <w:sz w:val="24"/>
                <w:szCs w:val="24"/>
              </w:rPr>
              <w:t>保洁对象</w:t>
            </w:r>
          </w:p>
        </w:tc>
        <w:tc>
          <w:tcPr>
            <w:tcW w:w="3761" w:type="dxa"/>
            <w:vMerge w:val="restart"/>
            <w:tcBorders>
              <w:top w:val="single" w:color="auto" w:sz="4" w:space="0"/>
              <w:left w:val="single" w:color="auto" w:sz="4" w:space="0"/>
              <w:bottom w:val="single" w:color="auto" w:sz="4" w:space="0"/>
              <w:right w:val="single" w:color="auto" w:sz="4" w:space="0"/>
            </w:tcBorders>
            <w:noWrap w:val="0"/>
            <w:vAlign w:val="top"/>
          </w:tcPr>
          <w:p w14:paraId="525D987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auto"/>
              <w:rPr>
                <w:rFonts w:hint="eastAsia" w:ascii="华文仿宋" w:hAnsi="华文仿宋" w:eastAsia="华文仿宋" w:cs="华文仿宋"/>
                <w:b/>
                <w:bCs/>
                <w:color w:val="auto"/>
                <w:spacing w:val="0"/>
                <w:w w:val="100"/>
                <w:kern w:val="0"/>
                <w:sz w:val="24"/>
                <w:szCs w:val="24"/>
              </w:rPr>
            </w:pPr>
          </w:p>
          <w:p w14:paraId="47A5A8A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auto"/>
              <w:rPr>
                <w:rFonts w:hint="eastAsia" w:ascii="华文仿宋" w:hAnsi="华文仿宋" w:eastAsia="华文仿宋" w:cs="华文仿宋"/>
                <w:b/>
                <w:bCs/>
                <w:color w:val="auto"/>
                <w:spacing w:val="0"/>
                <w:w w:val="100"/>
                <w:kern w:val="0"/>
                <w:sz w:val="24"/>
                <w:szCs w:val="24"/>
              </w:rPr>
            </w:pPr>
            <w:r>
              <w:rPr>
                <w:rFonts w:hint="eastAsia" w:ascii="华文仿宋" w:hAnsi="华文仿宋" w:eastAsia="华文仿宋" w:cs="华文仿宋"/>
                <w:b/>
                <w:bCs/>
                <w:color w:val="auto"/>
                <w:spacing w:val="0"/>
                <w:w w:val="100"/>
                <w:kern w:val="0"/>
                <w:sz w:val="24"/>
                <w:szCs w:val="24"/>
              </w:rPr>
              <w:t>服务内容</w:t>
            </w:r>
          </w:p>
        </w:tc>
        <w:tc>
          <w:tcPr>
            <w:tcW w:w="2294" w:type="dxa"/>
            <w:vMerge w:val="restart"/>
            <w:tcBorders>
              <w:top w:val="single" w:color="auto" w:sz="4" w:space="0"/>
              <w:left w:val="single" w:color="auto" w:sz="4" w:space="0"/>
              <w:bottom w:val="single" w:color="auto" w:sz="4" w:space="0"/>
              <w:right w:val="single" w:color="auto" w:sz="4" w:space="0"/>
            </w:tcBorders>
            <w:noWrap w:val="0"/>
            <w:vAlign w:val="top"/>
          </w:tcPr>
          <w:p w14:paraId="61CE57F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auto"/>
              <w:rPr>
                <w:rFonts w:hint="eastAsia" w:ascii="华文仿宋" w:hAnsi="华文仿宋" w:eastAsia="华文仿宋" w:cs="华文仿宋"/>
                <w:b/>
                <w:bCs/>
                <w:color w:val="auto"/>
                <w:spacing w:val="0"/>
                <w:w w:val="100"/>
                <w:kern w:val="0"/>
                <w:sz w:val="24"/>
                <w:szCs w:val="24"/>
              </w:rPr>
            </w:pPr>
          </w:p>
          <w:p w14:paraId="19F7669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auto"/>
              <w:rPr>
                <w:rFonts w:hint="eastAsia" w:ascii="华文仿宋" w:hAnsi="华文仿宋" w:eastAsia="华文仿宋" w:cs="华文仿宋"/>
                <w:b/>
                <w:bCs/>
                <w:color w:val="auto"/>
                <w:spacing w:val="0"/>
                <w:w w:val="100"/>
                <w:kern w:val="0"/>
                <w:sz w:val="24"/>
                <w:szCs w:val="24"/>
              </w:rPr>
            </w:pPr>
            <w:r>
              <w:rPr>
                <w:rFonts w:hint="eastAsia" w:ascii="华文仿宋" w:hAnsi="华文仿宋" w:eastAsia="华文仿宋" w:cs="华文仿宋"/>
                <w:b/>
                <w:bCs/>
                <w:color w:val="auto"/>
                <w:spacing w:val="0"/>
                <w:w w:val="100"/>
                <w:kern w:val="0"/>
                <w:sz w:val="24"/>
                <w:szCs w:val="24"/>
              </w:rPr>
              <w:t>服务标准</w:t>
            </w:r>
          </w:p>
        </w:tc>
      </w:tr>
      <w:tr w14:paraId="1B9B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3C225DD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位置</w:t>
            </w:r>
          </w:p>
        </w:tc>
        <w:tc>
          <w:tcPr>
            <w:tcW w:w="1595" w:type="dxa"/>
            <w:tcBorders>
              <w:top w:val="single" w:color="auto" w:sz="4" w:space="0"/>
              <w:left w:val="single" w:color="auto" w:sz="4" w:space="0"/>
              <w:bottom w:val="single" w:color="auto" w:sz="4" w:space="0"/>
              <w:right w:val="single" w:color="auto" w:sz="4" w:space="0"/>
            </w:tcBorders>
            <w:noWrap w:val="0"/>
            <w:vAlign w:val="center"/>
          </w:tcPr>
          <w:p w14:paraId="7BB551B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材质</w:t>
            </w:r>
          </w:p>
        </w:tc>
        <w:tc>
          <w:tcPr>
            <w:tcW w:w="3761" w:type="dxa"/>
            <w:vMerge w:val="continue"/>
            <w:tcBorders>
              <w:top w:val="single" w:color="auto" w:sz="4" w:space="0"/>
              <w:left w:val="single" w:color="auto" w:sz="4" w:space="0"/>
              <w:bottom w:val="single" w:color="auto" w:sz="4" w:space="0"/>
              <w:right w:val="single" w:color="auto" w:sz="4" w:space="0"/>
            </w:tcBorders>
            <w:noWrap w:val="0"/>
            <w:vAlign w:val="top"/>
          </w:tcPr>
          <w:p w14:paraId="0F83530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tc>
        <w:tc>
          <w:tcPr>
            <w:tcW w:w="2294" w:type="dxa"/>
            <w:vMerge w:val="continue"/>
            <w:tcBorders>
              <w:top w:val="single" w:color="auto" w:sz="4" w:space="0"/>
              <w:left w:val="single" w:color="auto" w:sz="4" w:space="0"/>
              <w:bottom w:val="single" w:color="auto" w:sz="4" w:space="0"/>
              <w:right w:val="single" w:color="auto" w:sz="4" w:space="0"/>
            </w:tcBorders>
            <w:noWrap w:val="0"/>
            <w:vAlign w:val="top"/>
          </w:tcPr>
          <w:p w14:paraId="0EFBBE0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tc>
      </w:tr>
      <w:tr w14:paraId="4D109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45" w:type="dxa"/>
            <w:vMerge w:val="restart"/>
            <w:tcBorders>
              <w:top w:val="single" w:color="auto" w:sz="4" w:space="0"/>
              <w:left w:val="single" w:color="auto" w:sz="4" w:space="0"/>
              <w:bottom w:val="single" w:color="auto" w:sz="4" w:space="0"/>
              <w:right w:val="single" w:color="auto" w:sz="4" w:space="0"/>
            </w:tcBorders>
            <w:noWrap w:val="0"/>
            <w:vAlign w:val="top"/>
          </w:tcPr>
          <w:p w14:paraId="2944D3A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1228D8F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A3216A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A6C912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18A24B4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013789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41A9FAE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582E081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06ECF31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1BF04AB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1595" w:type="dxa"/>
            <w:tcBorders>
              <w:top w:val="single" w:color="auto" w:sz="4" w:space="0"/>
              <w:left w:val="single" w:color="auto" w:sz="4" w:space="0"/>
              <w:bottom w:val="single" w:color="auto" w:sz="4" w:space="0"/>
              <w:right w:val="single" w:color="auto" w:sz="4" w:space="0"/>
            </w:tcBorders>
            <w:noWrap w:val="0"/>
            <w:vAlign w:val="top"/>
          </w:tcPr>
          <w:p w14:paraId="100BE9B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57F19ED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4E67C5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EE3E27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47E07D3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1.每日推尘不少于两次，随时保洁；</w:t>
            </w:r>
          </w:p>
          <w:p w14:paraId="62AD0A6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2.每周机器清洗一次。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2B5D343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地面光亮洁净、无污 渍、无水渍、无胶渍、无垃圾杂物；石材表面无污渍、无泥沙、无水渍、无油渍、无胶渍。</w:t>
            </w:r>
          </w:p>
        </w:tc>
      </w:tr>
      <w:tr w14:paraId="790EE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336C43D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top"/>
          </w:tcPr>
          <w:p w14:paraId="430D92F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79BC51C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地插座</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075CDDF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1.每日用干毛巾清洁一次，随时保洁；</w:t>
            </w:r>
          </w:p>
          <w:p w14:paraId="2E2314A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2.每月用擦铜水保养；</w:t>
            </w:r>
          </w:p>
          <w:p w14:paraId="3E1DB19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3.禁止用湿毛巾擦拭。</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1E72C58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lang w:val="en-US" w:eastAsia="en-US"/>
              </w:rPr>
              <w:t>光亮洁净、无污渍、无水渍</w:t>
            </w:r>
          </w:p>
        </w:tc>
      </w:tr>
      <w:tr w14:paraId="2B170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5979AFD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2364A8E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烟桶、垃圾桶</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0F6221C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1.每日擦拭一次，随时保洁；</w:t>
            </w:r>
          </w:p>
          <w:p w14:paraId="0FD1BCB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2.每周全面清洁一次；</w:t>
            </w:r>
          </w:p>
          <w:p w14:paraId="3B42339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3.每月消毒处理一次。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7138234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烟缸内烟头随时清理；垃圾袋每日进行更换；垃圾桶表面洁净、无污渍、无垃圾水溢出</w:t>
            </w:r>
          </w:p>
        </w:tc>
      </w:tr>
      <w:tr w14:paraId="4323E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6"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36314CF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0604AA0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灭火器 、标识牌；盆栽花卉</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4F18128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1.每日擦拭一次，随时保洁；</w:t>
            </w:r>
          </w:p>
          <w:p w14:paraId="31C0566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2.每周全面清洁一次。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58DC46C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洁净、无污渍、无浮灰；各类盆栽花卉、标识摆放有序</w:t>
            </w:r>
          </w:p>
        </w:tc>
      </w:tr>
      <w:tr w14:paraId="276E9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645" w:type="dxa"/>
            <w:tcBorders>
              <w:top w:val="single" w:color="auto" w:sz="4" w:space="0"/>
              <w:left w:val="single" w:color="auto" w:sz="4" w:space="0"/>
              <w:bottom w:val="single" w:color="auto" w:sz="4" w:space="0"/>
              <w:right w:val="single" w:color="auto" w:sz="4" w:space="0"/>
            </w:tcBorders>
            <w:noWrap w:val="0"/>
            <w:vAlign w:val="center"/>
          </w:tcPr>
          <w:p w14:paraId="25BC8BC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lang w:eastAsia="zh-CN"/>
              </w:rPr>
            </w:pPr>
            <w:r>
              <w:rPr>
                <w:rFonts w:hint="eastAsia" w:ascii="华文仿宋" w:hAnsi="华文仿宋" w:eastAsia="华文仿宋" w:cs="华文仿宋"/>
                <w:color w:val="auto"/>
                <w:spacing w:val="0"/>
                <w:w w:val="100"/>
                <w:sz w:val="24"/>
                <w:szCs w:val="24"/>
                <w:lang w:eastAsia="zh-CN"/>
              </w:rPr>
              <w:t>管道</w:t>
            </w:r>
          </w:p>
        </w:tc>
        <w:tc>
          <w:tcPr>
            <w:tcW w:w="1595" w:type="dxa"/>
            <w:tcBorders>
              <w:top w:val="single" w:color="auto" w:sz="4" w:space="0"/>
              <w:left w:val="single" w:color="auto" w:sz="4" w:space="0"/>
              <w:bottom w:val="single" w:color="auto" w:sz="4" w:space="0"/>
              <w:right w:val="single" w:color="auto" w:sz="4" w:space="0"/>
            </w:tcBorders>
            <w:noWrap w:val="0"/>
            <w:vAlign w:val="center"/>
          </w:tcPr>
          <w:p w14:paraId="0C4BE77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管道井及设备</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07BBEE3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1.每周清扫一次，除尘一次；</w:t>
            </w:r>
          </w:p>
          <w:p w14:paraId="54300AA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2.每月全面清扫及除尘一次。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0910281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洁净、无污渍、无浮灰、无垃圾杂物</w:t>
            </w:r>
          </w:p>
        </w:tc>
      </w:tr>
      <w:tr w14:paraId="52A62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45" w:type="dxa"/>
            <w:vMerge w:val="restart"/>
            <w:tcBorders>
              <w:top w:val="single" w:color="auto" w:sz="4" w:space="0"/>
              <w:left w:val="single" w:color="auto" w:sz="4" w:space="0"/>
              <w:bottom w:val="single" w:color="auto" w:sz="4" w:space="0"/>
              <w:right w:val="single" w:color="auto" w:sz="4" w:space="0"/>
            </w:tcBorders>
            <w:noWrap w:val="0"/>
            <w:vAlign w:val="top"/>
          </w:tcPr>
          <w:p w14:paraId="4976E00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2DBCF6C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4BB38D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1FFF4FF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lang w:eastAsia="zh-CN"/>
              </w:rPr>
            </w:pPr>
          </w:p>
          <w:p w14:paraId="149092C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lang w:eastAsia="zh-CN"/>
              </w:rPr>
            </w:pPr>
          </w:p>
          <w:p w14:paraId="421FF8C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lang w:eastAsia="zh-CN"/>
              </w:rPr>
            </w:pPr>
            <w:r>
              <w:rPr>
                <w:rFonts w:hint="eastAsia" w:ascii="华文仿宋" w:hAnsi="华文仿宋" w:eastAsia="华文仿宋" w:cs="华文仿宋"/>
                <w:color w:val="auto"/>
                <w:spacing w:val="0"/>
                <w:w w:val="100"/>
                <w:sz w:val="24"/>
                <w:szCs w:val="24"/>
                <w:lang w:eastAsia="zh-CN"/>
              </w:rPr>
              <w:t>大厅</w:t>
            </w:r>
          </w:p>
          <w:p w14:paraId="222B85B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墙面</w:t>
            </w:r>
          </w:p>
        </w:tc>
        <w:tc>
          <w:tcPr>
            <w:tcW w:w="1595" w:type="dxa"/>
            <w:tcBorders>
              <w:top w:val="single" w:color="auto" w:sz="4" w:space="0"/>
              <w:left w:val="single" w:color="auto" w:sz="4" w:space="0"/>
              <w:bottom w:val="single" w:color="auto" w:sz="4" w:space="0"/>
              <w:right w:val="single" w:color="auto" w:sz="4" w:space="0"/>
            </w:tcBorders>
            <w:noWrap w:val="0"/>
            <w:vAlign w:val="center"/>
          </w:tcPr>
          <w:p w14:paraId="3875F16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486" w:firstLineChars="2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墙面</w:t>
            </w:r>
          </w:p>
        </w:tc>
        <w:tc>
          <w:tcPr>
            <w:tcW w:w="3761" w:type="dxa"/>
            <w:tcBorders>
              <w:top w:val="single" w:color="auto" w:sz="4" w:space="0"/>
              <w:left w:val="single" w:color="auto" w:sz="4" w:space="0"/>
              <w:bottom w:val="single" w:color="auto" w:sz="4" w:space="0"/>
              <w:right w:val="single" w:color="auto" w:sz="4" w:space="0"/>
            </w:tcBorders>
            <w:noWrap w:val="0"/>
            <w:vAlign w:val="top"/>
          </w:tcPr>
          <w:p w14:paraId="4CBA98D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1.2.5米以下每日擦拭一次，随时保洁；</w:t>
            </w:r>
          </w:p>
          <w:p w14:paraId="62BE63B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2.2.5米以下每月全面清洁保养一次。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2C9E90D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光亮、无污渍、无水渍、无浮灰</w:t>
            </w:r>
          </w:p>
        </w:tc>
      </w:tr>
      <w:tr w14:paraId="53989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62322C6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0107A96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液晶显示屏</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07BBE3C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1.每周除尘一次，随时保洁；</w:t>
            </w:r>
          </w:p>
          <w:p w14:paraId="284447C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2.每月全面清洁一次。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6B95E6C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无污渍、无水渍、无明显浮灰</w:t>
            </w:r>
          </w:p>
        </w:tc>
      </w:tr>
      <w:tr w14:paraId="50E75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1EF4670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715B3CA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门、窗、玻璃</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1546654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1.每日擦拭数次，随时保洁；</w:t>
            </w:r>
          </w:p>
          <w:p w14:paraId="3C20C0F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2.每周用玻璃清洁剂全面刮洗一次。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0995B0B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光亮、无污渍、无水渍、无手印、无胶渍</w:t>
            </w:r>
          </w:p>
        </w:tc>
      </w:tr>
      <w:tr w14:paraId="42C33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5"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081ADBF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51BA741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各类标识牌、安 全指示灯、电器 开关插座、消防栓、风口</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2DCDC0E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1.每日擦拭一次，随时保洁；</w:t>
            </w:r>
          </w:p>
          <w:p w14:paraId="76F6753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2.每周全面清洁一次。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00123C4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无污渍、无浮灰</w:t>
            </w:r>
          </w:p>
        </w:tc>
      </w:tr>
      <w:tr w14:paraId="7B86D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645" w:type="dxa"/>
            <w:vMerge w:val="restart"/>
            <w:tcBorders>
              <w:top w:val="single" w:color="auto" w:sz="4" w:space="0"/>
              <w:left w:val="single" w:color="auto" w:sz="4" w:space="0"/>
              <w:bottom w:val="single" w:color="auto" w:sz="4" w:space="0"/>
              <w:right w:val="single" w:color="auto" w:sz="4" w:space="0"/>
            </w:tcBorders>
            <w:noWrap w:val="0"/>
            <w:vAlign w:val="top"/>
          </w:tcPr>
          <w:p w14:paraId="7D04859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261AB71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AA4845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顶棚</w:t>
            </w:r>
          </w:p>
          <w:p w14:paraId="1533654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天面</w:t>
            </w:r>
          </w:p>
        </w:tc>
        <w:tc>
          <w:tcPr>
            <w:tcW w:w="1595" w:type="dxa"/>
            <w:tcBorders>
              <w:top w:val="single" w:color="auto" w:sz="4" w:space="0"/>
              <w:left w:val="single" w:color="auto" w:sz="4" w:space="0"/>
              <w:bottom w:val="single" w:color="auto" w:sz="4" w:space="0"/>
              <w:right w:val="single" w:color="auto" w:sz="4" w:space="0"/>
            </w:tcBorders>
            <w:noWrap w:val="0"/>
            <w:vAlign w:val="center"/>
          </w:tcPr>
          <w:p w14:paraId="757F105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灯饰</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0687256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1.每周清扫二次；</w:t>
            </w:r>
          </w:p>
          <w:p w14:paraId="12B8CD0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2.每月全面清洁一次。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517C26E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无明显浮灰、无明显污渍、无蜘蛛网</w:t>
            </w:r>
          </w:p>
        </w:tc>
      </w:tr>
      <w:tr w14:paraId="5A31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5" w:hRule="atLeast"/>
        </w:trPr>
        <w:tc>
          <w:tcPr>
            <w:tcW w:w="645" w:type="dxa"/>
            <w:vMerge w:val="continue"/>
            <w:tcBorders>
              <w:top w:val="single" w:color="auto" w:sz="4" w:space="0"/>
              <w:left w:val="single" w:color="auto" w:sz="4" w:space="0"/>
              <w:bottom w:val="single" w:color="auto" w:sz="4" w:space="0"/>
              <w:right w:val="single" w:color="auto" w:sz="4" w:space="0"/>
            </w:tcBorders>
            <w:noWrap w:val="0"/>
            <w:vAlign w:val="top"/>
          </w:tcPr>
          <w:p w14:paraId="37A251C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1595" w:type="dxa"/>
            <w:tcBorders>
              <w:top w:val="single" w:color="auto" w:sz="4" w:space="0"/>
              <w:left w:val="single" w:color="auto" w:sz="4" w:space="0"/>
              <w:bottom w:val="single" w:color="auto" w:sz="4" w:space="0"/>
              <w:right w:val="single" w:color="auto" w:sz="4" w:space="0"/>
            </w:tcBorders>
            <w:noWrap w:val="0"/>
            <w:vAlign w:val="center"/>
          </w:tcPr>
          <w:p w14:paraId="058D1C7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风口、天花、烟 感器、喷水器、探头等</w:t>
            </w:r>
          </w:p>
        </w:tc>
        <w:tc>
          <w:tcPr>
            <w:tcW w:w="3761" w:type="dxa"/>
            <w:tcBorders>
              <w:top w:val="single" w:color="auto" w:sz="4" w:space="0"/>
              <w:left w:val="single" w:color="auto" w:sz="4" w:space="0"/>
              <w:bottom w:val="single" w:color="auto" w:sz="4" w:space="0"/>
              <w:right w:val="single" w:color="auto" w:sz="4" w:space="0"/>
            </w:tcBorders>
            <w:noWrap w:val="0"/>
            <w:vAlign w:val="center"/>
          </w:tcPr>
          <w:p w14:paraId="41BB835C">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1.每月清扫一次；</w:t>
            </w:r>
          </w:p>
          <w:p w14:paraId="38C1CE2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2.每季度全面清洁一次。</w:t>
            </w:r>
          </w:p>
        </w:tc>
        <w:tc>
          <w:tcPr>
            <w:tcW w:w="2294" w:type="dxa"/>
            <w:tcBorders>
              <w:top w:val="single" w:color="auto" w:sz="4" w:space="0"/>
              <w:left w:val="single" w:color="auto" w:sz="4" w:space="0"/>
              <w:bottom w:val="single" w:color="auto" w:sz="4" w:space="0"/>
              <w:right w:val="single" w:color="auto" w:sz="4" w:space="0"/>
            </w:tcBorders>
            <w:noWrap w:val="0"/>
            <w:vAlign w:val="center"/>
          </w:tcPr>
          <w:p w14:paraId="5F7E3334">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2B5D5FD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无明显浮灰、无明显污渍、无蜘蛛网</w:t>
            </w:r>
          </w:p>
        </w:tc>
      </w:tr>
      <w:tr w14:paraId="51DCE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8295" w:type="dxa"/>
            <w:gridSpan w:val="4"/>
            <w:tcBorders>
              <w:top w:val="single" w:color="auto" w:sz="4" w:space="0"/>
              <w:left w:val="nil"/>
              <w:bottom w:val="nil"/>
              <w:right w:val="nil"/>
            </w:tcBorders>
            <w:noWrap w:val="0"/>
            <w:vAlign w:val="top"/>
          </w:tcPr>
          <w:p w14:paraId="6E1BB8F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1"/>
                <w:sz w:val="24"/>
                <w:szCs w:val="24"/>
              </w:rPr>
              <w:t>②办公楼层</w:t>
            </w:r>
          </w:p>
        </w:tc>
      </w:tr>
    </w:tbl>
    <w:tbl>
      <w:tblPr>
        <w:tblStyle w:val="38"/>
        <w:tblpPr w:leftFromText="180" w:rightFromText="180" w:vertAnchor="text" w:horzAnchor="page" w:tblpX="1792" w:tblpY="162"/>
        <w:tblOverlap w:val="neve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5"/>
        <w:gridCol w:w="1635"/>
        <w:gridCol w:w="3765"/>
        <w:gridCol w:w="2265"/>
      </w:tblGrid>
      <w:tr w14:paraId="1D939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2280" w:type="dxa"/>
            <w:gridSpan w:val="2"/>
            <w:noWrap w:val="0"/>
            <w:vAlign w:val="center"/>
          </w:tcPr>
          <w:p w14:paraId="371C3F7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保洁对象</w:t>
            </w:r>
          </w:p>
        </w:tc>
        <w:tc>
          <w:tcPr>
            <w:tcW w:w="3765" w:type="dxa"/>
            <w:vMerge w:val="restart"/>
            <w:tcBorders>
              <w:bottom w:val="nil"/>
            </w:tcBorders>
            <w:noWrap w:val="0"/>
            <w:vAlign w:val="top"/>
          </w:tcPr>
          <w:p w14:paraId="72D91BD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022B89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服务内容</w:t>
            </w:r>
          </w:p>
        </w:tc>
        <w:tc>
          <w:tcPr>
            <w:tcW w:w="2265" w:type="dxa"/>
            <w:vMerge w:val="restart"/>
            <w:tcBorders>
              <w:bottom w:val="nil"/>
            </w:tcBorders>
            <w:noWrap w:val="0"/>
            <w:vAlign w:val="top"/>
          </w:tcPr>
          <w:p w14:paraId="63B9467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526C081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服务标准</w:t>
            </w:r>
          </w:p>
        </w:tc>
      </w:tr>
      <w:tr w14:paraId="567FB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45" w:type="dxa"/>
            <w:noWrap w:val="0"/>
            <w:vAlign w:val="center"/>
          </w:tcPr>
          <w:p w14:paraId="55823EA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位置</w:t>
            </w:r>
          </w:p>
        </w:tc>
        <w:tc>
          <w:tcPr>
            <w:tcW w:w="1635" w:type="dxa"/>
            <w:noWrap w:val="0"/>
            <w:vAlign w:val="center"/>
          </w:tcPr>
          <w:p w14:paraId="75016CF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材质</w:t>
            </w:r>
          </w:p>
        </w:tc>
        <w:tc>
          <w:tcPr>
            <w:tcW w:w="3765" w:type="dxa"/>
            <w:vMerge w:val="continue"/>
            <w:tcBorders>
              <w:top w:val="nil"/>
            </w:tcBorders>
            <w:noWrap w:val="0"/>
            <w:vAlign w:val="top"/>
          </w:tcPr>
          <w:p w14:paraId="481BF57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2265" w:type="dxa"/>
            <w:vMerge w:val="continue"/>
            <w:tcBorders>
              <w:top w:val="nil"/>
            </w:tcBorders>
            <w:noWrap w:val="0"/>
            <w:vAlign w:val="top"/>
          </w:tcPr>
          <w:p w14:paraId="3643537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r>
      <w:tr w14:paraId="4D4CD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45" w:type="dxa"/>
            <w:vMerge w:val="restart"/>
            <w:tcBorders>
              <w:bottom w:val="nil"/>
            </w:tcBorders>
            <w:noWrap w:val="0"/>
            <w:vAlign w:val="top"/>
          </w:tcPr>
          <w:p w14:paraId="17F441A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5B3ECC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BC760E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499EAD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8CA827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3F50ADA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B7B5E4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22D933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7648A3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1635" w:type="dxa"/>
            <w:noWrap w:val="0"/>
            <w:vAlign w:val="top"/>
          </w:tcPr>
          <w:p w14:paraId="63DE94B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6FFB6E1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EE07DE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3765" w:type="dxa"/>
            <w:noWrap w:val="0"/>
            <w:vAlign w:val="top"/>
          </w:tcPr>
          <w:p w14:paraId="55B8EE6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1.每日推尘至少两次，随时保洁；</w:t>
            </w:r>
          </w:p>
          <w:p w14:paraId="4FD31DB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每月全面拖洗一次；</w:t>
            </w:r>
          </w:p>
          <w:p w14:paraId="120F339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3.禁止用强酸碱性药剂 （盐酸、硫酸、烧碱、天蜡水等）进行清洗。</w:t>
            </w:r>
          </w:p>
        </w:tc>
        <w:tc>
          <w:tcPr>
            <w:tcW w:w="2265" w:type="dxa"/>
            <w:noWrap w:val="0"/>
            <w:vAlign w:val="top"/>
          </w:tcPr>
          <w:p w14:paraId="204127B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FC2695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地面光亮洁净、无污渍、无水渍、无胶渍、无垃圾杂物。</w:t>
            </w:r>
          </w:p>
        </w:tc>
      </w:tr>
      <w:tr w14:paraId="05448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7" w:hRule="atLeast"/>
        </w:trPr>
        <w:tc>
          <w:tcPr>
            <w:tcW w:w="645" w:type="dxa"/>
            <w:vMerge w:val="continue"/>
            <w:tcBorders>
              <w:top w:val="nil"/>
              <w:bottom w:val="nil"/>
            </w:tcBorders>
            <w:noWrap w:val="0"/>
            <w:vAlign w:val="top"/>
          </w:tcPr>
          <w:p w14:paraId="04914CB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5380549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091D612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楼道垃圾桶</w:t>
            </w:r>
          </w:p>
        </w:tc>
        <w:tc>
          <w:tcPr>
            <w:tcW w:w="3765" w:type="dxa"/>
            <w:noWrap w:val="0"/>
            <w:vAlign w:val="top"/>
          </w:tcPr>
          <w:p w14:paraId="527CD46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w:t>
            </w:r>
          </w:p>
          <w:p w14:paraId="4D92CE4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2.每周全面清洁一次；</w:t>
            </w:r>
          </w:p>
          <w:p w14:paraId="76E37C3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3.根据天气情况进行消毒处理。</w:t>
            </w:r>
          </w:p>
        </w:tc>
        <w:tc>
          <w:tcPr>
            <w:tcW w:w="2265" w:type="dxa"/>
            <w:noWrap w:val="0"/>
            <w:vAlign w:val="top"/>
          </w:tcPr>
          <w:p w14:paraId="0B1132C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外表无明显污渍、水渍、异味、无垃圾水溢出；垃圾袋每日需进行更换。</w:t>
            </w:r>
          </w:p>
        </w:tc>
      </w:tr>
      <w:tr w14:paraId="4C967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645" w:type="dxa"/>
            <w:vMerge w:val="continue"/>
            <w:tcBorders>
              <w:top w:val="nil"/>
              <w:bottom w:val="nil"/>
            </w:tcBorders>
            <w:noWrap w:val="0"/>
            <w:vAlign w:val="top"/>
          </w:tcPr>
          <w:p w14:paraId="3DFDF2A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328B312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316C85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消防通道地面、扶手</w:t>
            </w:r>
          </w:p>
        </w:tc>
        <w:tc>
          <w:tcPr>
            <w:tcW w:w="3765" w:type="dxa"/>
            <w:noWrap w:val="0"/>
            <w:vAlign w:val="top"/>
          </w:tcPr>
          <w:p w14:paraId="44C466A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每周对地面清扫一次、扶手擦拭一次；</w:t>
            </w:r>
          </w:p>
          <w:p w14:paraId="15BEA52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每月全面拖洗一次。</w:t>
            </w:r>
          </w:p>
        </w:tc>
        <w:tc>
          <w:tcPr>
            <w:tcW w:w="2265" w:type="dxa"/>
            <w:noWrap w:val="0"/>
            <w:vAlign w:val="top"/>
          </w:tcPr>
          <w:p w14:paraId="66EAB08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地面无明显尘土、无明显污渍、无垃圾杂物。</w:t>
            </w:r>
          </w:p>
        </w:tc>
      </w:tr>
      <w:tr w14:paraId="5AFC1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645" w:type="dxa"/>
            <w:vMerge w:val="continue"/>
            <w:tcBorders>
              <w:top w:val="nil"/>
              <w:bottom w:val="nil"/>
            </w:tcBorders>
            <w:noWrap w:val="0"/>
            <w:vAlign w:val="top"/>
          </w:tcPr>
          <w:p w14:paraId="38BB6D1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47DB288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55E684A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管道井及设备</w:t>
            </w:r>
          </w:p>
        </w:tc>
        <w:tc>
          <w:tcPr>
            <w:tcW w:w="3765" w:type="dxa"/>
            <w:noWrap w:val="0"/>
            <w:vAlign w:val="top"/>
          </w:tcPr>
          <w:p w14:paraId="7EFE899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1.每周清扫一次，除尘一次；</w:t>
            </w:r>
          </w:p>
          <w:p w14:paraId="685A6AF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2.每月全面清扫及除尘一次。</w:t>
            </w:r>
          </w:p>
        </w:tc>
        <w:tc>
          <w:tcPr>
            <w:tcW w:w="2265" w:type="dxa"/>
            <w:noWrap w:val="0"/>
            <w:vAlign w:val="top"/>
          </w:tcPr>
          <w:p w14:paraId="3A76204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洁净、无污渍、无浮灰、无垃圾杂物。</w:t>
            </w:r>
          </w:p>
        </w:tc>
      </w:tr>
      <w:tr w14:paraId="42331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645" w:type="dxa"/>
            <w:vMerge w:val="continue"/>
            <w:tcBorders>
              <w:top w:val="nil"/>
            </w:tcBorders>
            <w:noWrap w:val="0"/>
            <w:vAlign w:val="top"/>
          </w:tcPr>
          <w:p w14:paraId="05ED7D6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42DC62D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1F937D6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其他</w:t>
            </w:r>
          </w:p>
        </w:tc>
        <w:tc>
          <w:tcPr>
            <w:tcW w:w="3765" w:type="dxa"/>
            <w:noWrap w:val="0"/>
            <w:vAlign w:val="center"/>
          </w:tcPr>
          <w:p w14:paraId="535DB26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 每周清扫一次，除尘一次；</w:t>
            </w:r>
          </w:p>
          <w:p w14:paraId="11686C6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 每月全面清扫及除尘一次。</w:t>
            </w:r>
          </w:p>
        </w:tc>
        <w:tc>
          <w:tcPr>
            <w:tcW w:w="2265" w:type="dxa"/>
            <w:noWrap w:val="0"/>
            <w:vAlign w:val="top"/>
          </w:tcPr>
          <w:p w14:paraId="2E94FF2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E96C95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洁净、无污渍、无浮灰</w:t>
            </w:r>
            <w:r>
              <w:rPr>
                <w:rFonts w:hint="eastAsia" w:ascii="华文仿宋" w:hAnsi="华文仿宋" w:eastAsia="华文仿宋" w:cs="华文仿宋"/>
                <w:color w:val="auto"/>
                <w:spacing w:val="0"/>
                <w:w w:val="100"/>
                <w:sz w:val="24"/>
                <w:szCs w:val="24"/>
                <w:lang w:eastAsia="zh-CN"/>
              </w:rPr>
              <w:t>、</w:t>
            </w:r>
            <w:r>
              <w:rPr>
                <w:rFonts w:hint="eastAsia" w:ascii="华文仿宋" w:hAnsi="华文仿宋" w:eastAsia="华文仿宋" w:cs="华文仿宋"/>
                <w:color w:val="auto"/>
                <w:spacing w:val="0"/>
                <w:w w:val="100"/>
                <w:sz w:val="24"/>
                <w:szCs w:val="24"/>
              </w:rPr>
              <w:t>无垃圾杂物。</w:t>
            </w:r>
          </w:p>
        </w:tc>
      </w:tr>
      <w:tr w14:paraId="41688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5" w:hRule="atLeast"/>
        </w:trPr>
        <w:tc>
          <w:tcPr>
            <w:tcW w:w="645" w:type="dxa"/>
            <w:vMerge w:val="restart"/>
            <w:tcBorders>
              <w:bottom w:val="nil"/>
            </w:tcBorders>
            <w:noWrap w:val="0"/>
            <w:vAlign w:val="top"/>
          </w:tcPr>
          <w:p w14:paraId="08E7CFC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48ECE8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020E76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5F052B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52DA303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EB10FD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02C3E6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墙面</w:t>
            </w:r>
          </w:p>
        </w:tc>
        <w:tc>
          <w:tcPr>
            <w:tcW w:w="1635" w:type="dxa"/>
            <w:noWrap w:val="0"/>
            <w:vAlign w:val="top"/>
          </w:tcPr>
          <w:p w14:paraId="353F3BB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AF2109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55BCD1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墙面</w:t>
            </w:r>
          </w:p>
        </w:tc>
        <w:tc>
          <w:tcPr>
            <w:tcW w:w="3765" w:type="dxa"/>
            <w:noWrap w:val="0"/>
            <w:vAlign w:val="top"/>
          </w:tcPr>
          <w:p w14:paraId="2251D5D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1.每日局部清洁一次；</w:t>
            </w:r>
          </w:p>
          <w:p w14:paraId="017A090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2.石材、木质贴面，每日拖擦一次，定期保养；</w:t>
            </w:r>
          </w:p>
          <w:p w14:paraId="14DEF52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3.每周全面去污、除尘一次。</w:t>
            </w:r>
          </w:p>
        </w:tc>
        <w:tc>
          <w:tcPr>
            <w:tcW w:w="2265" w:type="dxa"/>
            <w:noWrap w:val="0"/>
            <w:vAlign w:val="top"/>
          </w:tcPr>
          <w:p w14:paraId="735C2D9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945600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无污渍、无乱涂写、无浮灰。</w:t>
            </w:r>
          </w:p>
        </w:tc>
      </w:tr>
      <w:tr w14:paraId="631D0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45" w:type="dxa"/>
            <w:vMerge w:val="continue"/>
            <w:tcBorders>
              <w:top w:val="nil"/>
              <w:bottom w:val="nil"/>
            </w:tcBorders>
            <w:noWrap w:val="0"/>
            <w:vAlign w:val="top"/>
          </w:tcPr>
          <w:p w14:paraId="3A97EDF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15D4CD1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283156D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门、窗、玻璃</w:t>
            </w:r>
          </w:p>
        </w:tc>
        <w:tc>
          <w:tcPr>
            <w:tcW w:w="3765" w:type="dxa"/>
            <w:noWrap w:val="0"/>
            <w:vAlign w:val="center"/>
          </w:tcPr>
          <w:p w14:paraId="0A3D4D4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每日局部清洁一次；</w:t>
            </w:r>
          </w:p>
          <w:p w14:paraId="456A176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每月对玻璃轮流刮洗一次。</w:t>
            </w:r>
          </w:p>
        </w:tc>
        <w:tc>
          <w:tcPr>
            <w:tcW w:w="2265" w:type="dxa"/>
            <w:noWrap w:val="0"/>
            <w:vAlign w:val="top"/>
          </w:tcPr>
          <w:p w14:paraId="5F423A4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1235A9D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玻璃光亮、无明显污渍、水渍。</w:t>
            </w:r>
          </w:p>
        </w:tc>
      </w:tr>
      <w:tr w14:paraId="7DA80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8" w:hRule="atLeast"/>
        </w:trPr>
        <w:tc>
          <w:tcPr>
            <w:tcW w:w="645" w:type="dxa"/>
            <w:vMerge w:val="continue"/>
            <w:tcBorders>
              <w:top w:val="nil"/>
            </w:tcBorders>
            <w:noWrap w:val="0"/>
            <w:vAlign w:val="top"/>
          </w:tcPr>
          <w:p w14:paraId="092FAA3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5C43F0B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报警器、电器开关、消防栓、灭火器、百叶风口、安全指示灯、消防门及闭门器</w:t>
            </w:r>
          </w:p>
        </w:tc>
        <w:tc>
          <w:tcPr>
            <w:tcW w:w="3765" w:type="dxa"/>
            <w:noWrap w:val="0"/>
            <w:vAlign w:val="top"/>
          </w:tcPr>
          <w:p w14:paraId="2409213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9AB93F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1.每周擦拭一次；</w:t>
            </w:r>
          </w:p>
          <w:p w14:paraId="60AED90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2.每月全面清洁一次。</w:t>
            </w:r>
          </w:p>
        </w:tc>
        <w:tc>
          <w:tcPr>
            <w:tcW w:w="2265" w:type="dxa"/>
            <w:noWrap w:val="0"/>
            <w:vAlign w:val="top"/>
          </w:tcPr>
          <w:p w14:paraId="0D841C9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59B215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BA9371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洁净无污渍、无浮灰。</w:t>
            </w:r>
          </w:p>
        </w:tc>
      </w:tr>
      <w:tr w14:paraId="4C1AB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645" w:type="dxa"/>
            <w:noWrap w:val="0"/>
            <w:vAlign w:val="top"/>
          </w:tcPr>
          <w:p w14:paraId="2B8FE74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584D155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天花</w:t>
            </w:r>
          </w:p>
        </w:tc>
        <w:tc>
          <w:tcPr>
            <w:tcW w:w="1635" w:type="dxa"/>
            <w:noWrap w:val="0"/>
            <w:vAlign w:val="top"/>
          </w:tcPr>
          <w:p w14:paraId="210C81C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风口、灯具、天 花板、烟感器、喷水器、探头</w:t>
            </w:r>
          </w:p>
        </w:tc>
        <w:tc>
          <w:tcPr>
            <w:tcW w:w="3765" w:type="dxa"/>
            <w:noWrap w:val="0"/>
            <w:vAlign w:val="top"/>
          </w:tcPr>
          <w:p w14:paraId="3465E92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1.每月清扫一次；</w:t>
            </w:r>
          </w:p>
          <w:p w14:paraId="046D0A9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2.每季度全面清洁一次。</w:t>
            </w:r>
          </w:p>
        </w:tc>
        <w:tc>
          <w:tcPr>
            <w:tcW w:w="2265" w:type="dxa"/>
            <w:noWrap w:val="0"/>
            <w:vAlign w:val="top"/>
          </w:tcPr>
          <w:p w14:paraId="5FB848B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无明显污渍、无明显浮灰、无蜘蛛网</w:t>
            </w:r>
          </w:p>
        </w:tc>
      </w:tr>
      <w:tr w14:paraId="5C514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5" w:hRule="atLeast"/>
        </w:trPr>
        <w:tc>
          <w:tcPr>
            <w:tcW w:w="645" w:type="dxa"/>
            <w:noWrap w:val="0"/>
            <w:vAlign w:val="top"/>
          </w:tcPr>
          <w:p w14:paraId="5561274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24F6AC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F98E84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C4BB87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卫</w:t>
            </w:r>
          </w:p>
          <w:p w14:paraId="289C407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生</w:t>
            </w:r>
          </w:p>
          <w:p w14:paraId="143894A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间</w:t>
            </w:r>
          </w:p>
        </w:tc>
        <w:tc>
          <w:tcPr>
            <w:tcW w:w="1635" w:type="dxa"/>
            <w:noWrap w:val="0"/>
            <w:vAlign w:val="top"/>
          </w:tcPr>
          <w:p w14:paraId="0284ADE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58D3EF9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5E9E06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1FB909E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2C50D9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地面、墙面、洗手盆、门窗、洁具等</w:t>
            </w:r>
          </w:p>
        </w:tc>
        <w:tc>
          <w:tcPr>
            <w:tcW w:w="3765" w:type="dxa"/>
            <w:noWrap w:val="0"/>
            <w:vAlign w:val="top"/>
          </w:tcPr>
          <w:p w14:paraId="77B3DDE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1.每日清洁不少于两次；</w:t>
            </w:r>
          </w:p>
          <w:p w14:paraId="0775ED4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2.洗手台盆柜、石材、卫生间隔断，每日拖擦一次，定期保养；</w:t>
            </w:r>
          </w:p>
          <w:p w14:paraId="7B1EC29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每周全面去污、除尘一次；</w:t>
            </w:r>
          </w:p>
          <w:p w14:paraId="248B85E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4.及时为办公楼层配备洗手液、卫生纸。</w:t>
            </w:r>
          </w:p>
        </w:tc>
        <w:tc>
          <w:tcPr>
            <w:tcW w:w="2265" w:type="dxa"/>
            <w:noWrap w:val="0"/>
            <w:vAlign w:val="top"/>
          </w:tcPr>
          <w:p w14:paraId="4DACDFA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无积水、无堆放杂物，无乱张贴，无蜘蛛网，洁具表面光洁；无尿渍，无明显异味。石材表面无污渍、无泥沙、无水渍、无油渍、无胶渍。卫生用品质量符合标准、不断档、不浪费。</w:t>
            </w:r>
          </w:p>
        </w:tc>
      </w:tr>
    </w:tbl>
    <w:p w14:paraId="4898BFD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437A9A2">
      <w:pPr>
        <w:keepNext w:val="0"/>
        <w:keepLines w:val="0"/>
        <w:pageBreakBefore w:val="0"/>
        <w:widowControl/>
        <w:kinsoku w:val="0"/>
        <w:wordWrap/>
        <w:overflowPunct/>
        <w:topLinePunct w:val="0"/>
        <w:autoSpaceDE w:val="0"/>
        <w:autoSpaceDN w:val="0"/>
        <w:bidi w:val="0"/>
        <w:adjustRightInd w:val="0"/>
        <w:snapToGrid w:val="0"/>
        <w:spacing w:line="240" w:lineRule="auto"/>
        <w:ind w:firstLine="486" w:firstLineChars="2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③电梯</w:t>
      </w:r>
    </w:p>
    <w:tbl>
      <w:tblPr>
        <w:tblStyle w:val="38"/>
        <w:tblpPr w:leftFromText="180" w:rightFromText="180" w:vertAnchor="text" w:horzAnchor="page" w:tblpX="1792" w:tblpY="108"/>
        <w:tblOverlap w:val="neve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5"/>
        <w:gridCol w:w="1635"/>
        <w:gridCol w:w="3820"/>
        <w:gridCol w:w="2210"/>
      </w:tblGrid>
      <w:tr w14:paraId="408F1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2280" w:type="dxa"/>
            <w:gridSpan w:val="2"/>
            <w:noWrap w:val="0"/>
            <w:vAlign w:val="center"/>
          </w:tcPr>
          <w:p w14:paraId="0DBA5A1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保洁对象</w:t>
            </w:r>
          </w:p>
        </w:tc>
        <w:tc>
          <w:tcPr>
            <w:tcW w:w="3820" w:type="dxa"/>
            <w:vMerge w:val="restart"/>
            <w:tcBorders>
              <w:bottom w:val="nil"/>
            </w:tcBorders>
            <w:noWrap w:val="0"/>
            <w:vAlign w:val="top"/>
          </w:tcPr>
          <w:p w14:paraId="32984B5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DDDD81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服务内容</w:t>
            </w:r>
          </w:p>
        </w:tc>
        <w:tc>
          <w:tcPr>
            <w:tcW w:w="2210" w:type="dxa"/>
            <w:vMerge w:val="restart"/>
            <w:tcBorders>
              <w:bottom w:val="nil"/>
            </w:tcBorders>
            <w:noWrap w:val="0"/>
            <w:vAlign w:val="top"/>
          </w:tcPr>
          <w:p w14:paraId="49A94F8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94C8C4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服务标准</w:t>
            </w:r>
          </w:p>
        </w:tc>
      </w:tr>
      <w:tr w14:paraId="78AE4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45" w:type="dxa"/>
            <w:noWrap w:val="0"/>
            <w:vAlign w:val="center"/>
          </w:tcPr>
          <w:p w14:paraId="034F878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位置</w:t>
            </w:r>
          </w:p>
        </w:tc>
        <w:tc>
          <w:tcPr>
            <w:tcW w:w="1635" w:type="dxa"/>
            <w:noWrap w:val="0"/>
            <w:vAlign w:val="center"/>
          </w:tcPr>
          <w:p w14:paraId="5650C9A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材质</w:t>
            </w:r>
          </w:p>
        </w:tc>
        <w:tc>
          <w:tcPr>
            <w:tcW w:w="3820" w:type="dxa"/>
            <w:vMerge w:val="continue"/>
            <w:tcBorders>
              <w:top w:val="nil"/>
            </w:tcBorders>
            <w:noWrap w:val="0"/>
            <w:vAlign w:val="top"/>
          </w:tcPr>
          <w:p w14:paraId="74FBDFC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2210" w:type="dxa"/>
            <w:vMerge w:val="continue"/>
            <w:tcBorders>
              <w:top w:val="nil"/>
            </w:tcBorders>
            <w:noWrap w:val="0"/>
            <w:vAlign w:val="top"/>
          </w:tcPr>
          <w:p w14:paraId="73D30A8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r>
      <w:tr w14:paraId="25E25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645" w:type="dxa"/>
            <w:noWrap w:val="0"/>
            <w:vAlign w:val="top"/>
          </w:tcPr>
          <w:p w14:paraId="5DA7C5F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00D0787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57F8F8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1635" w:type="dxa"/>
            <w:noWrap w:val="0"/>
            <w:vAlign w:val="top"/>
          </w:tcPr>
          <w:p w14:paraId="5DFA025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3820" w:type="dxa"/>
            <w:noWrap w:val="0"/>
            <w:vAlign w:val="top"/>
          </w:tcPr>
          <w:p w14:paraId="792EF9A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1.每日拖地一次，随时保洁；</w:t>
            </w:r>
          </w:p>
          <w:p w14:paraId="22EDF38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2.禁止用强酸碱性药剂（盐酸、硫酸、烧碱、天蜡水等）进行清洗。</w:t>
            </w:r>
          </w:p>
        </w:tc>
        <w:tc>
          <w:tcPr>
            <w:tcW w:w="2210" w:type="dxa"/>
            <w:noWrap w:val="0"/>
            <w:vAlign w:val="top"/>
          </w:tcPr>
          <w:p w14:paraId="4268A03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5DBA82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地面光亮洁净、 无污渍、无水渍、无胶渍、无垃圾杂物</w:t>
            </w:r>
          </w:p>
        </w:tc>
      </w:tr>
      <w:tr w14:paraId="6DBF7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645" w:type="dxa"/>
            <w:vMerge w:val="restart"/>
            <w:tcBorders>
              <w:bottom w:val="nil"/>
            </w:tcBorders>
            <w:noWrap w:val="0"/>
            <w:vAlign w:val="top"/>
          </w:tcPr>
          <w:p w14:paraId="04FFA2F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C235F6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953569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51FCF2E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56DC32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侧面</w:t>
            </w:r>
          </w:p>
        </w:tc>
        <w:tc>
          <w:tcPr>
            <w:tcW w:w="1635" w:type="dxa"/>
            <w:noWrap w:val="0"/>
            <w:vAlign w:val="top"/>
          </w:tcPr>
          <w:p w14:paraId="19025BA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CB8EE2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p>
          <w:p w14:paraId="473A855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不锈钢</w:t>
            </w:r>
          </w:p>
          <w:p w14:paraId="0179DD7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（亚光、镜面）</w:t>
            </w:r>
          </w:p>
        </w:tc>
        <w:tc>
          <w:tcPr>
            <w:tcW w:w="3820" w:type="dxa"/>
            <w:noWrap w:val="0"/>
            <w:vAlign w:val="top"/>
          </w:tcPr>
          <w:p w14:paraId="2F12AC1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w:t>
            </w:r>
          </w:p>
          <w:p w14:paraId="26EFF14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2.每月用不锈钢光亮剂保养一次；</w:t>
            </w:r>
          </w:p>
          <w:p w14:paraId="4DA078C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3.亚光每月去污粉全面清洁一次；</w:t>
            </w:r>
          </w:p>
          <w:p w14:paraId="75DFD8F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4.镜面每月用清洁剂清洗一次。</w:t>
            </w:r>
          </w:p>
        </w:tc>
        <w:tc>
          <w:tcPr>
            <w:tcW w:w="2210" w:type="dxa"/>
            <w:noWrap w:val="0"/>
            <w:vAlign w:val="top"/>
          </w:tcPr>
          <w:p w14:paraId="586B8A7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18C3F8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7186FE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光亮、无污渍、无胶渍、无水渍、无手印、无浮灰、清晰见影</w:t>
            </w:r>
          </w:p>
        </w:tc>
      </w:tr>
      <w:tr w14:paraId="7CDD9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45" w:type="dxa"/>
            <w:vMerge w:val="continue"/>
            <w:tcBorders>
              <w:top w:val="nil"/>
            </w:tcBorders>
            <w:noWrap w:val="0"/>
            <w:vAlign w:val="top"/>
          </w:tcPr>
          <w:p w14:paraId="66CA3D6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635" w:type="dxa"/>
            <w:noWrap w:val="0"/>
            <w:vAlign w:val="top"/>
          </w:tcPr>
          <w:p w14:paraId="69832AB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按键、广告牌</w:t>
            </w:r>
          </w:p>
        </w:tc>
        <w:tc>
          <w:tcPr>
            <w:tcW w:w="3820" w:type="dxa"/>
            <w:noWrap w:val="0"/>
            <w:vAlign w:val="top"/>
          </w:tcPr>
          <w:p w14:paraId="0215A19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1.每日擦拭一次；</w:t>
            </w:r>
          </w:p>
          <w:p w14:paraId="2A6DEB1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2.每周全面清洁一次。</w:t>
            </w:r>
          </w:p>
        </w:tc>
        <w:tc>
          <w:tcPr>
            <w:tcW w:w="2210" w:type="dxa"/>
            <w:noWrap w:val="0"/>
            <w:vAlign w:val="center"/>
          </w:tcPr>
          <w:p w14:paraId="1473899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无污渍、无浮灰</w:t>
            </w:r>
          </w:p>
        </w:tc>
      </w:tr>
      <w:tr w14:paraId="3DD101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645" w:type="dxa"/>
            <w:noWrap w:val="0"/>
            <w:vAlign w:val="top"/>
          </w:tcPr>
          <w:p w14:paraId="6B8DF61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2BCC15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天花</w:t>
            </w:r>
          </w:p>
        </w:tc>
        <w:tc>
          <w:tcPr>
            <w:tcW w:w="1635" w:type="dxa"/>
            <w:noWrap w:val="0"/>
            <w:vAlign w:val="top"/>
          </w:tcPr>
          <w:p w14:paraId="77FDC4B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天花、风口、照明、厢顶</w:t>
            </w:r>
          </w:p>
        </w:tc>
        <w:tc>
          <w:tcPr>
            <w:tcW w:w="3820" w:type="dxa"/>
            <w:noWrap w:val="0"/>
            <w:vAlign w:val="top"/>
          </w:tcPr>
          <w:p w14:paraId="4EC0C1E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1.每周除尘清洁一次；</w:t>
            </w:r>
          </w:p>
          <w:p w14:paraId="72BB319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2.每月全面清洁一次。</w:t>
            </w:r>
          </w:p>
        </w:tc>
        <w:tc>
          <w:tcPr>
            <w:tcW w:w="2210" w:type="dxa"/>
            <w:noWrap w:val="0"/>
            <w:vAlign w:val="top"/>
          </w:tcPr>
          <w:p w14:paraId="549572A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无污渍、无浮灰、无蜘蛛网</w:t>
            </w:r>
          </w:p>
        </w:tc>
      </w:tr>
    </w:tbl>
    <w:p w14:paraId="12FC49E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41F1C890">
      <w:pPr>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④外围保洁</w:t>
      </w:r>
    </w:p>
    <w:tbl>
      <w:tblPr>
        <w:tblStyle w:val="21"/>
        <w:tblpPr w:leftFromText="180" w:rightFromText="180" w:vertAnchor="text" w:horzAnchor="page" w:tblpX="1915" w:tblpY="13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60"/>
        <w:gridCol w:w="4188"/>
        <w:gridCol w:w="1842"/>
      </w:tblGrid>
      <w:tr w14:paraId="5F48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265" w:type="dxa"/>
            <w:gridSpan w:val="2"/>
            <w:tcBorders>
              <w:top w:val="single" w:color="auto" w:sz="4" w:space="0"/>
              <w:left w:val="single" w:color="auto" w:sz="4" w:space="0"/>
              <w:bottom w:val="single" w:color="auto" w:sz="4" w:space="0"/>
              <w:right w:val="single" w:color="auto" w:sz="4" w:space="0"/>
            </w:tcBorders>
            <w:noWrap w:val="0"/>
            <w:vAlign w:val="center"/>
          </w:tcPr>
          <w:p w14:paraId="2DB52BB1">
            <w:pPr>
              <w:pStyle w:val="37"/>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保洁对象</w:t>
            </w:r>
          </w:p>
        </w:tc>
        <w:tc>
          <w:tcPr>
            <w:tcW w:w="4188" w:type="dxa"/>
            <w:vMerge w:val="restart"/>
            <w:tcBorders>
              <w:top w:val="single" w:color="auto" w:sz="4" w:space="0"/>
              <w:left w:val="single" w:color="auto" w:sz="4" w:space="0"/>
              <w:bottom w:val="single" w:color="auto" w:sz="4" w:space="0"/>
              <w:right w:val="single" w:color="auto" w:sz="4" w:space="0"/>
            </w:tcBorders>
            <w:noWrap w:val="0"/>
            <w:vAlign w:val="center"/>
          </w:tcPr>
          <w:p w14:paraId="147801DB">
            <w:pPr>
              <w:pStyle w:val="37"/>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服务内容</w:t>
            </w:r>
          </w:p>
        </w:tc>
        <w:tc>
          <w:tcPr>
            <w:tcW w:w="1842" w:type="dxa"/>
            <w:vMerge w:val="restart"/>
            <w:tcBorders>
              <w:top w:val="single" w:color="auto" w:sz="4" w:space="0"/>
              <w:left w:val="single" w:color="auto" w:sz="4" w:space="0"/>
              <w:bottom w:val="single" w:color="auto" w:sz="4" w:space="0"/>
              <w:right w:val="single" w:color="auto" w:sz="4" w:space="0"/>
            </w:tcBorders>
            <w:noWrap w:val="0"/>
            <w:vAlign w:val="center"/>
          </w:tcPr>
          <w:p w14:paraId="00970684">
            <w:pPr>
              <w:pStyle w:val="37"/>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服务标准</w:t>
            </w:r>
          </w:p>
        </w:tc>
      </w:tr>
      <w:tr w14:paraId="18E9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05" w:type="dxa"/>
            <w:tcBorders>
              <w:top w:val="single" w:color="auto" w:sz="4" w:space="0"/>
              <w:left w:val="single" w:color="auto" w:sz="4" w:space="0"/>
              <w:bottom w:val="single" w:color="auto" w:sz="4" w:space="0"/>
              <w:right w:val="single" w:color="auto" w:sz="4" w:space="0"/>
            </w:tcBorders>
            <w:noWrap w:val="0"/>
            <w:vAlign w:val="center"/>
          </w:tcPr>
          <w:p w14:paraId="529D3D9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位置</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F0F6C5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材质</w:t>
            </w:r>
          </w:p>
        </w:tc>
        <w:tc>
          <w:tcPr>
            <w:tcW w:w="4188" w:type="dxa"/>
            <w:vMerge w:val="continue"/>
            <w:tcBorders>
              <w:top w:val="single" w:color="auto" w:sz="4" w:space="0"/>
              <w:left w:val="single" w:color="auto" w:sz="4" w:space="0"/>
              <w:bottom w:val="single" w:color="auto" w:sz="4" w:space="0"/>
              <w:right w:val="single" w:color="auto" w:sz="4" w:space="0"/>
            </w:tcBorders>
            <w:noWrap w:val="0"/>
            <w:vAlign w:val="center"/>
          </w:tcPr>
          <w:p w14:paraId="312D9A1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842" w:type="dxa"/>
            <w:vMerge w:val="continue"/>
            <w:tcBorders>
              <w:top w:val="single" w:color="auto" w:sz="4" w:space="0"/>
              <w:left w:val="single" w:color="auto" w:sz="4" w:space="0"/>
              <w:bottom w:val="single" w:color="auto" w:sz="4" w:space="0"/>
              <w:right w:val="single" w:color="auto" w:sz="4" w:space="0"/>
            </w:tcBorders>
            <w:noWrap w:val="0"/>
            <w:vAlign w:val="center"/>
          </w:tcPr>
          <w:p w14:paraId="4A11A10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r>
      <w:tr w14:paraId="7D4C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05" w:type="dxa"/>
            <w:vMerge w:val="restart"/>
            <w:tcBorders>
              <w:top w:val="single" w:color="auto" w:sz="4" w:space="0"/>
              <w:left w:val="single" w:color="auto" w:sz="4" w:space="0"/>
              <w:bottom w:val="single" w:color="auto" w:sz="4" w:space="0"/>
              <w:right w:val="single" w:color="auto" w:sz="4" w:space="0"/>
            </w:tcBorders>
            <w:noWrap w:val="0"/>
            <w:vAlign w:val="center"/>
          </w:tcPr>
          <w:p w14:paraId="12EF003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C23469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地面、沙井、沟渠</w:t>
            </w:r>
          </w:p>
        </w:tc>
        <w:tc>
          <w:tcPr>
            <w:tcW w:w="4188" w:type="dxa"/>
            <w:vMerge w:val="restart"/>
            <w:tcBorders>
              <w:top w:val="single" w:color="auto" w:sz="4" w:space="0"/>
              <w:left w:val="single" w:color="auto" w:sz="4" w:space="0"/>
              <w:bottom w:val="single" w:color="auto" w:sz="4" w:space="0"/>
              <w:right w:val="single" w:color="auto" w:sz="4" w:space="0"/>
            </w:tcBorders>
            <w:noWrap w:val="0"/>
            <w:vAlign w:val="center"/>
          </w:tcPr>
          <w:p w14:paraId="14F6C26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每日清扫一次；</w:t>
            </w:r>
          </w:p>
          <w:p w14:paraId="708358A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每周全面清扫一次。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78271BE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洁净、无垃圾杂物、无积水</w:t>
            </w:r>
          </w:p>
        </w:tc>
      </w:tr>
      <w:tr w14:paraId="1243A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05" w:type="dxa"/>
            <w:vMerge w:val="continue"/>
            <w:tcBorders>
              <w:top w:val="single" w:color="auto" w:sz="4" w:space="0"/>
              <w:left w:val="single" w:color="auto" w:sz="4" w:space="0"/>
              <w:bottom w:val="single" w:color="auto" w:sz="4" w:space="0"/>
              <w:right w:val="single" w:color="auto" w:sz="4" w:space="0"/>
            </w:tcBorders>
            <w:noWrap w:val="0"/>
            <w:vAlign w:val="center"/>
          </w:tcPr>
          <w:p w14:paraId="7C576DE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659775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岗亭</w:t>
            </w:r>
          </w:p>
        </w:tc>
        <w:tc>
          <w:tcPr>
            <w:tcW w:w="4188" w:type="dxa"/>
            <w:vMerge w:val="continue"/>
            <w:tcBorders>
              <w:top w:val="single" w:color="auto" w:sz="4" w:space="0"/>
              <w:left w:val="single" w:color="auto" w:sz="4" w:space="0"/>
              <w:bottom w:val="single" w:color="auto" w:sz="4" w:space="0"/>
              <w:right w:val="single" w:color="auto" w:sz="4" w:space="0"/>
            </w:tcBorders>
            <w:noWrap w:val="0"/>
            <w:vAlign w:val="center"/>
          </w:tcPr>
          <w:p w14:paraId="2537C44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417374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岗亭玻璃明亮、外表洁净、无明显污渍、无明显浮灰</w:t>
            </w:r>
          </w:p>
        </w:tc>
      </w:tr>
      <w:tr w14:paraId="0571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705" w:type="dxa"/>
            <w:vMerge w:val="continue"/>
            <w:tcBorders>
              <w:top w:val="single" w:color="auto" w:sz="4" w:space="0"/>
              <w:left w:val="single" w:color="auto" w:sz="4" w:space="0"/>
              <w:bottom w:val="single" w:color="auto" w:sz="4" w:space="0"/>
              <w:right w:val="single" w:color="auto" w:sz="4" w:space="0"/>
            </w:tcBorders>
            <w:noWrap w:val="0"/>
            <w:vAlign w:val="center"/>
          </w:tcPr>
          <w:p w14:paraId="6A8DD2C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4DE12B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建筑小品、道闸系统、宣传栏、指</w:t>
            </w:r>
            <w:r>
              <w:rPr>
                <w:rFonts w:hint="eastAsia" w:ascii="华文仿宋" w:hAnsi="华文仿宋" w:eastAsia="华文仿宋" w:cs="华文仿宋"/>
                <w:color w:val="auto"/>
                <w:spacing w:val="0"/>
                <w:w w:val="100"/>
                <w:sz w:val="24"/>
                <w:szCs w:val="24"/>
                <w:lang w:eastAsia="zh-CN"/>
              </w:rPr>
              <w:t>示</w:t>
            </w:r>
            <w:r>
              <w:rPr>
                <w:rFonts w:hint="eastAsia" w:ascii="华文仿宋" w:hAnsi="华文仿宋" w:eastAsia="华文仿宋" w:cs="华文仿宋"/>
                <w:color w:val="auto"/>
                <w:spacing w:val="0"/>
                <w:w w:val="100"/>
                <w:sz w:val="24"/>
                <w:szCs w:val="24"/>
              </w:rPr>
              <w:t>牌、 灯具、栏杆</w:t>
            </w:r>
          </w:p>
        </w:tc>
        <w:tc>
          <w:tcPr>
            <w:tcW w:w="4188" w:type="dxa"/>
            <w:vMerge w:val="continue"/>
            <w:tcBorders>
              <w:top w:val="single" w:color="auto" w:sz="4" w:space="0"/>
              <w:left w:val="single" w:color="auto" w:sz="4" w:space="0"/>
              <w:bottom w:val="single" w:color="auto" w:sz="4" w:space="0"/>
              <w:right w:val="single" w:color="auto" w:sz="4" w:space="0"/>
            </w:tcBorders>
            <w:noWrap w:val="0"/>
            <w:vAlign w:val="center"/>
          </w:tcPr>
          <w:p w14:paraId="4D0C771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2954F2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洁净、无污溃</w:t>
            </w:r>
            <w:r>
              <w:rPr>
                <w:rFonts w:hint="eastAsia" w:ascii="华文仿宋" w:hAnsi="华文仿宋" w:eastAsia="华文仿宋" w:cs="华文仿宋"/>
                <w:color w:val="auto"/>
                <w:spacing w:val="0"/>
                <w:w w:val="100"/>
                <w:sz w:val="24"/>
                <w:szCs w:val="24"/>
                <w:lang w:eastAsia="zh-CN"/>
              </w:rPr>
              <w:t>、</w:t>
            </w:r>
            <w:r>
              <w:rPr>
                <w:rFonts w:hint="eastAsia" w:ascii="华文仿宋" w:hAnsi="华文仿宋" w:eastAsia="华文仿宋" w:cs="华文仿宋"/>
                <w:color w:val="auto"/>
                <w:spacing w:val="0"/>
                <w:w w:val="100"/>
                <w:sz w:val="24"/>
                <w:szCs w:val="24"/>
              </w:rPr>
              <w:t>无明显浮灰</w:t>
            </w:r>
          </w:p>
        </w:tc>
      </w:tr>
      <w:tr w14:paraId="0BFE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705" w:type="dxa"/>
            <w:vMerge w:val="restart"/>
            <w:tcBorders>
              <w:top w:val="single" w:color="auto" w:sz="4" w:space="0"/>
              <w:left w:val="single" w:color="auto" w:sz="4" w:space="0"/>
              <w:bottom w:val="single" w:color="auto" w:sz="4" w:space="0"/>
              <w:right w:val="single" w:color="auto" w:sz="4" w:space="0"/>
            </w:tcBorders>
            <w:noWrap w:val="0"/>
            <w:vAlign w:val="center"/>
          </w:tcPr>
          <w:p w14:paraId="18B5175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绿化带</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21FEA26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草坪</w:t>
            </w:r>
          </w:p>
        </w:tc>
        <w:tc>
          <w:tcPr>
            <w:tcW w:w="4188" w:type="dxa"/>
            <w:tcBorders>
              <w:top w:val="single" w:color="auto" w:sz="4" w:space="0"/>
              <w:left w:val="single" w:color="auto" w:sz="4" w:space="0"/>
              <w:bottom w:val="single" w:color="auto" w:sz="4" w:space="0"/>
              <w:right w:val="single" w:color="auto" w:sz="4" w:space="0"/>
            </w:tcBorders>
            <w:noWrap w:val="0"/>
            <w:vAlign w:val="center"/>
          </w:tcPr>
          <w:p w14:paraId="40B63BB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每日清扫一次；</w:t>
            </w:r>
          </w:p>
          <w:p w14:paraId="73D2B25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每周全面清扫一次。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3FC97D4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无垃圾杂物、无杂草、无砖瓦块、无残枝落叶、无宠物粪便</w:t>
            </w:r>
          </w:p>
        </w:tc>
      </w:tr>
      <w:tr w14:paraId="5A9F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05" w:type="dxa"/>
            <w:vMerge w:val="continue"/>
            <w:tcBorders>
              <w:top w:val="single" w:color="auto" w:sz="4" w:space="0"/>
              <w:left w:val="single" w:color="auto" w:sz="4" w:space="0"/>
              <w:bottom w:val="single" w:color="auto" w:sz="4" w:space="0"/>
              <w:right w:val="single" w:color="auto" w:sz="4" w:space="0"/>
            </w:tcBorders>
            <w:noWrap w:val="0"/>
            <w:vAlign w:val="center"/>
          </w:tcPr>
          <w:p w14:paraId="0ACE4BD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E9F737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草坪灯</w:t>
            </w:r>
          </w:p>
        </w:tc>
        <w:tc>
          <w:tcPr>
            <w:tcW w:w="4188" w:type="dxa"/>
            <w:tcBorders>
              <w:top w:val="single" w:color="auto" w:sz="4" w:space="0"/>
              <w:left w:val="single" w:color="auto" w:sz="4" w:space="0"/>
              <w:bottom w:val="single" w:color="auto" w:sz="4" w:space="0"/>
              <w:right w:val="single" w:color="auto" w:sz="4" w:space="0"/>
            </w:tcBorders>
            <w:noWrap w:val="0"/>
            <w:vAlign w:val="center"/>
          </w:tcPr>
          <w:p w14:paraId="5E805F4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每日清扫一次；</w:t>
            </w:r>
          </w:p>
          <w:p w14:paraId="3F1DED0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每周全面清扫一次。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1B3AD3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明亮、洁净、无污渍、无水渍</w:t>
            </w:r>
            <w:r>
              <w:rPr>
                <w:rFonts w:hint="eastAsia" w:ascii="华文仿宋" w:hAnsi="华文仿宋" w:eastAsia="华文仿宋" w:cs="华文仿宋"/>
                <w:color w:val="auto"/>
                <w:spacing w:val="0"/>
                <w:w w:val="100"/>
                <w:sz w:val="24"/>
                <w:szCs w:val="24"/>
                <w:lang w:eastAsia="zh-CN"/>
              </w:rPr>
              <w:t>、</w:t>
            </w:r>
            <w:r>
              <w:rPr>
                <w:rFonts w:hint="eastAsia" w:ascii="华文仿宋" w:hAnsi="华文仿宋" w:eastAsia="华文仿宋" w:cs="华文仿宋"/>
                <w:color w:val="auto"/>
                <w:spacing w:val="0"/>
                <w:w w:val="100"/>
                <w:sz w:val="24"/>
                <w:szCs w:val="24"/>
              </w:rPr>
              <w:t>无胶渍</w:t>
            </w:r>
          </w:p>
        </w:tc>
      </w:tr>
    </w:tbl>
    <w:p w14:paraId="61B6E24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6" w:firstLineChars="200"/>
        <w:jc w:val="left"/>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lang w:val="en-US" w:eastAsia="zh-CN"/>
        </w:rPr>
        <w:t>5.</w:t>
      </w:r>
      <w:r>
        <w:rPr>
          <w:rFonts w:hint="eastAsia" w:ascii="华文仿宋" w:hAnsi="华文仿宋" w:eastAsia="华文仿宋" w:cs="华文仿宋"/>
          <w:b/>
          <w:bCs/>
          <w:color w:val="auto"/>
          <w:spacing w:val="0"/>
          <w:w w:val="100"/>
          <w:sz w:val="28"/>
          <w:szCs w:val="28"/>
        </w:rPr>
        <w:t>专项保洁服务</w:t>
      </w:r>
    </w:p>
    <w:p w14:paraId="5BD3323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日常保洁服务属于基础性的清洁工作，专项保洁服务周期性清洗、清掏、养护的保洁服务内容；专项保洁更多体现的是专业保养技术含量高、整体性清洗工期长、借助专业设备且对风险防范控制较强的专业服务系列。</w:t>
      </w: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9"/>
        <w:gridCol w:w="7095"/>
      </w:tblGrid>
      <w:tr w14:paraId="550A3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189" w:type="dxa"/>
            <w:noWrap w:val="0"/>
            <w:vAlign w:val="center"/>
          </w:tcPr>
          <w:p w14:paraId="21844B9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项目</w:t>
            </w:r>
          </w:p>
        </w:tc>
        <w:tc>
          <w:tcPr>
            <w:tcW w:w="7095" w:type="dxa"/>
            <w:noWrap w:val="0"/>
            <w:vAlign w:val="center"/>
          </w:tcPr>
          <w:p w14:paraId="0E97DED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9"/>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管理措施</w:t>
            </w:r>
          </w:p>
        </w:tc>
      </w:tr>
      <w:tr w14:paraId="4E25D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1" w:hRule="atLeast"/>
        </w:trPr>
        <w:tc>
          <w:tcPr>
            <w:tcW w:w="1189" w:type="dxa"/>
            <w:noWrap w:val="0"/>
            <w:vAlign w:val="top"/>
          </w:tcPr>
          <w:p w14:paraId="32EA6B6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3F713F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C292EB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E30995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生活垃</w:t>
            </w:r>
          </w:p>
          <w:p w14:paraId="55821CB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圾清运</w:t>
            </w:r>
          </w:p>
        </w:tc>
        <w:tc>
          <w:tcPr>
            <w:tcW w:w="7095" w:type="dxa"/>
            <w:noWrap w:val="0"/>
            <w:vAlign w:val="top"/>
          </w:tcPr>
          <w:p w14:paraId="7CF3DED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1. 无乱堆乱放生活垃圾、垃圾必需装袋、无垃圾袋破损；</w:t>
            </w:r>
          </w:p>
          <w:p w14:paraId="1B1AAA9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2. 按规定时间清运垃圾（避免人流高峰期及产生噪音），垃圾无遗漏及扬撒、无漏水、无异味；垃圾车车身干净、无漏水、无异味；清运完确保电梯空气无异味，同时锁好垃圾房门。</w:t>
            </w:r>
          </w:p>
          <w:p w14:paraId="6B38312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3. 禁止使用客梯清运，每日清运至少 1 次，随时清理，日产日清。每日对垃圾车进行清洗及消毒，每周对垃圾房冲刷及消毒。</w:t>
            </w:r>
          </w:p>
        </w:tc>
      </w:tr>
      <w:tr w14:paraId="1E591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6" w:hRule="atLeast"/>
        </w:trPr>
        <w:tc>
          <w:tcPr>
            <w:tcW w:w="1189" w:type="dxa"/>
            <w:noWrap w:val="0"/>
            <w:vAlign w:val="top"/>
          </w:tcPr>
          <w:p w14:paraId="53AF6C4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6"/>
              <w:jc w:val="left"/>
              <w:textAlignment w:val="baseline"/>
              <w:rPr>
                <w:rFonts w:hint="eastAsia" w:ascii="华文仿宋" w:hAnsi="华文仿宋" w:eastAsia="华文仿宋" w:cs="华文仿宋"/>
                <w:color w:val="auto"/>
                <w:spacing w:val="0"/>
                <w:w w:val="100"/>
                <w:position w:val="24"/>
                <w:sz w:val="24"/>
                <w:szCs w:val="24"/>
              </w:rPr>
            </w:pPr>
          </w:p>
          <w:p w14:paraId="080FD0E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6"/>
              <w:jc w:val="left"/>
              <w:textAlignment w:val="baseline"/>
              <w:rPr>
                <w:rFonts w:hint="eastAsia" w:ascii="华文仿宋" w:hAnsi="华文仿宋" w:eastAsia="华文仿宋" w:cs="华文仿宋"/>
                <w:color w:val="auto"/>
                <w:spacing w:val="0"/>
                <w:w w:val="100"/>
                <w:position w:val="24"/>
                <w:sz w:val="24"/>
                <w:szCs w:val="24"/>
              </w:rPr>
            </w:pPr>
          </w:p>
          <w:p w14:paraId="51C4716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6"/>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24"/>
                <w:sz w:val="24"/>
                <w:szCs w:val="24"/>
              </w:rPr>
              <w:t>固体废弃物收集</w:t>
            </w:r>
          </w:p>
        </w:tc>
        <w:tc>
          <w:tcPr>
            <w:tcW w:w="7095" w:type="dxa"/>
            <w:noWrap w:val="0"/>
            <w:vAlign w:val="top"/>
          </w:tcPr>
          <w:p w14:paraId="58BDBE66">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1. 物业服务区域内，应按可回收和不可回收进行分类标识设置固体废弃物收集装置，设置有害垃圾存放室应张贴相应标识；</w:t>
            </w:r>
          </w:p>
          <w:p w14:paraId="3055B38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2. 不可回收利用的废弃物集中收集并堆放在垃圾房内；可回收废弃物集中收集后统一送废品回收机构；</w:t>
            </w:r>
          </w:p>
          <w:p w14:paraId="19BCDFB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3. 无乱堆乱放有害废弃物情况；</w:t>
            </w:r>
          </w:p>
          <w:p w14:paraId="0934AAB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4. 建立《有害废弃物出入库记录》台帐，每次收集有害废弃物进行记录。</w:t>
            </w:r>
          </w:p>
        </w:tc>
      </w:tr>
      <w:tr w14:paraId="37341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189" w:type="dxa"/>
            <w:noWrap w:val="0"/>
            <w:vAlign w:val="top"/>
          </w:tcPr>
          <w:p w14:paraId="3C5B8F6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6F7A69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1B362D4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601F61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石材养护</w:t>
            </w:r>
          </w:p>
        </w:tc>
        <w:tc>
          <w:tcPr>
            <w:tcW w:w="7095" w:type="dxa"/>
            <w:noWrap w:val="0"/>
            <w:vAlign w:val="top"/>
          </w:tcPr>
          <w:p w14:paraId="2B97B9A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1. 表面无污渍、无泥沙、无水渍、无油渍、无胶溃；</w:t>
            </w:r>
          </w:p>
          <w:p w14:paraId="4569292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2. 表面护理均匀、无明显凹凸、表面亮度清晰成影；</w:t>
            </w:r>
          </w:p>
          <w:p w14:paraId="11A58D3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3. 大堂出入口石材及轿厢石材每天养护一次，其他石材每周养护一次，每季度晶面处理一次；</w:t>
            </w:r>
          </w:p>
          <w:p w14:paraId="75C85BC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4. 安排于非下班时间，避免对办公单位的干扰。</w:t>
            </w:r>
          </w:p>
        </w:tc>
      </w:tr>
      <w:tr w14:paraId="234E6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9" w:type="dxa"/>
            <w:noWrap w:val="0"/>
            <w:vAlign w:val="top"/>
          </w:tcPr>
          <w:p w14:paraId="4C7D89E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9B74FB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1DA862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828561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154B2AB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0C210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D2D5B0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88842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2B75A0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CC9021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外墙清洗</w:t>
            </w:r>
          </w:p>
        </w:tc>
        <w:tc>
          <w:tcPr>
            <w:tcW w:w="7095" w:type="dxa"/>
            <w:noWrap w:val="0"/>
            <w:vAlign w:val="top"/>
          </w:tcPr>
          <w:p w14:paraId="5FA49EB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1. 清洗前提前一天张贴温馨提示，提请项目单位职员“切勿恐慌 ”；</w:t>
            </w:r>
          </w:p>
          <w:p w14:paraId="1B520A8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2. 留意天气变化，禁止气候条件不宜时高空作业，如下雨、下雪、 有雾、能见度差以及高温（35℃以上）和低温（0℃以下）时不宜高空作业，风力 4 级以上时应禁止高空作业；</w:t>
            </w:r>
          </w:p>
          <w:p w14:paraId="567F290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3. 清洗前：对外墙表面情况进行查看，以便清洗后进行效果对比； 作业人员需达到 18 周岁且持有效力的《高空作业上岗证》、办理工伤 意外保险，作业前禁止饮酒；作业人员确保防护措施的配备，确保外墙清洗设备处于良好的工作状态；</w:t>
            </w:r>
          </w:p>
          <w:p w14:paraId="531C2AF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4. 作业期间：需有专人进行监护；使用符合国家质量要求的清洗药品、药物；作业区地面设置遮栏或隔离带，并在 5 米处的人行路设置温馨告示牌，地面绿植、石材进行遮盖防护；</w:t>
            </w:r>
          </w:p>
          <w:p w14:paraId="3D90711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zh-CN" w:bidi="ar-SA"/>
              </w:rPr>
              <w:t>5. 清洗后：进行效果检验，如釆用抽查、远处目视等方式对效果进行检验，外墙（多种材料，玻璃幕墙、大理石等）表面光亮、干净；清洗后效果明显；清洗过后提交清洗报告。</w:t>
            </w:r>
          </w:p>
        </w:tc>
      </w:tr>
    </w:tbl>
    <w:p w14:paraId="281D4235">
      <w:pPr>
        <w:keepNext w:val="0"/>
        <w:keepLines w:val="0"/>
        <w:pageBreakBefore w:val="0"/>
        <w:widowControl/>
        <w:numPr>
          <w:ilvl w:val="0"/>
          <w:numId w:val="0"/>
        </w:numPr>
        <w:kinsoku/>
        <w:wordWrap/>
        <w:overflowPunct/>
        <w:topLinePunct/>
        <w:autoSpaceDE/>
        <w:autoSpaceDN/>
        <w:bidi w:val="0"/>
        <w:adjustRightInd w:val="0"/>
        <w:snapToGrid w:val="0"/>
        <w:spacing w:line="500" w:lineRule="exact"/>
        <w:ind w:leftChars="200" w:right="75" w:rightChars="0"/>
        <w:jc w:val="left"/>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lang w:val="en-US" w:eastAsia="zh-CN"/>
        </w:rPr>
        <w:t>6.</w:t>
      </w:r>
      <w:r>
        <w:rPr>
          <w:rFonts w:hint="eastAsia" w:ascii="华文仿宋" w:hAnsi="华文仿宋" w:eastAsia="华文仿宋" w:cs="华文仿宋"/>
          <w:b/>
          <w:bCs/>
          <w:color w:val="auto"/>
          <w:spacing w:val="0"/>
          <w:w w:val="100"/>
          <w:sz w:val="28"/>
          <w:szCs w:val="28"/>
        </w:rPr>
        <w:t>其他保洁服务</w:t>
      </w:r>
    </w:p>
    <w:tbl>
      <w:tblPr>
        <w:tblStyle w:val="38"/>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49"/>
        <w:gridCol w:w="7045"/>
      </w:tblGrid>
      <w:tr w14:paraId="42603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1249" w:type="dxa"/>
            <w:noWrap w:val="0"/>
            <w:vAlign w:val="center"/>
          </w:tcPr>
          <w:p w14:paraId="7FE29397">
            <w:pPr>
              <w:pStyle w:val="37"/>
              <w:keepNext w:val="0"/>
              <w:keepLines w:val="0"/>
              <w:pageBreakBefore w:val="0"/>
              <w:widowControl/>
              <w:kinsoku/>
              <w:wordWrap/>
              <w:overflowPunct/>
              <w:topLinePunct/>
              <w:autoSpaceDE/>
              <w:autoSpaceDN/>
              <w:bidi w:val="0"/>
              <w:adjustRightInd w:val="0"/>
              <w:snapToGrid w:val="0"/>
              <w:spacing w:line="240" w:lineRule="auto"/>
              <w:jc w:val="center"/>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项目</w:t>
            </w:r>
          </w:p>
        </w:tc>
        <w:tc>
          <w:tcPr>
            <w:tcW w:w="7045" w:type="dxa"/>
            <w:noWrap w:val="0"/>
            <w:vAlign w:val="center"/>
          </w:tcPr>
          <w:p w14:paraId="75D89EEE">
            <w:pPr>
              <w:keepNext w:val="0"/>
              <w:keepLines w:val="0"/>
              <w:pageBreakBefore w:val="0"/>
              <w:widowControl/>
              <w:kinsoku/>
              <w:wordWrap/>
              <w:overflowPunct/>
              <w:topLinePunct/>
              <w:autoSpaceDE/>
              <w:autoSpaceDN/>
              <w:bidi w:val="0"/>
              <w:adjustRightInd w:val="0"/>
              <w:snapToGrid w:val="0"/>
              <w:spacing w:line="500" w:lineRule="exact"/>
              <w:ind w:right="75" w:firstLine="2673" w:firstLineChars="1100"/>
              <w:jc w:val="both"/>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管理措施</w:t>
            </w:r>
          </w:p>
        </w:tc>
      </w:tr>
      <w:tr w14:paraId="6F406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6" w:hRule="atLeast"/>
        </w:trPr>
        <w:tc>
          <w:tcPr>
            <w:tcW w:w="1249" w:type="dxa"/>
            <w:noWrap w:val="0"/>
            <w:vAlign w:val="top"/>
          </w:tcPr>
          <w:p w14:paraId="2BA246D6">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p>
          <w:p w14:paraId="66285BC6">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p>
          <w:p w14:paraId="5794061A">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办公垃圾收集和清运</w:t>
            </w:r>
          </w:p>
        </w:tc>
        <w:tc>
          <w:tcPr>
            <w:tcW w:w="7045" w:type="dxa"/>
            <w:noWrap w:val="0"/>
            <w:vAlign w:val="top"/>
          </w:tcPr>
          <w:p w14:paraId="3C2D3A40">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 严格执行垃圾分类的有关要求，做好垃圾分类投放、收集和清运、处置工作；</w:t>
            </w:r>
          </w:p>
          <w:p w14:paraId="06436D8F">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 无乱堆乱放办公垃圾、垃圾必需装袋、无垃圾袋破损；</w:t>
            </w:r>
          </w:p>
          <w:p w14:paraId="58513EBE">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 按规定时间清运垃圾（避免人流高峰期及产生噪音），垃圾无遗漏及扬撒、无漏水、无异味；</w:t>
            </w:r>
          </w:p>
        </w:tc>
      </w:tr>
      <w:tr w14:paraId="2EB8A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1249" w:type="dxa"/>
            <w:noWrap w:val="0"/>
            <w:vAlign w:val="top"/>
          </w:tcPr>
          <w:p w14:paraId="2CC0A2B8">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1楼大厅石材养护</w:t>
            </w:r>
          </w:p>
        </w:tc>
        <w:tc>
          <w:tcPr>
            <w:tcW w:w="7045" w:type="dxa"/>
            <w:noWrap w:val="0"/>
            <w:vAlign w:val="top"/>
          </w:tcPr>
          <w:p w14:paraId="49A03BEF">
            <w:pPr>
              <w:pStyle w:val="37"/>
              <w:keepNext w:val="0"/>
              <w:keepLines w:val="0"/>
              <w:pageBreakBefore w:val="0"/>
              <w:widowControl/>
              <w:kinsoku/>
              <w:wordWrap/>
              <w:overflowPunct/>
              <w:topLinePunct/>
              <w:autoSpaceDE/>
              <w:autoSpaceDN/>
              <w:bidi w:val="0"/>
              <w:adjustRightInd w:val="0"/>
              <w:snapToGrid w:val="0"/>
              <w:spacing w:line="240" w:lineRule="auto"/>
              <w:jc w:val="left"/>
              <w:textAlignment w:val="auto"/>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每年对 1 楼大厅石材养护 1 次</w:t>
            </w:r>
            <w:r>
              <w:rPr>
                <w:rFonts w:hint="eastAsia" w:ascii="华文仿宋" w:hAnsi="华文仿宋" w:eastAsia="华文仿宋" w:cs="华文仿宋"/>
                <w:color w:val="auto"/>
                <w:spacing w:val="0"/>
                <w:w w:val="100"/>
                <w:sz w:val="24"/>
                <w:szCs w:val="24"/>
                <w:lang w:val="en-US" w:eastAsia="zh-CN"/>
              </w:rPr>
              <w:t>,</w:t>
            </w:r>
            <w:r>
              <w:rPr>
                <w:rFonts w:hint="eastAsia" w:ascii="华文仿宋" w:hAnsi="华文仿宋" w:eastAsia="华文仿宋" w:cs="华文仿宋"/>
                <w:color w:val="auto"/>
                <w:spacing w:val="0"/>
                <w:w w:val="100"/>
                <w:sz w:val="24"/>
                <w:szCs w:val="24"/>
              </w:rPr>
              <w:t>安排下班时间</w:t>
            </w:r>
            <w:r>
              <w:rPr>
                <w:rFonts w:hint="eastAsia" w:ascii="华文仿宋" w:hAnsi="华文仿宋" w:eastAsia="华文仿宋" w:cs="华文仿宋"/>
                <w:color w:val="auto"/>
                <w:spacing w:val="0"/>
                <w:w w:val="100"/>
                <w:sz w:val="24"/>
                <w:szCs w:val="24"/>
                <w:lang w:eastAsia="zh-CN"/>
              </w:rPr>
              <w:t>施工</w:t>
            </w:r>
            <w:r>
              <w:rPr>
                <w:rFonts w:hint="eastAsia" w:ascii="华文仿宋" w:hAnsi="华文仿宋" w:eastAsia="华文仿宋" w:cs="华文仿宋"/>
                <w:color w:val="auto"/>
                <w:spacing w:val="0"/>
                <w:w w:val="100"/>
                <w:sz w:val="24"/>
                <w:szCs w:val="24"/>
              </w:rPr>
              <w:t>，避免影响单位的正常办公。</w:t>
            </w:r>
          </w:p>
        </w:tc>
      </w:tr>
    </w:tbl>
    <w:p w14:paraId="241B0C1A">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7.垃圾清理</w:t>
      </w:r>
    </w:p>
    <w:p w14:paraId="0D99D02B">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（1）服务内容：严格执行中、省、市垃圾分类的有关要求，做好垃圾分类工作的宣传，推进习惯养成；建立垃圾分类投放、分类收集、分类运输、分类处置相关制度并组织实施。</w:t>
      </w:r>
    </w:p>
    <w:p w14:paraId="0678AC82">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（2）服务标准：</w:t>
      </w:r>
    </w:p>
    <w:p w14:paraId="4CACCB68">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①分类标准</w:t>
      </w:r>
    </w:p>
    <w:p w14:paraId="28222F38">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有害垃圾主要品种包括：废电池（镉镍电池、氧化汞电池、铅蓄电池等），废荧光灯管（日光灯管、节能灯等），废温度计，废血压计，废药品及其包装物，废油漆、溶剂及其包装物等；可回收物主要品种包括：废弃电器电子类产品（废弃计算机、打印机、复印机、传真 机、扫描仪、投影仪、电视机、空调机等）和其他可回收物（公开发行的废旧报刊书籍，废塑料，废包装物，废旧纺织物，废金属，废玻璃等）；其他垃圾主要品种包括：卫生纸、餐巾纸、烟头、果皮果壳等不可回收垃圾。</w:t>
      </w:r>
    </w:p>
    <w:p w14:paraId="1264EDF4">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②投放要求</w:t>
      </w:r>
    </w:p>
    <w:p w14:paraId="1D16CF5D">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其他垃圾：日常办公生活产生的茶叶渣倒入卫生间的专用茶叶渣收集容器；日常产生的其他垃圾分别投放至卫生间垃圾桶内。</w:t>
      </w:r>
    </w:p>
    <w:p w14:paraId="6527965D">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可回收物：废弃纸张（文件等）、报纸每月的15日</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30日（如遇节假日顺延）由物业公司保洁员统一上门收集。确保可回收物干燥。</w:t>
      </w:r>
    </w:p>
    <w:p w14:paraId="2C30782F">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有害垃圾：每月的最后一个工作日由保洁员统一上门收集。</w:t>
      </w:r>
    </w:p>
    <w:p w14:paraId="4E45BB5E">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③清理标准</w:t>
      </w:r>
    </w:p>
    <w:p w14:paraId="719F7F4B">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严格执行垃圾分类有关规定，做好垃圾清运和处置工作，做到服务范围内产生的垃圾日产日清和规范投放、规范收集、规范运输、规范处置，无乱倒垃圾现象，办公区域内无遗漏及扬撒、无漏水、无异味。</w:t>
      </w:r>
    </w:p>
    <w:p w14:paraId="1A87C209">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④消杀管理工作</w:t>
      </w:r>
    </w:p>
    <w:p w14:paraId="4F17E2CF">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严格执行全国爱卫会、卫生部《病媒生物预防控制管理规定》、（全爱卫（2009）9 号）</w:t>
      </w:r>
      <w:r>
        <w:rPr>
          <w:rFonts w:hint="eastAsia" w:ascii="华文仿宋" w:hAnsi="华文仿宋" w:eastAsia="华文仿宋" w:cs="华文仿宋"/>
          <w:color w:val="auto"/>
          <w:spacing w:val="0"/>
          <w:w w:val="100"/>
          <w:kern w:val="0"/>
          <w:sz w:val="28"/>
          <w:szCs w:val="28"/>
          <w:lang w:eastAsia="zh-CN"/>
        </w:rPr>
        <w:t>、</w:t>
      </w:r>
      <w:r>
        <w:rPr>
          <w:rFonts w:hint="eastAsia" w:ascii="华文仿宋" w:hAnsi="华文仿宋" w:eastAsia="华文仿宋" w:cs="华文仿宋"/>
          <w:color w:val="auto"/>
          <w:spacing w:val="0"/>
          <w:w w:val="100"/>
          <w:kern w:val="0"/>
          <w:sz w:val="28"/>
          <w:szCs w:val="28"/>
        </w:rPr>
        <w:t>《全国灭鼠、蚊、蝇、蟑螂标准》、《国家卫生城市标准》、《全国病媒生物监测方案》、《陕西省爱国卫生条例》的有关规定和要求，通过科学有效的方式正确、准确识别有害生物，按照害虫生活繁殖规律，提供不同功能区域不同消杀方案的计划，做到消杀、防治齐下手，把虫害发生率降低为零。给为民服务中心办公客户提供一个“安全 ”、“舒适 ”、“温馨 ”的综合环境。</w:t>
      </w:r>
    </w:p>
    <w:p w14:paraId="4954F850">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灭蚊、蝇、蟑螂工作，每年的4—11月份中，每周进行一次消杀，其他月份按照有关部门要求进行消杀。消杀区域</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（各楼梯口、梯间；楼宇周围；公厕、沟渠、化粪池、垃圾箱及周边公共区域。消杀药物：消杀药物一般用灭害灵、敌百虫类喷洒剂等有关部门规定的药剂。</w:t>
      </w:r>
    </w:p>
    <w:p w14:paraId="1D7FAB92">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消杀方式及注意事项：①喷洒时须穿戴好防护衣帽；②按要求将药物稀释注入喷雾器里；③楼梯间喷洒不得喷在楼梯扶手及</w:t>
      </w:r>
      <w:r>
        <w:rPr>
          <w:rFonts w:hint="eastAsia" w:ascii="华文仿宋" w:hAnsi="华文仿宋" w:eastAsia="华文仿宋" w:cs="华文仿宋"/>
          <w:color w:val="auto"/>
          <w:spacing w:val="0"/>
          <w:w w:val="100"/>
          <w:sz w:val="28"/>
          <w:szCs w:val="28"/>
          <w:lang w:eastAsia="zh-CN"/>
        </w:rPr>
        <w:t>甲方</w:t>
      </w:r>
      <w:r>
        <w:rPr>
          <w:rFonts w:hint="eastAsia" w:ascii="华文仿宋" w:hAnsi="华文仿宋" w:eastAsia="华文仿宋" w:cs="华文仿宋"/>
          <w:color w:val="auto"/>
          <w:spacing w:val="0"/>
          <w:w w:val="100"/>
          <w:sz w:val="28"/>
          <w:szCs w:val="28"/>
        </w:rPr>
        <w:t>户门上；④消杀药品严禁使用全国爱卫会禁用对人体有害和生活环境有污染的消杀药品；⑤喷洒时要避开人流高峰期，办公区应在下班后喷洒。</w:t>
      </w:r>
    </w:p>
    <w:p w14:paraId="53E40076">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灭鼠工作，每月进行两次（具体按实际情况而定）；灭鼠区域：地下车库、设备房、机关餐厅、绿化带及常有老鼠出没的区域；灭鼠方法：主要采用毒饵和粘鼠板灭鼠等有关部门规定的物品灭鼠。</w:t>
      </w:r>
    </w:p>
    <w:p w14:paraId="38BD2B91">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投放毒饵注意事项：①毒饵尽量放在隐蔽的角落，小孩碰不到的区域；②放置有毒字样的警示牌；③严禁随意撒放；④一周后撤回饵料，清理死鼠并做好相关记录；⑤消杀完毕后将器具统一清洗保管。</w:t>
      </w:r>
    </w:p>
    <w:p w14:paraId="45DD706D">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left"/>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pacing w:val="0"/>
          <w:w w:val="100"/>
          <w:sz w:val="28"/>
          <w:szCs w:val="28"/>
        </w:rPr>
        <w:t>消毒管理：①公共区域室内空气消毒，定期对室内公共区域空间用消毒液喷洒或喷雾，作用 30 分钟；②电梯厅、楼梯间物体表面消毒，定期对公共区域墙面、吊顶、门窗（把手）、公区地面、绿植以及下水道 、垃圾桶等用消毒液擦拭或喷洒或喷雾，作用30分钟</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③定期对水池、下水道、水箱用消毒液冲洗，停留30分钟，用流动水冲净；④垃圾设置点及垃圾分类装置的消毒，定期对项目垃圾堆放点及各公共区域设置的垃圾装置等用消毒液擦拭或喷洒或喷雾，作用30分钟。</w:t>
      </w:r>
    </w:p>
    <w:p w14:paraId="26605AA9">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8.绿化养护工作</w:t>
      </w:r>
    </w:p>
    <w:p w14:paraId="16DD21A5">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（1）绿化管理方式</w:t>
      </w:r>
    </w:p>
    <w:p w14:paraId="5801BFD4">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室内摆放植物养护及时，植物形态、大小、位置等与环境相协调；</w:t>
      </w:r>
    </w:p>
    <w:p w14:paraId="1612A3A2">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（2）根据植物特性科学安排养护计划，保证植物生长健壮、茂盛, 充满生机；</w:t>
      </w:r>
    </w:p>
    <w:p w14:paraId="21588D07">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kern w:val="0"/>
          <w:sz w:val="28"/>
          <w:szCs w:val="28"/>
        </w:rPr>
      </w:pPr>
      <w:r>
        <w:rPr>
          <w:rFonts w:hint="eastAsia" w:ascii="华文仿宋" w:hAnsi="华文仿宋" w:eastAsia="华文仿宋" w:cs="华文仿宋"/>
          <w:color w:val="auto"/>
          <w:spacing w:val="0"/>
          <w:w w:val="100"/>
          <w:kern w:val="0"/>
          <w:sz w:val="28"/>
          <w:szCs w:val="28"/>
        </w:rPr>
        <w:t>（3）根据植物特性科学采取养护措施，使开花植物应季开花；规范绿化作业操作过程，合理安排时段，做到安全、规范、零干扰。</w:t>
      </w:r>
    </w:p>
    <w:p w14:paraId="57EA4583">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kern w:val="0"/>
          <w:sz w:val="28"/>
          <w:szCs w:val="28"/>
        </w:rPr>
        <w:t>（4）草坪绿化整体完好无破损，出现枯死草坪及时更换</w:t>
      </w:r>
      <w:r>
        <w:rPr>
          <w:rFonts w:hint="eastAsia" w:ascii="华文仿宋" w:hAnsi="华文仿宋" w:eastAsia="华文仿宋" w:cs="华文仿宋"/>
          <w:color w:val="auto"/>
          <w:spacing w:val="0"/>
          <w:w w:val="100"/>
          <w:kern w:val="0"/>
          <w:sz w:val="28"/>
          <w:szCs w:val="28"/>
          <w:lang w:eastAsia="zh-CN"/>
        </w:rPr>
        <w:t>，</w:t>
      </w:r>
      <w:r>
        <w:rPr>
          <w:rFonts w:hint="eastAsia" w:ascii="华文仿宋" w:hAnsi="华文仿宋" w:eastAsia="华文仿宋" w:cs="华文仿宋"/>
          <w:color w:val="auto"/>
          <w:spacing w:val="0"/>
          <w:w w:val="100"/>
          <w:kern w:val="0"/>
          <w:sz w:val="28"/>
          <w:szCs w:val="28"/>
        </w:rPr>
        <w:t>坏死的树苗及时施肥或更换。</w:t>
      </w:r>
    </w:p>
    <w:tbl>
      <w:tblPr>
        <w:tblStyle w:val="38"/>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2"/>
        <w:gridCol w:w="585"/>
        <w:gridCol w:w="885"/>
        <w:gridCol w:w="1228"/>
        <w:gridCol w:w="5049"/>
      </w:tblGrid>
      <w:tr w14:paraId="58885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2032" w:type="dxa"/>
            <w:gridSpan w:val="3"/>
            <w:tcBorders>
              <w:top w:val="single" w:color="auto" w:sz="4" w:space="0"/>
              <w:left w:val="single" w:color="auto" w:sz="4" w:space="0"/>
              <w:bottom w:val="single" w:color="auto" w:sz="4" w:space="0"/>
              <w:right w:val="single" w:color="auto" w:sz="4" w:space="0"/>
            </w:tcBorders>
            <w:noWrap w:val="0"/>
            <w:vAlign w:val="top"/>
          </w:tcPr>
          <w:p w14:paraId="4174B1B1">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lang w:eastAsia="zh-CN"/>
              </w:rPr>
            </w:pPr>
            <w:r>
              <w:rPr>
                <w:rFonts w:hint="eastAsia" w:ascii="华文仿宋" w:hAnsi="华文仿宋" w:eastAsia="华文仿宋" w:cs="华文仿宋"/>
                <w:color w:val="auto"/>
                <w:spacing w:val="0"/>
                <w:w w:val="100"/>
                <w:sz w:val="24"/>
                <w:szCs w:val="24"/>
                <w:lang w:eastAsia="zh-CN"/>
              </w:rPr>
              <w:t>服务项目</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4D486E72">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center"/>
              <w:textAlignment w:val="baseline"/>
              <w:rPr>
                <w:rFonts w:hint="eastAsia" w:ascii="华文仿宋" w:hAnsi="华文仿宋" w:eastAsia="华文仿宋" w:cs="华文仿宋"/>
                <w:color w:val="auto"/>
                <w:spacing w:val="0"/>
                <w:w w:val="100"/>
                <w:sz w:val="24"/>
                <w:szCs w:val="24"/>
                <w:lang w:val="en-US" w:eastAsia="zh-CN"/>
              </w:rPr>
            </w:pPr>
            <w:r>
              <w:rPr>
                <w:rFonts w:hint="eastAsia" w:ascii="华文仿宋" w:hAnsi="华文仿宋" w:eastAsia="华文仿宋" w:cs="华文仿宋"/>
                <w:color w:val="auto"/>
                <w:spacing w:val="0"/>
                <w:w w:val="100"/>
                <w:sz w:val="24"/>
                <w:szCs w:val="24"/>
                <w:lang w:val="en-US" w:eastAsia="zh-CN"/>
              </w:rPr>
              <w:t>频次</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5562BBB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lang w:val="en-US" w:eastAsia="zh-CN"/>
              </w:rPr>
            </w:pPr>
            <w:r>
              <w:rPr>
                <w:rFonts w:hint="eastAsia" w:ascii="华文仿宋" w:hAnsi="华文仿宋" w:eastAsia="华文仿宋" w:cs="华文仿宋"/>
                <w:color w:val="auto"/>
                <w:spacing w:val="0"/>
                <w:w w:val="100"/>
                <w:sz w:val="24"/>
                <w:szCs w:val="24"/>
                <w:lang w:eastAsia="zh-CN"/>
              </w:rPr>
              <w:t>标准</w:t>
            </w:r>
            <w:r>
              <w:rPr>
                <w:rFonts w:hint="eastAsia" w:ascii="华文仿宋" w:hAnsi="华文仿宋" w:eastAsia="华文仿宋" w:cs="华文仿宋"/>
                <w:color w:val="auto"/>
                <w:spacing w:val="0"/>
                <w:w w:val="100"/>
                <w:sz w:val="24"/>
                <w:szCs w:val="24"/>
                <w:lang w:val="en-US" w:eastAsia="zh-CN"/>
              </w:rPr>
              <w:t>/年</w:t>
            </w:r>
          </w:p>
        </w:tc>
      </w:tr>
      <w:tr w14:paraId="00ABE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2032" w:type="dxa"/>
            <w:gridSpan w:val="3"/>
            <w:tcBorders>
              <w:top w:val="single" w:color="auto" w:sz="4" w:space="0"/>
              <w:left w:val="single" w:color="auto" w:sz="4" w:space="0"/>
              <w:bottom w:val="single" w:color="auto" w:sz="4" w:space="0"/>
              <w:right w:val="single" w:color="auto" w:sz="4" w:space="0"/>
            </w:tcBorders>
            <w:noWrap w:val="0"/>
            <w:vAlign w:val="center"/>
          </w:tcPr>
          <w:p w14:paraId="74A46004">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林木绿化养护</w:t>
            </w:r>
            <w:r>
              <w:rPr>
                <w:rFonts w:hint="eastAsia" w:ascii="华文仿宋" w:hAnsi="华文仿宋" w:eastAsia="华文仿宋" w:cs="华文仿宋"/>
                <w:color w:val="auto"/>
                <w:spacing w:val="0"/>
                <w:w w:val="100"/>
                <w:sz w:val="24"/>
                <w:szCs w:val="24"/>
                <w:lang w:eastAsia="zh-CN"/>
              </w:rPr>
              <w:t>、</w:t>
            </w:r>
            <w:r>
              <w:rPr>
                <w:rFonts w:hint="eastAsia" w:ascii="华文仿宋" w:hAnsi="华文仿宋" w:eastAsia="华文仿宋" w:cs="华文仿宋"/>
                <w:color w:val="auto"/>
                <w:spacing w:val="0"/>
                <w:w w:val="100"/>
                <w:sz w:val="24"/>
                <w:szCs w:val="24"/>
              </w:rPr>
              <w:t>树冠生长状态检查</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3BF38496">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lang w:val="en-US" w:eastAsia="zh-CN"/>
              </w:rPr>
            </w:pPr>
          </w:p>
          <w:p w14:paraId="4A72CEE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lang w:val="en-US" w:eastAsia="zh-CN"/>
              </w:rPr>
            </w:pPr>
            <w:r>
              <w:rPr>
                <w:rFonts w:hint="eastAsia" w:ascii="华文仿宋" w:hAnsi="华文仿宋" w:eastAsia="华文仿宋" w:cs="华文仿宋"/>
                <w:color w:val="auto"/>
                <w:spacing w:val="0"/>
                <w:w w:val="100"/>
                <w:sz w:val="24"/>
                <w:szCs w:val="24"/>
                <w:lang w:val="en-US" w:eastAsia="zh-CN"/>
              </w:rPr>
              <w:t>1次</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0BD9AC86">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树冠无棉线枯枝枯叶；</w:t>
            </w:r>
            <w:r>
              <w:rPr>
                <w:rFonts w:hint="eastAsia" w:ascii="华文仿宋" w:hAnsi="华文仿宋" w:eastAsia="华文仿宋" w:cs="华文仿宋"/>
                <w:color w:val="auto"/>
                <w:spacing w:val="0"/>
                <w:w w:val="100"/>
                <w:sz w:val="24"/>
                <w:szCs w:val="24"/>
                <w:highlight w:val="none"/>
                <w:lang w:val="en-US" w:eastAsia="zh-CN"/>
              </w:rPr>
              <w:t>树枝</w:t>
            </w:r>
            <w:r>
              <w:rPr>
                <w:rFonts w:hint="eastAsia" w:ascii="华文仿宋" w:hAnsi="华文仿宋" w:eastAsia="华文仿宋" w:cs="华文仿宋"/>
                <w:color w:val="auto"/>
                <w:spacing w:val="0"/>
                <w:w w:val="100"/>
                <w:sz w:val="24"/>
                <w:szCs w:val="24"/>
                <w:highlight w:val="none"/>
              </w:rPr>
              <w:t>不</w:t>
            </w:r>
            <w:r>
              <w:rPr>
                <w:rFonts w:hint="eastAsia" w:ascii="华文仿宋" w:hAnsi="华文仿宋" w:eastAsia="华文仿宋" w:cs="华文仿宋"/>
                <w:color w:val="auto"/>
                <w:spacing w:val="0"/>
                <w:w w:val="100"/>
                <w:sz w:val="24"/>
                <w:szCs w:val="24"/>
              </w:rPr>
              <w:t>触及建筑物窗户、阳台或影响车辆、行人；</w:t>
            </w:r>
          </w:p>
          <w:p w14:paraId="3FBDA581">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无明显病虫枝、</w:t>
            </w:r>
            <w:r>
              <w:rPr>
                <w:rFonts w:hint="eastAsia" w:ascii="华文仿宋" w:hAnsi="华文仿宋" w:eastAsia="华文仿宋" w:cs="华文仿宋"/>
                <w:color w:val="auto"/>
                <w:spacing w:val="0"/>
                <w:w w:val="100"/>
                <w:sz w:val="24"/>
                <w:szCs w:val="24"/>
                <w:highlight w:val="none"/>
                <w:lang w:val="en-US" w:eastAsia="zh-CN"/>
              </w:rPr>
              <w:t>枝条</w:t>
            </w:r>
            <w:r>
              <w:rPr>
                <w:rFonts w:hint="eastAsia" w:ascii="华文仿宋" w:hAnsi="华文仿宋" w:eastAsia="华文仿宋" w:cs="华文仿宋"/>
                <w:color w:val="auto"/>
                <w:spacing w:val="0"/>
                <w:w w:val="100"/>
                <w:sz w:val="24"/>
                <w:szCs w:val="24"/>
                <w:highlight w:val="none"/>
              </w:rPr>
              <w:t>、</w:t>
            </w:r>
            <w:r>
              <w:rPr>
                <w:rFonts w:hint="eastAsia" w:ascii="华文仿宋" w:hAnsi="华文仿宋" w:eastAsia="华文仿宋" w:cs="华文仿宋"/>
                <w:color w:val="auto"/>
                <w:spacing w:val="0"/>
                <w:w w:val="100"/>
                <w:sz w:val="24"/>
                <w:szCs w:val="24"/>
              </w:rPr>
              <w:t>树冠匀称自认美观；</w:t>
            </w:r>
          </w:p>
        </w:tc>
      </w:tr>
      <w:tr w14:paraId="59804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2" w:type="dxa"/>
            <w:vMerge w:val="restart"/>
            <w:tcBorders>
              <w:top w:val="single" w:color="auto" w:sz="4" w:space="0"/>
              <w:left w:val="single" w:color="auto" w:sz="4" w:space="0"/>
              <w:bottom w:val="single" w:color="auto" w:sz="4" w:space="0"/>
              <w:right w:val="single" w:color="auto" w:sz="4" w:space="0"/>
            </w:tcBorders>
            <w:noWrap w:val="0"/>
            <w:vAlign w:val="top"/>
          </w:tcPr>
          <w:p w14:paraId="087142F6">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vAlign w:val="top"/>
          </w:tcPr>
          <w:p w14:paraId="65B1EB3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vMerge w:val="restart"/>
            <w:tcBorders>
              <w:top w:val="single" w:color="auto" w:sz="4" w:space="0"/>
              <w:left w:val="single" w:color="auto" w:sz="4" w:space="0"/>
              <w:bottom w:val="single" w:color="auto" w:sz="4" w:space="0"/>
              <w:right w:val="single" w:color="auto" w:sz="4" w:space="0"/>
            </w:tcBorders>
            <w:noWrap w:val="0"/>
            <w:vAlign w:val="center"/>
          </w:tcPr>
          <w:p w14:paraId="28C5AEE4">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修剪</w:t>
            </w:r>
          </w:p>
        </w:tc>
        <w:tc>
          <w:tcPr>
            <w:tcW w:w="1228" w:type="dxa"/>
            <w:vMerge w:val="restart"/>
            <w:tcBorders>
              <w:top w:val="single" w:color="auto" w:sz="4" w:space="0"/>
              <w:left w:val="single" w:color="auto" w:sz="4" w:space="0"/>
              <w:bottom w:val="single" w:color="auto" w:sz="4" w:space="0"/>
              <w:right w:val="single" w:color="auto" w:sz="4" w:space="0"/>
            </w:tcBorders>
            <w:noWrap w:val="0"/>
            <w:vAlign w:val="center"/>
          </w:tcPr>
          <w:p w14:paraId="5B1A6B60">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2次</w:t>
            </w:r>
          </w:p>
          <w:p w14:paraId="09D6F97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center"/>
              <w:textAlignment w:val="baseline"/>
              <w:rPr>
                <w:rFonts w:hint="eastAsia" w:ascii="华文仿宋" w:hAnsi="华文仿宋" w:eastAsia="华文仿宋" w:cs="华文仿宋"/>
                <w:color w:val="auto"/>
                <w:spacing w:val="0"/>
                <w:w w:val="100"/>
                <w:sz w:val="24"/>
                <w:szCs w:val="24"/>
              </w:rPr>
            </w:pPr>
          </w:p>
          <w:p w14:paraId="42E3979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center"/>
              <w:textAlignment w:val="baseline"/>
              <w:rPr>
                <w:rFonts w:hint="eastAsia" w:ascii="华文仿宋" w:hAnsi="华文仿宋" w:eastAsia="华文仿宋" w:cs="华文仿宋"/>
                <w:color w:val="auto"/>
                <w:spacing w:val="0"/>
                <w:w w:val="100"/>
                <w:sz w:val="24"/>
                <w:szCs w:val="24"/>
              </w:rPr>
            </w:pPr>
          </w:p>
          <w:p w14:paraId="727F00AA">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p>
        </w:tc>
        <w:tc>
          <w:tcPr>
            <w:tcW w:w="5049" w:type="dxa"/>
            <w:tcBorders>
              <w:top w:val="single" w:color="auto" w:sz="4" w:space="0"/>
              <w:left w:val="single" w:color="auto" w:sz="4" w:space="0"/>
              <w:bottom w:val="single" w:color="auto" w:sz="4" w:space="0"/>
              <w:right w:val="single" w:color="auto" w:sz="4" w:space="0"/>
            </w:tcBorders>
            <w:noWrap w:val="0"/>
            <w:vAlign w:val="top"/>
          </w:tcPr>
          <w:p w14:paraId="3B71CEC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树木无死株；树盘平整，无明显的杂草，</w:t>
            </w:r>
            <w:r>
              <w:rPr>
                <w:rFonts w:hint="eastAsia" w:ascii="华文仿宋" w:hAnsi="华文仿宋" w:eastAsia="华文仿宋" w:cs="华文仿宋"/>
                <w:color w:val="auto"/>
                <w:spacing w:val="0"/>
                <w:w w:val="100"/>
                <w:sz w:val="24"/>
                <w:szCs w:val="24"/>
                <w:lang w:eastAsia="zh-CN"/>
              </w:rPr>
              <w:t>树身</w:t>
            </w:r>
            <w:r>
              <w:rPr>
                <w:rFonts w:hint="eastAsia" w:ascii="华文仿宋" w:hAnsi="华文仿宋" w:eastAsia="华文仿宋" w:cs="华文仿宋"/>
                <w:color w:val="auto"/>
                <w:spacing w:val="0"/>
                <w:w w:val="100"/>
                <w:sz w:val="24"/>
                <w:szCs w:val="24"/>
              </w:rPr>
              <w:t>倾斜时及时扶正支撑。</w:t>
            </w:r>
          </w:p>
        </w:tc>
      </w:tr>
      <w:tr w14:paraId="0B64B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5"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52C69D57">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top"/>
          </w:tcPr>
          <w:p w14:paraId="6BFC6591">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vMerge w:val="continue"/>
            <w:tcBorders>
              <w:top w:val="single" w:color="auto" w:sz="4" w:space="0"/>
              <w:left w:val="single" w:color="auto" w:sz="4" w:space="0"/>
              <w:bottom w:val="single" w:color="auto" w:sz="4" w:space="0"/>
              <w:right w:val="single" w:color="auto" w:sz="4" w:space="0"/>
            </w:tcBorders>
            <w:noWrap w:val="0"/>
            <w:vAlign w:val="center"/>
          </w:tcPr>
          <w:p w14:paraId="0AD851E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center"/>
              <w:textAlignment w:val="baseline"/>
              <w:rPr>
                <w:rFonts w:hint="eastAsia" w:ascii="华文仿宋" w:hAnsi="华文仿宋" w:eastAsia="华文仿宋" w:cs="华文仿宋"/>
                <w:color w:val="auto"/>
                <w:spacing w:val="0"/>
                <w:w w:val="100"/>
                <w:sz w:val="24"/>
                <w:szCs w:val="24"/>
              </w:rPr>
            </w:pPr>
          </w:p>
        </w:tc>
        <w:tc>
          <w:tcPr>
            <w:tcW w:w="1228" w:type="dxa"/>
            <w:vMerge w:val="continue"/>
            <w:tcBorders>
              <w:top w:val="single" w:color="auto" w:sz="4" w:space="0"/>
              <w:left w:val="single" w:color="auto" w:sz="4" w:space="0"/>
              <w:bottom w:val="single" w:color="auto" w:sz="4" w:space="0"/>
              <w:right w:val="single" w:color="auto" w:sz="4" w:space="0"/>
            </w:tcBorders>
            <w:noWrap w:val="0"/>
            <w:vAlign w:val="top"/>
          </w:tcPr>
          <w:p w14:paraId="63BBB04E">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049" w:type="dxa"/>
            <w:tcBorders>
              <w:top w:val="single" w:color="auto" w:sz="4" w:space="0"/>
              <w:left w:val="single" w:color="auto" w:sz="4" w:space="0"/>
              <w:bottom w:val="single" w:color="auto" w:sz="4" w:space="0"/>
              <w:right w:val="single" w:color="auto" w:sz="4" w:space="0"/>
            </w:tcBorders>
            <w:noWrap w:val="0"/>
            <w:vAlign w:val="top"/>
          </w:tcPr>
          <w:p w14:paraId="552B962D">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及时修剪枯病枝、过长枝及树身的萌蘗枝并对树冠适当整形；属性美观自然；修剪后的</w:t>
            </w:r>
            <w:r>
              <w:rPr>
                <w:rFonts w:hint="eastAsia" w:ascii="华文仿宋" w:hAnsi="华文仿宋" w:eastAsia="华文仿宋" w:cs="华文仿宋"/>
                <w:color w:val="auto"/>
                <w:spacing w:val="0"/>
                <w:w w:val="100"/>
                <w:sz w:val="24"/>
                <w:szCs w:val="24"/>
                <w:lang w:eastAsia="zh-CN"/>
              </w:rPr>
              <w:t>枝叶</w:t>
            </w:r>
            <w:r>
              <w:rPr>
                <w:rFonts w:hint="eastAsia" w:ascii="华文仿宋" w:hAnsi="华文仿宋" w:eastAsia="华文仿宋" w:cs="华文仿宋"/>
                <w:color w:val="auto"/>
                <w:spacing w:val="0"/>
                <w:w w:val="100"/>
                <w:sz w:val="24"/>
                <w:szCs w:val="24"/>
              </w:rPr>
              <w:t>需及时清理。</w:t>
            </w:r>
          </w:p>
        </w:tc>
      </w:tr>
      <w:tr w14:paraId="080F7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5"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5F4E13D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top"/>
          </w:tcPr>
          <w:p w14:paraId="35592F0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left w:val="single" w:color="auto" w:sz="4" w:space="0"/>
              <w:bottom w:val="single" w:color="auto" w:sz="4" w:space="0"/>
              <w:right w:val="single" w:color="auto" w:sz="4" w:space="0"/>
            </w:tcBorders>
            <w:noWrap w:val="0"/>
            <w:vAlign w:val="center"/>
          </w:tcPr>
          <w:p w14:paraId="582D5679">
            <w:pPr>
              <w:pStyle w:val="41"/>
              <w:jc w:val="center"/>
              <w:rPr>
                <w:rFonts w:hint="eastAsia" w:ascii="华文仿宋" w:hAnsi="华文仿宋" w:eastAsia="华文仿宋" w:cs="华文仿宋"/>
                <w:color w:val="auto"/>
                <w:sz w:val="24"/>
                <w:szCs w:val="24"/>
              </w:rPr>
            </w:pPr>
          </w:p>
          <w:p w14:paraId="351872C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喷药</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3C1EDBE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根据现场实际情况确定</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6E33DE31">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用药配比合理，轮换用药，避免产生耐药性；</w:t>
            </w:r>
          </w:p>
          <w:p w14:paraId="2BF4F1D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病虫危害率控制在不影响环境质量下；枝叶发现病虫害，需及时喷药</w:t>
            </w:r>
            <w:r>
              <w:rPr>
                <w:rFonts w:hint="eastAsia" w:ascii="华文仿宋" w:hAnsi="华文仿宋" w:eastAsia="华文仿宋" w:cs="华文仿宋"/>
                <w:color w:val="auto"/>
                <w:spacing w:val="0"/>
                <w:w w:val="100"/>
                <w:sz w:val="24"/>
                <w:szCs w:val="24"/>
                <w:lang w:eastAsia="zh-CN"/>
              </w:rPr>
              <w:t>，</w:t>
            </w:r>
            <w:r>
              <w:rPr>
                <w:rFonts w:hint="eastAsia" w:ascii="华文仿宋" w:hAnsi="华文仿宋" w:eastAsia="华文仿宋" w:cs="华文仿宋"/>
                <w:color w:val="auto"/>
                <w:spacing w:val="0"/>
                <w:w w:val="100"/>
                <w:sz w:val="24"/>
                <w:szCs w:val="24"/>
              </w:rPr>
              <w:t>打药过程中应采取相应的安全防范措施。</w:t>
            </w:r>
          </w:p>
        </w:tc>
      </w:tr>
      <w:tr w14:paraId="416D2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4" w:hRule="atLeast"/>
        </w:trPr>
        <w:tc>
          <w:tcPr>
            <w:tcW w:w="562" w:type="dxa"/>
            <w:vMerge w:val="continue"/>
            <w:tcBorders>
              <w:top w:val="single" w:color="auto" w:sz="4" w:space="0"/>
              <w:left w:val="single" w:color="auto" w:sz="4" w:space="0"/>
              <w:bottom w:val="nil"/>
            </w:tcBorders>
            <w:noWrap w:val="0"/>
            <w:vAlign w:val="top"/>
          </w:tcPr>
          <w:p w14:paraId="1D3D3B6F">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bottom w:val="nil"/>
            </w:tcBorders>
            <w:noWrap w:val="0"/>
            <w:vAlign w:val="top"/>
          </w:tcPr>
          <w:p w14:paraId="3F23E90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tcBorders>
            <w:noWrap w:val="0"/>
            <w:vAlign w:val="center"/>
          </w:tcPr>
          <w:p w14:paraId="576D6033">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浇水</w:t>
            </w:r>
          </w:p>
        </w:tc>
        <w:tc>
          <w:tcPr>
            <w:tcW w:w="1228" w:type="dxa"/>
            <w:tcBorders>
              <w:top w:val="single" w:color="auto" w:sz="4" w:space="0"/>
            </w:tcBorders>
            <w:noWrap w:val="0"/>
            <w:vAlign w:val="top"/>
          </w:tcPr>
          <w:p w14:paraId="1013F6F0">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057866EC">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按季节、品种要求确定</w:t>
            </w:r>
          </w:p>
        </w:tc>
        <w:tc>
          <w:tcPr>
            <w:tcW w:w="5049" w:type="dxa"/>
            <w:tcBorders>
              <w:top w:val="single" w:color="auto" w:sz="4" w:space="0"/>
            </w:tcBorders>
            <w:noWrap w:val="0"/>
            <w:vAlign w:val="top"/>
          </w:tcPr>
          <w:p w14:paraId="003A2845">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淋水量要稍大于该种类该规格的蒸腾量；根据天气情况及树木的习性适当调整浇水量；针对市公安局办公区域绿化地带，利用市公安局洒水车根据具体季节气候进行浇水，浇灌时应本着浇到、浇透，同时要做到节约用水的原则。</w:t>
            </w:r>
          </w:p>
        </w:tc>
      </w:tr>
      <w:tr w14:paraId="5DB8B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6" w:hRule="atLeast"/>
        </w:trPr>
        <w:tc>
          <w:tcPr>
            <w:tcW w:w="562" w:type="dxa"/>
            <w:vMerge w:val="continue"/>
            <w:tcBorders>
              <w:top w:val="nil"/>
              <w:left w:val="single" w:color="auto" w:sz="4" w:space="0"/>
              <w:bottom w:val="single" w:color="auto" w:sz="4" w:space="0"/>
            </w:tcBorders>
            <w:noWrap w:val="0"/>
            <w:vAlign w:val="top"/>
          </w:tcPr>
          <w:p w14:paraId="3FC0FE04">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nil"/>
              <w:bottom w:val="single" w:color="auto" w:sz="4" w:space="0"/>
            </w:tcBorders>
            <w:noWrap w:val="0"/>
            <w:vAlign w:val="top"/>
          </w:tcPr>
          <w:p w14:paraId="1B5FF3B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bottom w:val="single" w:color="auto" w:sz="4" w:space="0"/>
            </w:tcBorders>
            <w:noWrap w:val="0"/>
            <w:vAlign w:val="center"/>
          </w:tcPr>
          <w:p w14:paraId="16EA673C">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施肥</w:t>
            </w:r>
          </w:p>
        </w:tc>
        <w:tc>
          <w:tcPr>
            <w:tcW w:w="1228" w:type="dxa"/>
            <w:tcBorders>
              <w:bottom w:val="single" w:color="auto" w:sz="4" w:space="0"/>
            </w:tcBorders>
            <w:noWrap w:val="0"/>
            <w:vAlign w:val="top"/>
          </w:tcPr>
          <w:p w14:paraId="39FA62B2">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13D4A52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按季节、品种要求确定</w:t>
            </w:r>
          </w:p>
        </w:tc>
        <w:tc>
          <w:tcPr>
            <w:tcW w:w="5049" w:type="dxa"/>
            <w:tcBorders>
              <w:bottom w:val="single" w:color="auto" w:sz="4" w:space="0"/>
            </w:tcBorders>
            <w:noWrap w:val="0"/>
            <w:vAlign w:val="top"/>
          </w:tcPr>
          <w:p w14:paraId="5A8C080A">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季度施肥可埋施复合肥或有机肥，施肥点在树冠外缘线下为宜；追肥可施复合肥或尿素水肥，施后应淋水充足；肥料的配比用量可根据植物生长势和土壤的状况而定。</w:t>
            </w:r>
          </w:p>
        </w:tc>
      </w:tr>
      <w:tr w14:paraId="2942E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562" w:type="dxa"/>
            <w:vMerge w:val="restart"/>
            <w:tcBorders>
              <w:top w:val="single" w:color="auto" w:sz="4" w:space="0"/>
              <w:left w:val="single" w:color="auto" w:sz="4" w:space="0"/>
              <w:bottom w:val="single" w:color="auto" w:sz="4" w:space="0"/>
              <w:right w:val="single" w:color="auto" w:sz="4" w:space="0"/>
            </w:tcBorders>
            <w:noWrap w:val="0"/>
            <w:vAlign w:val="top"/>
          </w:tcPr>
          <w:p w14:paraId="3ADDADD2">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textDirection w:val="tbRlV"/>
            <w:vAlign w:val="top"/>
          </w:tcPr>
          <w:p w14:paraId="0BA70E1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0" w:firstLineChars="10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本  灌  木  植  物  养  护</w:t>
            </w:r>
          </w:p>
        </w:tc>
        <w:tc>
          <w:tcPr>
            <w:tcW w:w="885" w:type="dxa"/>
            <w:tcBorders>
              <w:top w:val="single" w:color="auto" w:sz="4" w:space="0"/>
              <w:left w:val="single" w:color="auto" w:sz="4" w:space="0"/>
              <w:bottom w:val="single" w:color="auto" w:sz="4" w:space="0"/>
              <w:right w:val="single" w:color="auto" w:sz="4" w:space="0"/>
            </w:tcBorders>
            <w:noWrap w:val="0"/>
            <w:vAlign w:val="top"/>
          </w:tcPr>
          <w:p w14:paraId="485E2FD7">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5FB31545">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树枝生</w:t>
            </w:r>
          </w:p>
          <w:p w14:paraId="6099E870">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长状态</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25CEC98E">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367FD2D2">
            <w:pPr>
              <w:pStyle w:val="41"/>
              <w:rPr>
                <w:rFonts w:hint="eastAsia" w:ascii="华文仿宋" w:hAnsi="华文仿宋" w:eastAsia="华文仿宋" w:cs="华文仿宋"/>
                <w:sz w:val="24"/>
                <w:szCs w:val="24"/>
              </w:rPr>
            </w:pPr>
          </w:p>
          <w:p w14:paraId="0D45026E">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1次</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33EB7C16">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1.植物枝叶无明显干枯、发黄；</w:t>
            </w:r>
          </w:p>
          <w:p w14:paraId="0C54A2D2">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2.茎叶无棉线灰尘；</w:t>
            </w:r>
          </w:p>
          <w:p w14:paraId="754C3A9C">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3.枝叶长势良好；</w:t>
            </w:r>
          </w:p>
          <w:p w14:paraId="2CFBCB06">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4.无明显杂草和落叶。</w:t>
            </w:r>
          </w:p>
        </w:tc>
      </w:tr>
      <w:tr w14:paraId="71008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53857D0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extDirection w:val="tbRlV"/>
            <w:vAlign w:val="top"/>
          </w:tcPr>
          <w:p w14:paraId="0571F57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left w:val="single" w:color="auto" w:sz="4" w:space="0"/>
              <w:bottom w:val="single" w:color="auto" w:sz="4" w:space="0"/>
              <w:right w:val="single" w:color="auto" w:sz="4" w:space="0"/>
            </w:tcBorders>
            <w:noWrap w:val="0"/>
            <w:vAlign w:val="top"/>
          </w:tcPr>
          <w:p w14:paraId="73281E25">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1466883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修剪</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2ABBD1A4">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根据现场实际情况确定</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2AF87DFA">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植物修剪整齐，及时；绿篱、造型灯新长枝不超过10厘米，杜鹃</w:t>
            </w:r>
            <w:r>
              <w:rPr>
                <w:rFonts w:hint="eastAsia" w:ascii="华文仿宋" w:hAnsi="华文仿宋" w:eastAsia="华文仿宋" w:cs="华文仿宋"/>
                <w:color w:val="auto"/>
                <w:spacing w:val="0"/>
                <w:w w:val="100"/>
                <w:sz w:val="24"/>
                <w:szCs w:val="24"/>
                <w:lang w:eastAsia="zh-CN"/>
              </w:rPr>
              <w:t>花</w:t>
            </w:r>
            <w:r>
              <w:rPr>
                <w:rFonts w:hint="eastAsia" w:ascii="华文仿宋" w:hAnsi="华文仿宋" w:eastAsia="华文仿宋" w:cs="华文仿宋"/>
                <w:color w:val="auto"/>
                <w:spacing w:val="0"/>
                <w:w w:val="100"/>
                <w:sz w:val="24"/>
                <w:szCs w:val="24"/>
              </w:rPr>
              <w:t>不超过80厘米；修剪后的枝叶需及时清理。</w:t>
            </w:r>
          </w:p>
        </w:tc>
      </w:tr>
      <w:tr w14:paraId="287FE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2D2B46C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extDirection w:val="tbRlV"/>
            <w:vAlign w:val="top"/>
          </w:tcPr>
          <w:p w14:paraId="4AA9637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left w:val="single" w:color="auto" w:sz="4" w:space="0"/>
              <w:bottom w:val="single" w:color="auto" w:sz="4" w:space="0"/>
              <w:right w:val="single" w:color="auto" w:sz="4" w:space="0"/>
            </w:tcBorders>
            <w:noWrap w:val="0"/>
            <w:vAlign w:val="top"/>
          </w:tcPr>
          <w:p w14:paraId="403E473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64C34B18">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喷药</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134E0EF2">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3D70312E">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根据现场实际情况确定</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37EC3C75">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用药配比合理，无明显干枯枝、坏孔斑块、黄叶，不影响整体效果。病虫危害率在 2%以下；枝叶发现病虫害，需及时打药。打药过程中应采取相应的安全措施。</w:t>
            </w:r>
          </w:p>
        </w:tc>
      </w:tr>
      <w:tr w14:paraId="73C52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4"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02958432">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extDirection w:val="tbRlV"/>
            <w:vAlign w:val="top"/>
          </w:tcPr>
          <w:p w14:paraId="3A7917B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left w:val="single" w:color="auto" w:sz="4" w:space="0"/>
              <w:bottom w:val="single" w:color="auto" w:sz="4" w:space="0"/>
              <w:right w:val="single" w:color="auto" w:sz="4" w:space="0"/>
            </w:tcBorders>
            <w:noWrap w:val="0"/>
            <w:vAlign w:val="center"/>
          </w:tcPr>
          <w:p w14:paraId="6AF6F14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243" w:firstLineChars="1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施肥</w:t>
            </w:r>
          </w:p>
        </w:tc>
        <w:tc>
          <w:tcPr>
            <w:tcW w:w="1228" w:type="dxa"/>
            <w:tcBorders>
              <w:top w:val="single" w:color="auto" w:sz="4" w:space="0"/>
              <w:left w:val="single" w:color="auto" w:sz="4" w:space="0"/>
              <w:bottom w:val="single" w:color="auto" w:sz="4" w:space="0"/>
              <w:right w:val="single" w:color="auto" w:sz="4" w:space="0"/>
            </w:tcBorders>
            <w:noWrap w:val="0"/>
            <w:vAlign w:val="center"/>
          </w:tcPr>
          <w:p w14:paraId="20F37AC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1次</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3521210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视植物习性和生长情况而确定是否施肥；肥料的配比用量可根据植物生长势和土壤的状况而定。</w:t>
            </w:r>
          </w:p>
        </w:tc>
      </w:tr>
      <w:tr w14:paraId="43B9B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0" w:hRule="atLeast"/>
        </w:trPr>
        <w:tc>
          <w:tcPr>
            <w:tcW w:w="562" w:type="dxa"/>
            <w:vMerge w:val="continue"/>
            <w:tcBorders>
              <w:top w:val="single" w:color="auto" w:sz="4" w:space="0"/>
              <w:left w:val="single" w:color="auto" w:sz="4" w:space="0"/>
              <w:bottom w:val="single" w:color="auto" w:sz="4" w:space="0"/>
              <w:right w:val="single" w:color="auto" w:sz="4" w:space="0"/>
            </w:tcBorders>
            <w:noWrap w:val="0"/>
            <w:vAlign w:val="top"/>
          </w:tcPr>
          <w:p w14:paraId="36351A0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textDirection w:val="tbRlV"/>
            <w:vAlign w:val="top"/>
          </w:tcPr>
          <w:p w14:paraId="44EBF1B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1701" w:firstLineChars="70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草  皮</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70AAEBBE">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p>
          <w:p w14:paraId="25106BF4">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生长</w:t>
            </w:r>
          </w:p>
          <w:p w14:paraId="3E2E5FE7">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状态</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4FBFBC18">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0961D587">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465388A8">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随时</w:t>
            </w:r>
          </w:p>
        </w:tc>
        <w:tc>
          <w:tcPr>
            <w:tcW w:w="5049" w:type="dxa"/>
            <w:tcBorders>
              <w:top w:val="single" w:color="auto" w:sz="4" w:space="0"/>
              <w:left w:val="single" w:color="auto" w:sz="4" w:space="0"/>
              <w:bottom w:val="single" w:color="auto" w:sz="4" w:space="0"/>
              <w:right w:val="single" w:color="auto" w:sz="4" w:space="0"/>
            </w:tcBorders>
            <w:noWrap w:val="0"/>
            <w:vAlign w:val="top"/>
          </w:tcPr>
          <w:p w14:paraId="73873D8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草皮目视平整，无坑洼、下陷；生长期叶色翠绿，无泛黄，无明显的病虫害；草皮无明显杂物杂草，纯度在90%以上；草坪上无裸地和大于20×20cm的受损面积；草坪排水良好，无严重积水现象。</w:t>
            </w:r>
          </w:p>
        </w:tc>
      </w:tr>
      <w:tr w14:paraId="513A5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0" w:hRule="atLeast"/>
        </w:trPr>
        <w:tc>
          <w:tcPr>
            <w:tcW w:w="562" w:type="dxa"/>
            <w:vMerge w:val="continue"/>
            <w:tcBorders>
              <w:top w:val="single" w:color="auto" w:sz="4" w:space="0"/>
              <w:left w:val="single" w:color="auto" w:sz="4" w:space="0"/>
            </w:tcBorders>
            <w:noWrap w:val="0"/>
            <w:vAlign w:val="top"/>
          </w:tcPr>
          <w:p w14:paraId="48743827">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85" w:type="dxa"/>
            <w:vMerge w:val="continue"/>
            <w:tcBorders>
              <w:top w:val="single" w:color="auto" w:sz="4" w:space="0"/>
            </w:tcBorders>
            <w:noWrap w:val="0"/>
            <w:textDirection w:val="tbRlV"/>
            <w:vAlign w:val="top"/>
          </w:tcPr>
          <w:p w14:paraId="0BE0830B">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85" w:type="dxa"/>
            <w:tcBorders>
              <w:top w:val="single" w:color="auto" w:sz="4" w:space="0"/>
            </w:tcBorders>
            <w:noWrap w:val="0"/>
            <w:vAlign w:val="center"/>
          </w:tcPr>
          <w:p w14:paraId="2C833564">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修剪</w:t>
            </w:r>
          </w:p>
        </w:tc>
        <w:tc>
          <w:tcPr>
            <w:tcW w:w="1228" w:type="dxa"/>
            <w:tcBorders>
              <w:top w:val="single" w:color="auto" w:sz="4" w:space="0"/>
            </w:tcBorders>
            <w:noWrap w:val="0"/>
            <w:vAlign w:val="top"/>
          </w:tcPr>
          <w:p w14:paraId="72A2CE6A">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lang w:val="en-US" w:eastAsia="zh-CN"/>
              </w:rPr>
            </w:pPr>
            <w:r>
              <w:rPr>
                <w:rFonts w:hint="eastAsia" w:ascii="华文仿宋" w:hAnsi="华文仿宋" w:eastAsia="华文仿宋" w:cs="华文仿宋"/>
                <w:color w:val="auto"/>
                <w:spacing w:val="0"/>
                <w:w w:val="100"/>
                <w:sz w:val="24"/>
                <w:szCs w:val="24"/>
              </w:rPr>
              <w:t>根据现场实际情况确定</w:t>
            </w:r>
          </w:p>
        </w:tc>
        <w:tc>
          <w:tcPr>
            <w:tcW w:w="5049" w:type="dxa"/>
            <w:tcBorders>
              <w:top w:val="single" w:color="auto" w:sz="4" w:space="0"/>
            </w:tcBorders>
            <w:noWrap w:val="0"/>
            <w:vAlign w:val="top"/>
          </w:tcPr>
          <w:p w14:paraId="631C80C0">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草皮高度保持在3-6cm，草皮修边整齐；修剪后及时清除草屑。</w:t>
            </w:r>
          </w:p>
        </w:tc>
      </w:tr>
    </w:tbl>
    <w:p w14:paraId="50D3F6CE">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7"/>
        <w:gridCol w:w="517"/>
        <w:gridCol w:w="815"/>
        <w:gridCol w:w="2647"/>
        <w:gridCol w:w="3773"/>
      </w:tblGrid>
      <w:tr w14:paraId="55853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547" w:type="dxa"/>
            <w:vMerge w:val="restart"/>
            <w:tcBorders>
              <w:bottom w:val="nil"/>
            </w:tcBorders>
            <w:noWrap w:val="0"/>
            <w:vAlign w:val="top"/>
          </w:tcPr>
          <w:p w14:paraId="4520460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17" w:type="dxa"/>
            <w:vMerge w:val="restart"/>
            <w:tcBorders>
              <w:bottom w:val="nil"/>
            </w:tcBorders>
            <w:noWrap w:val="0"/>
            <w:vAlign w:val="top"/>
          </w:tcPr>
          <w:p w14:paraId="553DDF7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15" w:type="dxa"/>
            <w:noWrap w:val="0"/>
            <w:vAlign w:val="top"/>
          </w:tcPr>
          <w:p w14:paraId="1415CB17">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74D1DE7C">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打药</w:t>
            </w:r>
          </w:p>
        </w:tc>
        <w:tc>
          <w:tcPr>
            <w:tcW w:w="2647" w:type="dxa"/>
            <w:noWrap w:val="0"/>
            <w:vAlign w:val="center"/>
          </w:tcPr>
          <w:p w14:paraId="6698ECC5">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根据现场实际情况确定</w:t>
            </w:r>
          </w:p>
        </w:tc>
        <w:tc>
          <w:tcPr>
            <w:tcW w:w="3773" w:type="dxa"/>
            <w:noWrap w:val="0"/>
            <w:vAlign w:val="center"/>
          </w:tcPr>
          <w:p w14:paraId="580510B2">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用药配比合理，病虫危害在2%以下；打药过程中应采取相应的安全防范措施。</w:t>
            </w:r>
          </w:p>
        </w:tc>
      </w:tr>
      <w:tr w14:paraId="1C06B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5" w:hRule="atLeast"/>
        </w:trPr>
        <w:tc>
          <w:tcPr>
            <w:tcW w:w="547" w:type="dxa"/>
            <w:vMerge w:val="continue"/>
            <w:tcBorders>
              <w:top w:val="nil"/>
              <w:bottom w:val="nil"/>
            </w:tcBorders>
            <w:noWrap w:val="0"/>
            <w:vAlign w:val="top"/>
          </w:tcPr>
          <w:p w14:paraId="5D7327C7">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17" w:type="dxa"/>
            <w:vMerge w:val="continue"/>
            <w:tcBorders>
              <w:top w:val="nil"/>
              <w:bottom w:val="nil"/>
            </w:tcBorders>
            <w:noWrap w:val="0"/>
            <w:vAlign w:val="top"/>
          </w:tcPr>
          <w:p w14:paraId="5675CBD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15" w:type="dxa"/>
            <w:noWrap w:val="0"/>
            <w:vAlign w:val="top"/>
          </w:tcPr>
          <w:p w14:paraId="691E971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3761CF0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6F2400B1">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浇水</w:t>
            </w:r>
          </w:p>
        </w:tc>
        <w:tc>
          <w:tcPr>
            <w:tcW w:w="2647" w:type="dxa"/>
            <w:noWrap w:val="0"/>
            <w:vAlign w:val="top"/>
          </w:tcPr>
          <w:p w14:paraId="7AED57A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5EE76748">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065B361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按季节、品种要求确定</w:t>
            </w:r>
          </w:p>
        </w:tc>
        <w:tc>
          <w:tcPr>
            <w:tcW w:w="3773" w:type="dxa"/>
            <w:noWrap w:val="0"/>
            <w:vAlign w:val="center"/>
          </w:tcPr>
          <w:p w14:paraId="1E3C8B2F">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淋水量要大于该种类该规格的蒸腾量，天气炎热干旱可相应增加浇水量；装有自动喷淋系统的绿化地带，洒水时一般半小时后关闭；雨季时，可视天气情况而和花木需求减少淋水</w:t>
            </w:r>
            <w:r>
              <w:rPr>
                <w:rFonts w:hint="eastAsia" w:ascii="华文仿宋" w:hAnsi="华文仿宋" w:eastAsia="华文仿宋" w:cs="华文仿宋"/>
                <w:color w:val="auto"/>
                <w:spacing w:val="0"/>
                <w:w w:val="100"/>
                <w:sz w:val="24"/>
                <w:szCs w:val="24"/>
                <w:lang w:val="en-US" w:eastAsia="zh-CN"/>
              </w:rPr>
              <w:t xml:space="preserve">    </w:t>
            </w:r>
            <w:r>
              <w:rPr>
                <w:rFonts w:hint="eastAsia" w:ascii="华文仿宋" w:hAnsi="华文仿宋" w:eastAsia="华文仿宋" w:cs="华文仿宋"/>
                <w:color w:val="auto"/>
                <w:spacing w:val="0"/>
                <w:w w:val="100"/>
                <w:sz w:val="24"/>
                <w:szCs w:val="24"/>
              </w:rPr>
              <w:t>量。</w:t>
            </w:r>
          </w:p>
        </w:tc>
      </w:tr>
      <w:tr w14:paraId="174BD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8" w:hRule="atLeast"/>
        </w:trPr>
        <w:tc>
          <w:tcPr>
            <w:tcW w:w="547" w:type="dxa"/>
            <w:vMerge w:val="continue"/>
            <w:tcBorders>
              <w:top w:val="nil"/>
            </w:tcBorders>
            <w:noWrap w:val="0"/>
            <w:vAlign w:val="top"/>
          </w:tcPr>
          <w:p w14:paraId="05C0B5D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517" w:type="dxa"/>
            <w:vMerge w:val="continue"/>
            <w:tcBorders>
              <w:top w:val="nil"/>
            </w:tcBorders>
            <w:noWrap w:val="0"/>
            <w:vAlign w:val="top"/>
          </w:tcPr>
          <w:p w14:paraId="060FDFE1">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tc>
        <w:tc>
          <w:tcPr>
            <w:tcW w:w="815" w:type="dxa"/>
            <w:noWrap w:val="0"/>
            <w:vAlign w:val="top"/>
          </w:tcPr>
          <w:p w14:paraId="6F1E2D16">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32E0112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left"/>
              <w:textAlignment w:val="baseline"/>
              <w:rPr>
                <w:rFonts w:hint="eastAsia" w:ascii="华文仿宋" w:hAnsi="华文仿宋" w:eastAsia="华文仿宋" w:cs="华文仿宋"/>
                <w:color w:val="auto"/>
                <w:spacing w:val="0"/>
                <w:w w:val="100"/>
                <w:sz w:val="24"/>
                <w:szCs w:val="24"/>
              </w:rPr>
            </w:pPr>
          </w:p>
          <w:p w14:paraId="6CCE7559">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施肥</w:t>
            </w:r>
          </w:p>
        </w:tc>
        <w:tc>
          <w:tcPr>
            <w:tcW w:w="2647" w:type="dxa"/>
            <w:noWrap w:val="0"/>
            <w:vAlign w:val="top"/>
          </w:tcPr>
          <w:p w14:paraId="32E0F84D">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678EF79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486" w:firstLineChars="200"/>
              <w:jc w:val="left"/>
              <w:textAlignment w:val="baseline"/>
              <w:rPr>
                <w:rFonts w:hint="eastAsia" w:ascii="华文仿宋" w:hAnsi="华文仿宋" w:eastAsia="华文仿宋" w:cs="华文仿宋"/>
                <w:color w:val="auto"/>
                <w:spacing w:val="0"/>
                <w:w w:val="100"/>
                <w:sz w:val="24"/>
                <w:szCs w:val="24"/>
              </w:rPr>
            </w:pPr>
          </w:p>
          <w:p w14:paraId="29501918">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972" w:firstLineChars="4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1次</w:t>
            </w:r>
          </w:p>
        </w:tc>
        <w:tc>
          <w:tcPr>
            <w:tcW w:w="3773" w:type="dxa"/>
            <w:noWrap w:val="0"/>
            <w:vAlign w:val="center"/>
          </w:tcPr>
          <w:p w14:paraId="618A5290">
            <w:pPr>
              <w:keepNext w:val="0"/>
              <w:keepLines w:val="0"/>
              <w:pageBreakBefore w:val="0"/>
              <w:widowControl/>
              <w:kinsoku w:val="0"/>
              <w:wordWrap/>
              <w:overflowPunct/>
              <w:topLinePunct w:val="0"/>
              <w:autoSpaceDE w:val="0"/>
              <w:autoSpaceDN w:val="0"/>
              <w:bidi w:val="0"/>
              <w:adjustRightInd w:val="0"/>
              <w:snapToGrid w:val="0"/>
              <w:spacing w:line="500" w:lineRule="exact"/>
              <w:ind w:right="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视植物习性和生长情况而确定是否施肥；秋冬两季每隔一个半月施肥一次，施肥量每亩15kg-20kg；肥料的配比用量可根据草坪生长势而定。</w:t>
            </w:r>
          </w:p>
        </w:tc>
      </w:tr>
    </w:tbl>
    <w:p w14:paraId="34AA5E9F">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9. 会务服务</w:t>
      </w:r>
    </w:p>
    <w:p w14:paraId="7C6F8550">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91"/>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服务内容：根据会议议程安排，提前做好预定会议服务准备工作；项目各会议室的环境卫生清洁工作；各会议室的设施设备调试、维护工作；项目各会议室物品清点、保管、养护工作；项目各会议室维修、装修施工管理。（含维修维护用材料设备）；做好接待室、新闻发布会议室、健身中心等功能用房的保洁、维护工作；会议预约服务。</w:t>
      </w:r>
    </w:p>
    <w:p w14:paraId="152C33FE">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91"/>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（2）会议服务标准</w:t>
      </w:r>
    </w:p>
    <w:p w14:paraId="6A0ECBB6">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会议的分类根据会议接待工作实际情况，将会议接待分为日常接待（二类会议接待）、一类会议、临时会议。</w:t>
      </w:r>
    </w:p>
    <w:p w14:paraId="08F75171">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91"/>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3）日常接待（二类会议接待）每天的工作由会议负责人根据实际情况进行安排；会议服务人员必须注意自己的仪表，穿着好工作服，戴好工作牌，于会议开始前30分钟将茶水准备到位；到岗后首先检查会议室内的灯是否打开、空调温度是否舒适、设备、会议物资是否到位、烟灰盅是否清洁，发现异常无法处理时及时向主管</w:t>
      </w:r>
      <w:r>
        <w:rPr>
          <w:rFonts w:hint="eastAsia" w:ascii="华文仿宋" w:hAnsi="华文仿宋" w:eastAsia="华文仿宋" w:cs="华文仿宋"/>
          <w:color w:val="auto"/>
          <w:spacing w:val="0"/>
          <w:w w:val="100"/>
          <w:sz w:val="28"/>
          <w:szCs w:val="28"/>
          <w:lang w:val="en-US" w:eastAsia="zh-CN"/>
        </w:rPr>
        <w:t>报</w:t>
      </w:r>
      <w:r>
        <w:rPr>
          <w:rFonts w:hint="eastAsia" w:ascii="华文仿宋" w:hAnsi="华文仿宋" w:eastAsia="华文仿宋" w:cs="华文仿宋"/>
          <w:color w:val="auto"/>
          <w:spacing w:val="0"/>
          <w:w w:val="100"/>
          <w:sz w:val="28"/>
          <w:szCs w:val="28"/>
        </w:rPr>
        <w:t>告；</w:t>
      </w:r>
    </w:p>
    <w:p w14:paraId="3995EE99">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91"/>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参会人员进入场直至入座，到会议开始时会议服务人员应在自己管理区轮流巡查，以便能及时给新到的参会人送上茶水，直至会议结束（如有特殊情况可自行调整）；会议服务组长或主管必须到场监督会议服务工作，巡视会议室的准备情况和会议的进行情况，以便有突发事情时及时应对;接到登记人员通知，会议临时需要的物资，应</w:t>
      </w:r>
      <w:r>
        <w:rPr>
          <w:rFonts w:hint="eastAsia" w:ascii="华文仿宋" w:hAnsi="华文仿宋" w:eastAsia="华文仿宋" w:cs="华文仿宋"/>
          <w:color w:val="auto"/>
          <w:spacing w:val="0"/>
          <w:w w:val="100"/>
          <w:sz w:val="28"/>
          <w:szCs w:val="28"/>
          <w:lang w:val="en-US" w:eastAsia="zh-CN"/>
        </w:rPr>
        <w:t>5</w:t>
      </w:r>
      <w:r>
        <w:rPr>
          <w:rFonts w:hint="eastAsia" w:ascii="华文仿宋" w:hAnsi="华文仿宋" w:eastAsia="华文仿宋" w:cs="华文仿宋"/>
          <w:color w:val="auto"/>
          <w:spacing w:val="0"/>
          <w:w w:val="100"/>
          <w:sz w:val="28"/>
          <w:szCs w:val="28"/>
        </w:rPr>
        <w:t>分钟内送到，如无法满足，会服接待员亦应5分钟内到会议室负责人解释，如参会人不满意或不接受，会议接待员应通知会服主管或组长及时到场协调处理；会议结束后，会议服务人员应将会议室立即清理，包括将桌椅摆放整齐；烟灰盅、盒纸锁回茶水柜；所有设备恢复原状；会议临时用品（插线板、铭牌、临时增加的椅子、白板等）放归原处，如果桌面及地面较脏，应及时清洁，清洁后会服接待员将灯光、空调、门窗关闭，以随时接待下一场会议；每天下班前，会议服务人员还应对自己管理区域的会议室检查一遍门、窗、空调、灯、设备是否关闭，做好交接。</w:t>
      </w:r>
    </w:p>
    <w:p w14:paraId="764D657E">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491"/>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4）一类会议（专指在楼内的大型会议室）会议服务人员负责人接到中、大型及重要会议通知后，与预订会议人员联系，了解会议过程中各项需求；按领导要求配备会议所需物品；物资到位后，提前一天准备好横幅，摆放好鲜花等；并对会议室进行全面检查，与会议主办单位（部门）保持联系，对座位数、名位牌、会标等进行核对，同时应对影视、音响设备、灯光、花卉摆设、茶水茶杯准备、卫生情况、进出通道进行检查（包含安全通道），要求达标后对会议室进行封闭管理，不准无关人员进入会场（会议室）；一切准备妥当后，可通知会议主办单位（部门）领导验收现场；会议服务人员必须注意自己的仪表，穿好工作服，戴好工作牌，提前30分钟到岗，并于会议开始前15分钟将茶水准备到位，在会议室门外面带笑容站好等待迎接参会人员；按日常接待（二类会议接待）相关规定的程序开展开作；会议快结束时会议服务人员在会议室门外站好准备欢送参会人员；会议服务主管必须到场监督会议服务人员的情况，巡视会议室的准备情况和会议的进行情况，以便有突发事情时及时应对；如会议有需要，在会议期间应加强安全保卫工作，防止无关人员进入会场扰乱会议进行；弱电技术员应注意会议期间用电设备的工作情况，防止事故发生；会议服务人员应保证消防通道的畅通，紧急情况下，应在场进行疏导；会议结束后，会议服务人员持会议主办单位部门意见表到会务中心备案，以便及时做好统计归档。</w:t>
      </w:r>
    </w:p>
    <w:p w14:paraId="4AF1BF5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（5）临时会议</w:t>
      </w:r>
    </w:p>
    <w:p w14:paraId="13C9F785">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接到会议登记人员的通知后，该区域会议接待人员应5分钟内到场，按日常接待（二类会议接待）相关规定的程序开展工作；</w:t>
      </w:r>
    </w:p>
    <w:p w14:paraId="63F30946">
      <w:pPr>
        <w:keepNext w:val="0"/>
        <w:keepLines w:val="0"/>
        <w:pageBreakBefore w:val="0"/>
        <w:widowControl/>
        <w:kinsoku w:val="0"/>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（6）会议工作流程</w:t>
      </w:r>
    </w:p>
    <w:p w14:paraId="0537682B">
      <w:pPr>
        <w:keepNext w:val="0"/>
        <w:keepLines w:val="0"/>
        <w:pageBreakBefore w:val="0"/>
        <w:widowControl/>
        <w:kinsoku w:val="0"/>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lang w:eastAsia="zh-CN"/>
        </w:rPr>
      </w:pPr>
      <w:r>
        <w:rPr>
          <w:rFonts w:hint="eastAsia" w:ascii="华文仿宋" w:hAnsi="华文仿宋" w:eastAsia="华文仿宋" w:cs="华文仿宋"/>
          <w:color w:val="auto"/>
          <w:spacing w:val="0"/>
          <w:w w:val="100"/>
          <w:sz w:val="28"/>
          <w:szCs w:val="28"/>
        </w:rPr>
        <w:t>会议登记值班人员将收集会议的信息填写在《会议预定登记表》上，交会议接待负责人，涉及到语音、投影系统的会议及其他部门配合的接待工作，应将会议情况记录在《会议接待设备准备工作表》交其他部门进行会议准备；会议登记值班人员进行临时会议信息的收集，并将新信息及时通知会议服务负责人员，由其安排工作并将新信息登记在《会议预定登记表》中。会议服务人员在会议前</w:t>
      </w:r>
      <w:r>
        <w:rPr>
          <w:rFonts w:hint="eastAsia" w:ascii="华文仿宋" w:hAnsi="华文仿宋" w:eastAsia="华文仿宋" w:cs="华文仿宋"/>
          <w:color w:val="auto"/>
          <w:spacing w:val="0"/>
          <w:w w:val="100"/>
          <w:sz w:val="28"/>
          <w:szCs w:val="28"/>
          <w:lang w:val="en-US" w:eastAsia="zh-CN"/>
        </w:rPr>
        <w:t>30</w:t>
      </w:r>
      <w:r>
        <w:rPr>
          <w:rFonts w:hint="eastAsia" w:ascii="华文仿宋" w:hAnsi="华文仿宋" w:eastAsia="华文仿宋" w:cs="华文仿宋"/>
          <w:color w:val="auto"/>
          <w:spacing w:val="0"/>
          <w:w w:val="100"/>
          <w:sz w:val="28"/>
          <w:szCs w:val="28"/>
        </w:rPr>
        <w:t>分钟完成对会议室的检查及准备工作，检查结果记录在《会议预定登记表》上。无语音、投影系统的会议不用填《会议接待设备准备工作表》；会议服务负责人在领取当天《会议预定登记表》时，应将前一天的《会议预定登记表》、《会议接待设备准备工作表》交会议登记值班人员统一归档；会务登记值班人员收到语音、投影会议室预定的信息后5分钟内将《会议接待设备准备工作表》交给弱电技术人员，由其在会议前30分钟内做好准备工作；弱电技术员的日常维护及会前准备（每 周维护、检查会议室的会议设备、语音、投影），做好维护、检查工作的记录，每月进行会议室会议设备功能性的评估 ;会议前30分钟按照会议服务人员提供的《会议接待设备准备工作表》，对会议室会议系统进行检测，并将完成情况记录在《会议接待设备准备工作表》上，由会议服务人员进行复核；领导参加的重要会议，完成检测后应在现场对会议全程跟进；会议开始前5分钟，会议服务人员用礼貌语言“各位领导早上好（下午好）”，进行最后一次试音，验证会议系统</w:t>
      </w:r>
      <w:r>
        <w:rPr>
          <w:rFonts w:hint="eastAsia" w:ascii="华文仿宋" w:hAnsi="华文仿宋" w:eastAsia="华文仿宋" w:cs="华文仿宋"/>
          <w:color w:val="auto"/>
          <w:spacing w:val="0"/>
          <w:w w:val="100"/>
          <w:sz w:val="28"/>
          <w:szCs w:val="28"/>
          <w:lang w:eastAsia="zh-CN"/>
        </w:rPr>
        <w:t>。</w:t>
      </w:r>
    </w:p>
    <w:p w14:paraId="4D34E76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（7）会议服务细节</w:t>
      </w:r>
    </w:p>
    <w:p w14:paraId="1980869B">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接收会议庭审预定信息接收会议预定人员接到会务科领导所分配的会议情况（包括：会议类型、会议时间、办会单位、对设施设备是否有其他要求）等一系列会议相关信息后，准确无误登记于会议预定册内，第一时间通知会议楼层组长。</w:t>
      </w:r>
    </w:p>
    <w:p w14:paraId="0E75ACF0">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②会前准备</w:t>
      </w:r>
    </w:p>
    <w:p w14:paraId="6DE0FE7A">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楼层组长接到会议信息后，根据会议预定内容，合理调配楼层人员准备好会场所需要的一切物品以及设施设备，并按照操作标准准确布置。包括（音响、话筒、投影、幕布、立式讲台、签到台、茶杯、杯垫、茶叶、毛巾碟、热毛巾、矿泉水、横幅、签约夹、签字笔、铅笔、茶歇台、鲜花、水牌）等；按照卫生标准清洁会场；与弱电人员调试设施设备，保证正常运转；根据预定要求，准确布置会场；通知会务组领导验收会场。</w:t>
      </w:r>
    </w:p>
    <w:p w14:paraId="222C3BC1">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③会中服务</w:t>
      </w:r>
    </w:p>
    <w:p w14:paraId="77194445">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服务人员按照规定化妆、修饰、认真整理工装、工牌、检查仪容仪表，上岗之前保持精神饱满；到岗后</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将手机统一调至震动状态放置与操作间；检查会议室内灯光是否打开，空调温度是否适宜，会议物资是否到位等，发现异常无法处理时，及时向主管领导报告。</w:t>
      </w:r>
    </w:p>
    <w:p w14:paraId="2CAC6FB1">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会议开始前三十分钟，服务人员必须将开水准备到位，并站立于电梯和会议室门口热情迎接领导进入会场。(引领领导时，应立正站直，手臂平伸，五指并拢，手心向上，指向前进方向：“这边请 ”。并在前方保持距领导1.5米的距离带路。每到一个转弯处，都需做出同样的手势)。</w:t>
      </w:r>
    </w:p>
    <w:p w14:paraId="7E359B66">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lang w:val="en-US" w:eastAsia="zh-CN"/>
        </w:rPr>
      </w:pPr>
      <w:r>
        <w:rPr>
          <w:rFonts w:hint="eastAsia" w:ascii="华文仿宋" w:hAnsi="华文仿宋" w:eastAsia="华文仿宋" w:cs="华文仿宋"/>
          <w:color w:val="auto"/>
          <w:spacing w:val="0"/>
          <w:w w:val="100"/>
          <w:sz w:val="28"/>
          <w:szCs w:val="28"/>
        </w:rPr>
        <w:t>A.站姿</w:t>
      </w:r>
    </w:p>
    <w:p w14:paraId="4897A8F5">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头正、肩平、臂垂、躯挺、腿并。身体重心主要支撑于脚掌、 脚弓上。从侧面看，头部肩部、上体与下肢应在一条垂直线上。</w:t>
      </w:r>
    </w:p>
    <w:p w14:paraId="22C4087E">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B.手势</w:t>
      </w:r>
    </w:p>
    <w:p w14:paraId="4315BC7E">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双手置于身体两侧，右手搭在左手叠放于体前，双手叠放于体后，一手放于体前一手背在体后。</w:t>
      </w:r>
    </w:p>
    <w:p w14:paraId="561E71C7">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lang w:val="en-US" w:eastAsia="zh-CN"/>
        </w:rPr>
        <w:t>C.</w:t>
      </w:r>
      <w:r>
        <w:rPr>
          <w:rFonts w:hint="eastAsia" w:ascii="华文仿宋" w:hAnsi="华文仿宋" w:eastAsia="华文仿宋" w:cs="华文仿宋"/>
          <w:color w:val="auto"/>
          <w:spacing w:val="0"/>
          <w:w w:val="100"/>
          <w:sz w:val="28"/>
          <w:szCs w:val="28"/>
        </w:rPr>
        <w:t>脚位</w:t>
      </w:r>
    </w:p>
    <w:p w14:paraId="5C0BEFAA">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“V”型，双脚平行分开不超过肩宽，小“丁”字型。</w:t>
      </w:r>
    </w:p>
    <w:p w14:paraId="47E544C3">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lang w:val="en-US" w:eastAsia="zh-CN"/>
        </w:rPr>
        <w:t>D</w:t>
      </w:r>
      <w:r>
        <w:rPr>
          <w:rFonts w:hint="eastAsia" w:ascii="华文仿宋" w:hAnsi="华文仿宋" w:eastAsia="华文仿宋" w:cs="华文仿宋"/>
          <w:color w:val="auto"/>
          <w:spacing w:val="0"/>
          <w:w w:val="100"/>
          <w:sz w:val="28"/>
          <w:szCs w:val="28"/>
        </w:rPr>
        <w:t>.坐姿</w:t>
      </w:r>
    </w:p>
    <w:p w14:paraId="45797FF4">
      <w:pPr>
        <w:keepNext w:val="0"/>
        <w:keepLines w:val="0"/>
        <w:pageBreakBefore w:val="0"/>
        <w:widowControl/>
        <w:kinsoku/>
        <w:wordWrap/>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入座时要轻稳，入座后上体自然挺直、挺胸，双膝自然并拢, 双腿自然弯曲，双肩平整放松，双肩自然弯曲，双手自然放在双腿上或椅子、沙发扶手上，掌心向下。头正嘴角微闭，下颌微收, 双目平视，面容平和自然。坐在椅子上，应座满椅子的2/3,脊背轻靠椅背，离座时，要自然稳当</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（适用于视频会议或其他大型接待类会议）</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领导入座时，两侧一侧腿屈膝顶住椅背下端，将座椅轻轻拉出，请领导入座（做到安全、轻、缓、稳，切记座椅拖地出声）。</w:t>
      </w:r>
    </w:p>
    <w:p w14:paraId="36C94C01">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参会领导进入会场后，会议服务人员应举止大方地为他们递上茶水，会议未正式开始前服务人员应在自己分配的区域内随时巡查，以便能及时为新到的领导添茶、续水。</w:t>
      </w:r>
    </w:p>
    <w:p w14:paraId="6043230A">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会议正式开始后，服务人员应每隔</w:t>
      </w:r>
      <w:r>
        <w:rPr>
          <w:rFonts w:hint="eastAsia" w:ascii="华文仿宋" w:hAnsi="华文仿宋" w:eastAsia="华文仿宋" w:cs="华文仿宋"/>
          <w:color w:val="auto"/>
          <w:spacing w:val="0"/>
          <w:w w:val="100"/>
          <w:sz w:val="28"/>
          <w:szCs w:val="28"/>
          <w:lang w:val="en-US" w:eastAsia="zh-CN"/>
        </w:rPr>
        <w:t>1</w:t>
      </w:r>
      <w:r>
        <w:rPr>
          <w:rFonts w:hint="eastAsia" w:ascii="华文仿宋" w:hAnsi="华文仿宋" w:eastAsia="华文仿宋" w:cs="华文仿宋"/>
          <w:color w:val="auto"/>
          <w:spacing w:val="0"/>
          <w:w w:val="100"/>
          <w:sz w:val="28"/>
          <w:szCs w:val="28"/>
        </w:rPr>
        <w:t>5—20分钟为领导添加一次茶水。在此过程中，应及时更换烟缸、热毛巾等物品。并密切留意会议室内的设施设备是否正常运转，空调温度是否适宜等。服务过程中要做到细致周到，服务过程中做到（走路轻、说话、操作轻）。</w:t>
      </w:r>
    </w:p>
    <w:p w14:paraId="347D00DB">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从领导后侧倒水时，应注意选好角度，等待时机，送杯要视邻座的空间大小弧度、直线的方式。需注意以下几点：</w:t>
      </w:r>
    </w:p>
    <w:p w14:paraId="796E15A3">
      <w:pPr>
        <w:keepNext w:val="0"/>
        <w:keepLines w:val="0"/>
        <w:pageBreakBefore w:val="0"/>
        <w:widowControl/>
        <w:kinsoku/>
        <w:wordWrap/>
        <w:overflowPunct/>
        <w:topLinePunct/>
        <w:autoSpaceDE/>
        <w:autoSpaceDN/>
        <w:bidi w:val="0"/>
        <w:adjustRightInd w:val="0"/>
        <w:snapToGrid w:val="0"/>
        <w:spacing w:line="500" w:lineRule="exact"/>
        <w:ind w:left="0"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倒茶时，保持茶水七至八分满为宜；如果领导自带水杯，应把原有茶杯撤掉；主席台倒水时，应按照职位高低顺序倒水；倒水时，一定要设计好行走路线，做到省肘、省力。</w:t>
      </w:r>
    </w:p>
    <w:p w14:paraId="6B76AE0F">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④会后收尾</w:t>
      </w:r>
    </w:p>
    <w:p w14:paraId="014B734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A.会议结束后，服务人员应礼貌送领导至电梯旁离开，及时检查桌椅和地面是否有遗留物品，若有发现及时送还领导；会议室各项使用完毕的稿纸废弃资料，至少保存一周后，进行销毁或处理；</w:t>
      </w:r>
    </w:p>
    <w:p w14:paraId="292E5380">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B.主动询问相关领导以及会务科对服务设备等方面的意见，不断创新改进；</w:t>
      </w:r>
    </w:p>
    <w:p w14:paraId="18887689">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C.关闭不需要电源，按照卫生管理标准进行会场清洁，清洁完毕后，通知班组长检查，做到人走、门锁、电源关。</w:t>
      </w:r>
    </w:p>
    <w:p w14:paraId="182954B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lang w:val="en-US" w:eastAsia="zh-CN"/>
        </w:rPr>
        <w:t>10.</w:t>
      </w:r>
      <w:r>
        <w:rPr>
          <w:rFonts w:hint="eastAsia" w:ascii="华文仿宋" w:hAnsi="华文仿宋" w:eastAsia="华文仿宋" w:cs="华文仿宋"/>
          <w:b/>
          <w:bCs/>
          <w:color w:val="auto"/>
          <w:spacing w:val="0"/>
          <w:w w:val="100"/>
          <w:sz w:val="28"/>
          <w:szCs w:val="28"/>
        </w:rPr>
        <w:t>卫生管理</w:t>
      </w:r>
    </w:p>
    <w:p w14:paraId="2B935A4C">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会议室应责任到人（会议服务员）责任人每天上班时应对会议室卫生打扫一遍，确保会议室处于待命状态。每次会议后，责任人及时做好会议室保洁工作。会议接待人员做完卫生后检查区域内门、灯、空调等设施设备的完好情况，发现问题及时报修。</w:t>
      </w:r>
    </w:p>
    <w:p w14:paraId="795B84B1">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①会议室卫生清洁要求与标准要求：</w:t>
      </w:r>
    </w:p>
    <w:p w14:paraId="60A7687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A.玻璃门窗（会议室窗户、J 形会议室玻璃墙面）里外清洁明亮、无污渍、水渍、手印、浮灰，门把手色泽光亮；</w:t>
      </w:r>
    </w:p>
    <w:p w14:paraId="5D8D1443">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B.天花板（顶蓬、照明灯具、开关、换气扇、风口）天花板目视无蜘蛛网、无明显</w:t>
      </w:r>
      <w:r>
        <w:rPr>
          <w:rFonts w:hint="eastAsia" w:ascii="华文仿宋" w:hAnsi="华文仿宋" w:eastAsia="华文仿宋" w:cs="华文仿宋"/>
          <w:color w:val="auto"/>
          <w:spacing w:val="0"/>
          <w:w w:val="100"/>
          <w:sz w:val="28"/>
          <w:szCs w:val="28"/>
          <w:lang w:val="en-US" w:eastAsia="zh-CN"/>
        </w:rPr>
        <w:t>污渍</w:t>
      </w:r>
      <w:r>
        <w:rPr>
          <w:rFonts w:hint="eastAsia" w:ascii="华文仿宋" w:hAnsi="华文仿宋" w:eastAsia="华文仿宋" w:cs="华文仿宋"/>
          <w:color w:val="auto"/>
          <w:spacing w:val="0"/>
          <w:w w:val="100"/>
          <w:sz w:val="28"/>
          <w:szCs w:val="28"/>
        </w:rPr>
        <w:t>、大量水滴；照明灯干净、无积尘、无污迹，及时关灯，无常照明灯现象，风口无堵塞物；</w:t>
      </w:r>
    </w:p>
    <w:p w14:paraId="17E4E25A">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C.墙壁（钟表)、门(门框、正反面)、地面(木质地面、大理石地面)墙面无粘附泥沙、痰迹，无污印、无斑迹，钟表挂置端正，电池电量是否充足，干净无尘；门墙完好、无灰尘；地面光亮无积尘，地 缝线里无黑灰；墙面开关插表面光亮；</w:t>
      </w:r>
    </w:p>
    <w:p w14:paraId="09632632">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绿植、窗帘、桌椅(会议桌、会议椅)话筒、投影仪、电视机、投影幕布、音响设备、操作间、工作间；室内植物套盆和枝叶干净、完好，无干枯目视观察和手摸没有明显灰尘；窗帘高度一致、左右对齐、上下整齐，无污溃；桌椅排放整齐，不晃动、无破损，摆放符合要求、桌面明亮无污迹，桌内无杂物，无污渍；椅子洁净无灰尘，靠背无油迹，电器无尘土，定期维护填写巡查表，储备物资分类并摆放整齐。</w:t>
      </w:r>
    </w:p>
    <w:p w14:paraId="071E2532">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②标准：</w:t>
      </w:r>
    </w:p>
    <w:p w14:paraId="75616C45">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A.各个楼层会议室由会议服务部负责；</w:t>
      </w:r>
    </w:p>
    <w:p w14:paraId="35E4C19C">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B.会议室的各类物品应保持干净，并按顺序归类摆放整齐;</w:t>
      </w:r>
    </w:p>
    <w:p w14:paraId="30A009FC">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C.每天会议结束后，各类垃圾、纸屑、废料等及时装入清洁袋放于楼层垃圾桶内；</w:t>
      </w:r>
    </w:p>
    <w:p w14:paraId="45ECB3C6">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 会议室按楼层分配划分给专人负责；</w:t>
      </w:r>
    </w:p>
    <w:p w14:paraId="202B1FEB">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E.会议室内的卫生进行每日正常清洁，计划卫生最少每周清洁一次；</w:t>
      </w:r>
    </w:p>
    <w:p w14:paraId="28F8F7AC">
      <w:pPr>
        <w:keepNext w:val="0"/>
        <w:keepLines w:val="0"/>
        <w:pageBreakBefore w:val="0"/>
        <w:widowControl/>
        <w:kinsoku w:val="0"/>
        <w:wordWrap/>
        <w:overflowPunct/>
        <w:topLinePunct w:val="0"/>
        <w:autoSpaceDE w:val="0"/>
        <w:autoSpaceDN w:val="0"/>
        <w:bidi w:val="0"/>
        <w:adjustRightInd w:val="0"/>
        <w:snapToGrid w:val="0"/>
        <w:spacing w:line="500" w:lineRule="exact"/>
        <w:ind w:left="0" w:right="0" w:firstLine="566" w:firstLineChars="200"/>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F.对会议室的窗帘、纱帘等进行定期清洗，做到室内通风、 干净、无杂物；</w:t>
      </w:r>
    </w:p>
    <w:p w14:paraId="653C2EE0">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G. 各楼层管理人员严格室内物品的管理和维护，做到会散、人走、电源关、门上锁；</w:t>
      </w:r>
    </w:p>
    <w:p w14:paraId="75E7791C">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H. 每周进行各个楼层卫生交替质检制度，评比先进楼层。</w:t>
      </w:r>
    </w:p>
    <w:p w14:paraId="09A98822">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③会议室配套设施设备服务要求：</w:t>
      </w:r>
    </w:p>
    <w:p w14:paraId="0870E7AB">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A.会议室供、配电设备管理：</w:t>
      </w:r>
    </w:p>
    <w:p w14:paraId="16D5F907">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供配电设备良好、运行正常，机房环境整洁，无杂物、灰尘、 早虫害。按要求进行检查及维修保养，每天巡视一次，每月进行月检，并做好相应记录。</w:t>
      </w:r>
    </w:p>
    <w:p w14:paraId="14FD7DA9">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B.电视电话会议系统设备及会议消防设备管理：</w:t>
      </w:r>
    </w:p>
    <w:p w14:paraId="47F7583D">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电视电话会议室配套系统设施设备运行正常，有调试记录，定期保养；消防设施设备完好无损，可随时启用，每半年进行一次全面检查；有消防应急预案，无火灾安全隐患，消防通道畅通。</w:t>
      </w:r>
    </w:p>
    <w:p w14:paraId="58844579">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建立会议室管理制度，制订会议服务规程并认真落实，保证会议设施设备的正常运行，保持室内整洁。做到：会议室的各类物品应保持干净，并按顺序归类摆放整齐；每次会议结束后，各类垃圾、纸屑、废料等及时清理；会议室内的木器类、设备类物品安全完整；做到会散、人走、电源关、门上锁。会议服务人员，合理设置，服务人员岗位和设施设备操岗作及维护人员岗，其他岗位根据需要配置。</w:t>
      </w:r>
    </w:p>
    <w:p w14:paraId="628E060F">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1</w:t>
      </w:r>
      <w:r>
        <w:rPr>
          <w:rFonts w:hint="eastAsia" w:ascii="华文仿宋" w:hAnsi="华文仿宋" w:eastAsia="华文仿宋" w:cs="华文仿宋"/>
          <w:b/>
          <w:bCs/>
          <w:color w:val="auto"/>
          <w:spacing w:val="0"/>
          <w:w w:val="100"/>
          <w:sz w:val="28"/>
          <w:szCs w:val="28"/>
          <w:lang w:val="en-US" w:eastAsia="zh-CN"/>
        </w:rPr>
        <w:t>1</w:t>
      </w:r>
      <w:r>
        <w:rPr>
          <w:rFonts w:hint="eastAsia" w:ascii="华文仿宋" w:hAnsi="华文仿宋" w:eastAsia="华文仿宋" w:cs="华文仿宋"/>
          <w:b/>
          <w:bCs/>
          <w:color w:val="auto"/>
          <w:spacing w:val="0"/>
          <w:w w:val="100"/>
          <w:sz w:val="28"/>
          <w:szCs w:val="28"/>
        </w:rPr>
        <w:t>.常规期设备设施管理</w:t>
      </w:r>
    </w:p>
    <w:p w14:paraId="49D84DC3">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(1)负责公共设施设备运行与维修、维护、保养，包括：机电设备维护、空调与通风系统、电力系统、给排水系统、消防系统、安保监控系统、电梯系统、楼宇自控系统、停车场管理系统维修、保养等。</w:t>
      </w:r>
    </w:p>
    <w:p w14:paraId="605573A2">
      <w:pPr>
        <w:keepNext w:val="0"/>
        <w:keepLines w:val="0"/>
        <w:pageBreakBefore w:val="0"/>
        <w:widowControl/>
        <w:kinsoku w:val="0"/>
        <w:wordWrap/>
        <w:overflowPunct/>
        <w:topLinePunct w:val="0"/>
        <w:autoSpaceDE w:val="0"/>
        <w:autoSpaceDN w:val="0"/>
        <w:bidi w:val="0"/>
        <w:adjustRightInd w:val="0"/>
        <w:snapToGrid w:val="0"/>
        <w:spacing w:line="520" w:lineRule="exact"/>
        <w:ind w:left="0"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(2)建筑本体及附属装修物的维修、维护、保养和管理，包括楼顶、屋顶、地面、梁、柱、内外墙体、门等部位、墙面、楼梯间、走廊、通道、门厅、设备机房及室外照明等。</w:t>
      </w:r>
    </w:p>
    <w:p w14:paraId="07A455E1">
      <w:pPr>
        <w:keepNext w:val="0"/>
        <w:keepLines w:val="0"/>
        <w:pageBreakBefore w:val="0"/>
        <w:widowControl/>
        <w:kinsoku w:val="0"/>
        <w:wordWrap/>
        <w:overflowPunct/>
        <w:topLinePunct w:val="0"/>
        <w:autoSpaceDE w:val="0"/>
        <w:autoSpaceDN w:val="0"/>
        <w:bidi w:val="0"/>
        <w:adjustRightInd w:val="0"/>
        <w:snapToGrid w:val="0"/>
        <w:spacing w:line="52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①房屋本体及公用设施的维修及养护计划</w:t>
      </w:r>
    </w:p>
    <w:p w14:paraId="7AB19A3F">
      <w:pPr>
        <w:keepNext w:val="0"/>
        <w:keepLines w:val="0"/>
        <w:pageBreakBefore w:val="0"/>
        <w:widowControl/>
        <w:kinsoku w:val="0"/>
        <w:wordWrap/>
        <w:overflowPunct/>
        <w:topLinePunct w:val="0"/>
        <w:autoSpaceDE w:val="0"/>
        <w:autoSpaceDN w:val="0"/>
        <w:bidi w:val="0"/>
        <w:adjustRightInd w:val="0"/>
        <w:snapToGrid w:val="0"/>
        <w:spacing w:line="500" w:lineRule="exact"/>
        <w:ind w:right="0" w:firstLine="566" w:firstLineChars="200"/>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项目建筑本体及公用设施包括楼顶、屋顶、地面、梁、柱、门、内外墙体、玻璃幕墙等部位、墙面、楼梯间、走廊、通道、门厅、设备机房、室内外上下水管道、化粪池、污水池、井、路灯、车库、停车场等，以及室外广场照明设施。</w:t>
      </w:r>
    </w:p>
    <w:tbl>
      <w:tblPr>
        <w:tblStyle w:val="38"/>
        <w:tblW w:w="0" w:type="auto"/>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0"/>
        <w:gridCol w:w="787"/>
        <w:gridCol w:w="1360"/>
        <w:gridCol w:w="1260"/>
        <w:gridCol w:w="1470"/>
        <w:gridCol w:w="1560"/>
        <w:gridCol w:w="1620"/>
      </w:tblGrid>
      <w:tr w14:paraId="73125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540" w:type="dxa"/>
            <w:noWrap w:val="0"/>
            <w:vAlign w:val="center"/>
          </w:tcPr>
          <w:p w14:paraId="3AB3000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b/>
                <w:bCs/>
                <w:color w:val="auto"/>
                <w:spacing w:val="0"/>
                <w:w w:val="100"/>
                <w:sz w:val="24"/>
                <w:szCs w:val="24"/>
                <w:lang w:eastAsia="zh-CN"/>
              </w:rPr>
            </w:pPr>
          </w:p>
          <w:p w14:paraId="17C900D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b/>
                <w:bCs/>
                <w:color w:val="auto"/>
                <w:spacing w:val="0"/>
                <w:w w:val="100"/>
                <w:sz w:val="24"/>
                <w:szCs w:val="24"/>
                <w:lang w:eastAsia="zh-CN"/>
              </w:rPr>
            </w:pPr>
            <w:r>
              <w:rPr>
                <w:rFonts w:hint="eastAsia" w:ascii="华文仿宋" w:hAnsi="华文仿宋" w:eastAsia="华文仿宋" w:cs="华文仿宋"/>
                <w:b/>
                <w:bCs/>
                <w:color w:val="auto"/>
                <w:spacing w:val="0"/>
                <w:w w:val="100"/>
                <w:sz w:val="24"/>
                <w:szCs w:val="24"/>
                <w:lang w:eastAsia="zh-CN"/>
              </w:rPr>
              <w:t>序号</w:t>
            </w:r>
          </w:p>
          <w:p w14:paraId="53313B4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248"/>
              <w:jc w:val="center"/>
              <w:textAlignment w:val="baseline"/>
              <w:rPr>
                <w:rFonts w:hint="eastAsia" w:ascii="华文仿宋" w:hAnsi="华文仿宋" w:eastAsia="华文仿宋" w:cs="华文仿宋"/>
                <w:b/>
                <w:bCs/>
                <w:color w:val="auto"/>
                <w:spacing w:val="0"/>
                <w:w w:val="100"/>
                <w:sz w:val="24"/>
                <w:szCs w:val="24"/>
              </w:rPr>
            </w:pPr>
          </w:p>
        </w:tc>
        <w:tc>
          <w:tcPr>
            <w:tcW w:w="787" w:type="dxa"/>
            <w:noWrap w:val="0"/>
            <w:vAlign w:val="center"/>
          </w:tcPr>
          <w:p w14:paraId="7D65C41B">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kern w:val="2"/>
                <w:sz w:val="24"/>
                <w:szCs w:val="24"/>
                <w:lang w:val="en-US" w:eastAsia="zh-CN" w:bidi="ar-SA"/>
              </w:rPr>
              <w:t>设施名称</w:t>
            </w:r>
          </w:p>
        </w:tc>
        <w:tc>
          <w:tcPr>
            <w:tcW w:w="1360" w:type="dxa"/>
            <w:noWrap w:val="0"/>
            <w:vAlign w:val="center"/>
          </w:tcPr>
          <w:p w14:paraId="14E4AA8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54"/>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日常管理</w:t>
            </w:r>
          </w:p>
        </w:tc>
        <w:tc>
          <w:tcPr>
            <w:tcW w:w="1260" w:type="dxa"/>
            <w:noWrap w:val="0"/>
            <w:vAlign w:val="center"/>
          </w:tcPr>
          <w:p w14:paraId="7BDED237">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内容</w:t>
            </w:r>
          </w:p>
        </w:tc>
        <w:tc>
          <w:tcPr>
            <w:tcW w:w="1470" w:type="dxa"/>
            <w:noWrap w:val="0"/>
            <w:vAlign w:val="center"/>
          </w:tcPr>
          <w:p w14:paraId="6E11250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b/>
                <w:bCs/>
                <w:color w:val="auto"/>
                <w:spacing w:val="0"/>
                <w:w w:val="100"/>
                <w:position w:val="24"/>
                <w:sz w:val="24"/>
                <w:szCs w:val="24"/>
              </w:rPr>
            </w:pPr>
            <w:r>
              <w:rPr>
                <w:rFonts w:hint="eastAsia" w:ascii="华文仿宋" w:hAnsi="华文仿宋" w:eastAsia="华文仿宋" w:cs="华文仿宋"/>
                <w:b/>
                <w:bCs/>
                <w:color w:val="auto"/>
                <w:spacing w:val="0"/>
                <w:w w:val="100"/>
                <w:position w:val="24"/>
                <w:sz w:val="24"/>
                <w:szCs w:val="24"/>
              </w:rPr>
              <w:t>定期维修养护计划</w:t>
            </w:r>
          </w:p>
        </w:tc>
        <w:tc>
          <w:tcPr>
            <w:tcW w:w="1560" w:type="dxa"/>
            <w:noWrap w:val="0"/>
            <w:vAlign w:val="center"/>
          </w:tcPr>
          <w:p w14:paraId="6857269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2"/>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实施方案</w:t>
            </w:r>
          </w:p>
        </w:tc>
        <w:tc>
          <w:tcPr>
            <w:tcW w:w="1620" w:type="dxa"/>
            <w:noWrap w:val="0"/>
            <w:vAlign w:val="center"/>
          </w:tcPr>
          <w:p w14:paraId="783FB26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3"/>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实施效果</w:t>
            </w:r>
          </w:p>
        </w:tc>
      </w:tr>
      <w:tr w14:paraId="5A142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0" w:hRule="atLeast"/>
        </w:trPr>
        <w:tc>
          <w:tcPr>
            <w:tcW w:w="540" w:type="dxa"/>
            <w:noWrap w:val="0"/>
            <w:vAlign w:val="center"/>
          </w:tcPr>
          <w:p w14:paraId="502A5E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74F82E7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5996251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4"/>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w:t>
            </w:r>
          </w:p>
        </w:tc>
        <w:tc>
          <w:tcPr>
            <w:tcW w:w="787" w:type="dxa"/>
            <w:noWrap w:val="0"/>
            <w:vAlign w:val="center"/>
          </w:tcPr>
          <w:p w14:paraId="285978B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9" w:firstLine="8"/>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公 共 通 道 及 出</w:t>
            </w:r>
          </w:p>
          <w:p w14:paraId="74D35DC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9" w:firstLine="8"/>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入</w:t>
            </w:r>
            <w:r>
              <w:rPr>
                <w:rFonts w:hint="eastAsia" w:ascii="华文仿宋" w:hAnsi="华文仿宋" w:eastAsia="华文仿宋" w:cs="华文仿宋"/>
                <w:color w:val="auto"/>
                <w:spacing w:val="0"/>
                <w:w w:val="100"/>
                <w:kern w:val="2"/>
                <w:sz w:val="24"/>
                <w:szCs w:val="24"/>
                <w:lang w:val="en-US" w:eastAsia="zh-CN" w:bidi="ar-SA"/>
              </w:rPr>
              <w:t xml:space="preserve"> </w:t>
            </w:r>
            <w:r>
              <w:rPr>
                <w:rFonts w:hint="eastAsia" w:ascii="华文仿宋" w:hAnsi="华文仿宋" w:eastAsia="华文仿宋" w:cs="华文仿宋"/>
                <w:color w:val="auto"/>
                <w:spacing w:val="0"/>
                <w:w w:val="100"/>
                <w:kern w:val="2"/>
                <w:sz w:val="24"/>
                <w:szCs w:val="24"/>
                <w:lang w:val="en-US" w:eastAsia="en-US" w:bidi="ar-SA"/>
              </w:rPr>
              <w:t>口</w:t>
            </w:r>
          </w:p>
        </w:tc>
        <w:tc>
          <w:tcPr>
            <w:tcW w:w="1360" w:type="dxa"/>
            <w:noWrap w:val="0"/>
            <w:vAlign w:val="center"/>
          </w:tcPr>
          <w:p w14:paraId="27EDC2E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6" w:firstLine="1"/>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每日巡查一遍，发现问题采取隐性维修并做好记录。</w:t>
            </w:r>
          </w:p>
        </w:tc>
        <w:tc>
          <w:tcPr>
            <w:tcW w:w="1260" w:type="dxa"/>
            <w:noWrap w:val="0"/>
            <w:vAlign w:val="center"/>
          </w:tcPr>
          <w:p w14:paraId="1FBC3F7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运行组负责组织实施点检、维修和检验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70" w:type="dxa"/>
            <w:noWrap w:val="0"/>
            <w:vAlign w:val="center"/>
          </w:tcPr>
          <w:p w14:paraId="7B14D24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每周对局部损坏严重的部分进行修补或翻新</w:t>
            </w:r>
            <w:r>
              <w:rPr>
                <w:rFonts w:hint="eastAsia" w:ascii="华文仿宋" w:hAnsi="华文仿宋" w:eastAsia="华文仿宋" w:cs="华文仿宋"/>
                <w:color w:val="auto"/>
                <w:spacing w:val="0"/>
                <w:w w:val="100"/>
                <w:kern w:val="2"/>
                <w:sz w:val="24"/>
                <w:szCs w:val="24"/>
                <w:lang w:val="en-US" w:eastAsia="zh-CN" w:bidi="ar-SA"/>
              </w:rPr>
              <w:t>。</w:t>
            </w:r>
          </w:p>
        </w:tc>
        <w:tc>
          <w:tcPr>
            <w:tcW w:w="1560" w:type="dxa"/>
            <w:noWrap w:val="0"/>
            <w:vAlign w:val="center"/>
          </w:tcPr>
          <w:p w14:paraId="2CAC695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4"/>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 组织实施或委托专业公司进行改造。</w:t>
            </w:r>
          </w:p>
        </w:tc>
        <w:tc>
          <w:tcPr>
            <w:tcW w:w="1620" w:type="dxa"/>
            <w:noWrap w:val="0"/>
            <w:vAlign w:val="center"/>
          </w:tcPr>
          <w:p w14:paraId="40C3667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5"/>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1.平整，无坑洼积水；</w:t>
            </w:r>
          </w:p>
          <w:p w14:paraId="0F7D23B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9" w:right="46" w:hanging="8"/>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2.确保公共通道通畅，使用功能正常，无安全隐患</w:t>
            </w:r>
            <w:r>
              <w:rPr>
                <w:rFonts w:hint="eastAsia" w:ascii="华文仿宋" w:hAnsi="华文仿宋" w:eastAsia="华文仿宋" w:cs="华文仿宋"/>
                <w:color w:val="auto"/>
                <w:spacing w:val="0"/>
                <w:w w:val="100"/>
                <w:kern w:val="2"/>
                <w:sz w:val="24"/>
                <w:szCs w:val="24"/>
                <w:lang w:val="en-US" w:eastAsia="zh-CN" w:bidi="ar-SA"/>
              </w:rPr>
              <w:t>。</w:t>
            </w:r>
          </w:p>
        </w:tc>
      </w:tr>
      <w:tr w14:paraId="37D87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5" w:hRule="atLeast"/>
        </w:trPr>
        <w:tc>
          <w:tcPr>
            <w:tcW w:w="540" w:type="dxa"/>
            <w:noWrap w:val="0"/>
            <w:vAlign w:val="center"/>
          </w:tcPr>
          <w:p w14:paraId="27EDA5A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478CFA8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47B438D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0CFADF8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0B1F6CC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w:t>
            </w:r>
          </w:p>
        </w:tc>
        <w:tc>
          <w:tcPr>
            <w:tcW w:w="787" w:type="dxa"/>
            <w:noWrap w:val="0"/>
            <w:vAlign w:val="center"/>
          </w:tcPr>
          <w:p w14:paraId="1C655F7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9" w:firstLine="8"/>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公 共 洗 手 间 及</w:t>
            </w:r>
          </w:p>
          <w:p w14:paraId="2FAAAC6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设</w:t>
            </w:r>
          </w:p>
          <w:p w14:paraId="4574976A">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施</w:t>
            </w:r>
          </w:p>
        </w:tc>
        <w:tc>
          <w:tcPr>
            <w:tcW w:w="1360" w:type="dxa"/>
            <w:noWrap w:val="0"/>
            <w:vAlign w:val="center"/>
          </w:tcPr>
          <w:p w14:paraId="41AF683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6" w:firstLine="1"/>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每日点检 一 遍并记录，发现问题及时处理并做好 《公共设施点检记录》。</w:t>
            </w:r>
          </w:p>
        </w:tc>
        <w:tc>
          <w:tcPr>
            <w:tcW w:w="1260" w:type="dxa"/>
            <w:noWrap w:val="0"/>
            <w:vAlign w:val="center"/>
          </w:tcPr>
          <w:p w14:paraId="0EB8C63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2B42C0A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4" w:right="105"/>
              <w:jc w:val="center"/>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责组织点 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70" w:type="dxa"/>
            <w:noWrap w:val="0"/>
            <w:vAlign w:val="center"/>
          </w:tcPr>
          <w:p w14:paraId="2C86B07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1533419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1.每半年清理一次；</w:t>
            </w:r>
          </w:p>
          <w:p w14:paraId="1910A46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2.每年检查维护一次。</w:t>
            </w:r>
          </w:p>
        </w:tc>
        <w:tc>
          <w:tcPr>
            <w:tcW w:w="1560" w:type="dxa"/>
            <w:noWrap w:val="0"/>
            <w:vAlign w:val="center"/>
          </w:tcPr>
          <w:p w14:paraId="7F20E6A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2780DD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66BB8B7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right="102"/>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 组织实施、</w:t>
            </w:r>
          </w:p>
          <w:p w14:paraId="70B8E29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both"/>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检验</w:t>
            </w:r>
            <w:r>
              <w:rPr>
                <w:rFonts w:hint="eastAsia" w:ascii="华文仿宋" w:hAnsi="华文仿宋" w:eastAsia="华文仿宋" w:cs="华文仿宋"/>
                <w:color w:val="auto"/>
                <w:spacing w:val="0"/>
                <w:w w:val="100"/>
                <w:kern w:val="2"/>
                <w:sz w:val="24"/>
                <w:szCs w:val="24"/>
                <w:lang w:val="en-US" w:eastAsia="zh-CN" w:bidi="ar-SA"/>
              </w:rPr>
              <w:t>。</w:t>
            </w:r>
          </w:p>
        </w:tc>
        <w:tc>
          <w:tcPr>
            <w:tcW w:w="1620" w:type="dxa"/>
            <w:noWrap w:val="0"/>
            <w:vAlign w:val="center"/>
          </w:tcPr>
          <w:p w14:paraId="6FBFF5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4BF061C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1.确保使用功能正常；</w:t>
            </w:r>
          </w:p>
          <w:p w14:paraId="4A33387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zh-CN" w:bidi="ar-SA"/>
              </w:rPr>
              <w:t xml:space="preserve"> </w:t>
            </w:r>
            <w:r>
              <w:rPr>
                <w:rFonts w:hint="eastAsia" w:ascii="华文仿宋" w:hAnsi="华文仿宋" w:eastAsia="华文仿宋" w:cs="华文仿宋"/>
                <w:color w:val="auto"/>
                <w:spacing w:val="0"/>
                <w:w w:val="100"/>
                <w:kern w:val="2"/>
                <w:sz w:val="24"/>
                <w:szCs w:val="24"/>
                <w:lang w:val="en-US" w:eastAsia="en-US" w:bidi="ar-SA"/>
              </w:rPr>
              <w:t>2.清洁美观；</w:t>
            </w:r>
          </w:p>
          <w:p w14:paraId="2C6141A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3.完好率95%。</w:t>
            </w:r>
          </w:p>
        </w:tc>
      </w:tr>
      <w:tr w14:paraId="4B1F1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40" w:type="dxa"/>
            <w:noWrap w:val="0"/>
            <w:vAlign w:val="center"/>
          </w:tcPr>
          <w:p w14:paraId="41DBF02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7A49E89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5A5FC63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6473CC0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3</w:t>
            </w:r>
          </w:p>
        </w:tc>
        <w:tc>
          <w:tcPr>
            <w:tcW w:w="787" w:type="dxa"/>
            <w:noWrap w:val="0"/>
            <w:vAlign w:val="center"/>
          </w:tcPr>
          <w:p w14:paraId="795B525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9"/>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公用</w:t>
            </w:r>
          </w:p>
          <w:p w14:paraId="0C9026C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9"/>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标识</w:t>
            </w:r>
          </w:p>
          <w:p w14:paraId="423186E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系统</w:t>
            </w:r>
          </w:p>
        </w:tc>
        <w:tc>
          <w:tcPr>
            <w:tcW w:w="1360" w:type="dxa"/>
            <w:noWrap w:val="0"/>
            <w:vAlign w:val="center"/>
          </w:tcPr>
          <w:p w14:paraId="723159C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6"/>
              <w:jc w:val="center"/>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每日巡查一遍并做好《公共设施点检记录》发现</w:t>
            </w:r>
            <w:r>
              <w:rPr>
                <w:rFonts w:hint="eastAsia" w:ascii="华文仿宋" w:hAnsi="华文仿宋" w:eastAsia="华文仿宋" w:cs="华文仿宋"/>
                <w:color w:val="auto"/>
                <w:spacing w:val="0"/>
                <w:w w:val="100"/>
                <w:kern w:val="2"/>
                <w:sz w:val="24"/>
                <w:szCs w:val="24"/>
                <w:lang w:val="en-US" w:eastAsia="zh-CN" w:bidi="ar-SA"/>
              </w:rPr>
              <w:t>问题。</w:t>
            </w:r>
          </w:p>
        </w:tc>
        <w:tc>
          <w:tcPr>
            <w:tcW w:w="1260" w:type="dxa"/>
            <w:noWrap w:val="0"/>
            <w:vAlign w:val="center"/>
          </w:tcPr>
          <w:p w14:paraId="0CCDCFC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F8F264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w:t>
            </w:r>
            <w:r>
              <w:rPr>
                <w:rFonts w:hint="eastAsia" w:ascii="华文仿宋" w:hAnsi="华文仿宋" w:eastAsia="华文仿宋" w:cs="华文仿宋"/>
                <w:color w:val="auto"/>
                <w:spacing w:val="0"/>
                <w:w w:val="100"/>
                <w:kern w:val="2"/>
                <w:sz w:val="24"/>
                <w:szCs w:val="24"/>
                <w:lang w:val="en-US" w:eastAsia="zh-CN" w:bidi="ar-SA"/>
              </w:rPr>
              <w:t>、</w:t>
            </w:r>
            <w:r>
              <w:rPr>
                <w:rFonts w:hint="eastAsia" w:ascii="华文仿宋" w:hAnsi="华文仿宋" w:eastAsia="华文仿宋" w:cs="华文仿宋"/>
                <w:color w:val="auto"/>
                <w:spacing w:val="0"/>
                <w:w w:val="100"/>
                <w:kern w:val="2"/>
                <w:sz w:val="24"/>
                <w:szCs w:val="24"/>
                <w:lang w:val="en-US" w:eastAsia="en-US" w:bidi="ar-SA"/>
              </w:rPr>
              <w:t>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70" w:type="dxa"/>
            <w:noWrap w:val="0"/>
            <w:vAlign w:val="center"/>
          </w:tcPr>
          <w:p w14:paraId="473DBCD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每周清洁标识一次；每月对标识进行维护；</w:t>
            </w:r>
          </w:p>
        </w:tc>
        <w:tc>
          <w:tcPr>
            <w:tcW w:w="1560" w:type="dxa"/>
            <w:noWrap w:val="0"/>
            <w:vAlign w:val="center"/>
          </w:tcPr>
          <w:p w14:paraId="67AC4F9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2"/>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维修组负责组织实施、检验。</w:t>
            </w:r>
          </w:p>
        </w:tc>
        <w:tc>
          <w:tcPr>
            <w:tcW w:w="1620" w:type="dxa"/>
            <w:noWrap w:val="0"/>
            <w:vAlign w:val="center"/>
          </w:tcPr>
          <w:p w14:paraId="1D907F5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017E4D8">
            <w:pPr>
              <w:pStyle w:val="37"/>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right="169" w:rightChars="0" w:firstLine="243" w:firstLineChars="100"/>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zh-CN" w:bidi="ar-SA"/>
              </w:rPr>
              <w:t>1.</w:t>
            </w:r>
            <w:r>
              <w:rPr>
                <w:rFonts w:hint="eastAsia" w:ascii="华文仿宋" w:hAnsi="华文仿宋" w:eastAsia="华文仿宋" w:cs="华文仿宋"/>
                <w:color w:val="auto"/>
                <w:spacing w:val="0"/>
                <w:w w:val="100"/>
                <w:kern w:val="2"/>
                <w:sz w:val="24"/>
                <w:szCs w:val="24"/>
                <w:lang w:val="en-US" w:eastAsia="en-US" w:bidi="ar-SA"/>
              </w:rPr>
              <w:t>标识清晰美观；</w:t>
            </w:r>
          </w:p>
          <w:p w14:paraId="397ED02D">
            <w:pPr>
              <w:pStyle w:val="37"/>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right="169" w:rightChars="0" w:firstLine="243" w:firstLineChars="100"/>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zh-CN" w:bidi="ar-SA"/>
              </w:rPr>
              <w:t>2.</w:t>
            </w:r>
            <w:r>
              <w:rPr>
                <w:rFonts w:hint="eastAsia" w:ascii="华文仿宋" w:hAnsi="华文仿宋" w:eastAsia="华文仿宋" w:cs="华文仿宋"/>
                <w:color w:val="auto"/>
                <w:spacing w:val="0"/>
                <w:w w:val="100"/>
                <w:kern w:val="2"/>
                <w:sz w:val="24"/>
                <w:szCs w:val="24"/>
                <w:lang w:val="en-US" w:eastAsia="en-US" w:bidi="ar-SA"/>
              </w:rPr>
              <w:t>安装牢固可靠；</w:t>
            </w:r>
          </w:p>
          <w:p w14:paraId="281E657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zh-CN" w:bidi="ar-SA"/>
              </w:rPr>
              <w:t>3.</w:t>
            </w:r>
            <w:r>
              <w:rPr>
                <w:rFonts w:hint="eastAsia" w:ascii="华文仿宋" w:hAnsi="华文仿宋" w:eastAsia="华文仿宋" w:cs="华文仿宋"/>
                <w:color w:val="auto"/>
                <w:spacing w:val="0"/>
                <w:w w:val="100"/>
                <w:kern w:val="2"/>
                <w:sz w:val="24"/>
                <w:szCs w:val="24"/>
                <w:lang w:val="en-US" w:eastAsia="en-US" w:bidi="ar-SA"/>
              </w:rPr>
              <w:t>完好率达到95%以上。</w:t>
            </w:r>
          </w:p>
        </w:tc>
      </w:tr>
      <w:tr w14:paraId="05038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8" w:hRule="atLeast"/>
        </w:trPr>
        <w:tc>
          <w:tcPr>
            <w:tcW w:w="540" w:type="dxa"/>
            <w:noWrap w:val="0"/>
            <w:vAlign w:val="center"/>
          </w:tcPr>
          <w:p w14:paraId="1DF5706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59BEDA0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64920EB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4</w:t>
            </w:r>
          </w:p>
        </w:tc>
        <w:tc>
          <w:tcPr>
            <w:tcW w:w="787" w:type="dxa"/>
            <w:noWrap w:val="0"/>
            <w:vAlign w:val="center"/>
          </w:tcPr>
          <w:p w14:paraId="5E82D3E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9"/>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3B52FED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9"/>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房 屋 主 体 承 重 结 构</w:t>
            </w:r>
          </w:p>
          <w:p w14:paraId="5BF14EB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部</w:t>
            </w:r>
            <w:r>
              <w:rPr>
                <w:rFonts w:hint="eastAsia" w:ascii="华文仿宋" w:hAnsi="华文仿宋" w:eastAsia="华文仿宋" w:cs="华文仿宋"/>
                <w:color w:val="auto"/>
                <w:spacing w:val="0"/>
                <w:w w:val="100"/>
                <w:kern w:val="2"/>
                <w:sz w:val="24"/>
                <w:szCs w:val="24"/>
                <w:lang w:val="en-US" w:eastAsia="zh-CN" w:bidi="ar-SA"/>
              </w:rPr>
              <w:t xml:space="preserve"> </w:t>
            </w:r>
            <w:r>
              <w:rPr>
                <w:rFonts w:hint="eastAsia" w:ascii="华文仿宋" w:hAnsi="华文仿宋" w:eastAsia="华文仿宋" w:cs="华文仿宋"/>
                <w:color w:val="auto"/>
                <w:spacing w:val="0"/>
                <w:w w:val="100"/>
                <w:kern w:val="2"/>
                <w:sz w:val="24"/>
                <w:szCs w:val="24"/>
                <w:lang w:val="en-US" w:eastAsia="en-US" w:bidi="ar-SA"/>
              </w:rPr>
              <w:t>位</w:t>
            </w:r>
          </w:p>
        </w:tc>
        <w:tc>
          <w:tcPr>
            <w:tcW w:w="1360" w:type="dxa"/>
            <w:noWrap w:val="0"/>
            <w:vAlign w:val="center"/>
          </w:tcPr>
          <w:p w14:paraId="212410D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6"/>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0"/>
                <w:sz w:val="24"/>
                <w:szCs w:val="24"/>
                <w:lang w:val="en-US" w:eastAsia="en-US" w:bidi="ar-SA"/>
              </w:rPr>
              <w:t>每周巡察一次并做好记录。</w:t>
            </w:r>
          </w:p>
        </w:tc>
        <w:tc>
          <w:tcPr>
            <w:tcW w:w="1260" w:type="dxa"/>
            <w:noWrap w:val="0"/>
            <w:vAlign w:val="center"/>
          </w:tcPr>
          <w:p w14:paraId="716BB70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sz w:val="24"/>
                <w:szCs w:val="24"/>
                <w:lang w:val="en-US" w:eastAsia="en-US" w:bidi="ar-SA"/>
              </w:rPr>
            </w:pPr>
          </w:p>
          <w:p w14:paraId="76377E8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0"/>
                <w:sz w:val="24"/>
                <w:szCs w:val="24"/>
                <w:lang w:val="en-US" w:eastAsia="zh-CN" w:bidi="ar-SA"/>
              </w:rPr>
            </w:pPr>
            <w:r>
              <w:rPr>
                <w:rFonts w:hint="eastAsia" w:ascii="华文仿宋" w:hAnsi="华文仿宋" w:eastAsia="华文仿宋" w:cs="华文仿宋"/>
                <w:color w:val="auto"/>
                <w:spacing w:val="0"/>
                <w:w w:val="100"/>
                <w:kern w:val="0"/>
                <w:sz w:val="24"/>
                <w:szCs w:val="24"/>
                <w:lang w:val="en-US" w:eastAsia="en-US" w:bidi="ar-SA"/>
              </w:rPr>
              <w:t>运行组负 责组织实 施点检、维修和检验</w:t>
            </w:r>
            <w:r>
              <w:rPr>
                <w:rFonts w:hint="eastAsia" w:ascii="华文仿宋" w:hAnsi="华文仿宋" w:eastAsia="华文仿宋" w:cs="华文仿宋"/>
                <w:color w:val="auto"/>
                <w:spacing w:val="0"/>
                <w:w w:val="100"/>
                <w:kern w:val="0"/>
                <w:sz w:val="24"/>
                <w:szCs w:val="24"/>
                <w:lang w:val="en-US" w:eastAsia="zh-CN" w:bidi="ar-SA"/>
              </w:rPr>
              <w:t>。</w:t>
            </w:r>
          </w:p>
        </w:tc>
        <w:tc>
          <w:tcPr>
            <w:tcW w:w="1470" w:type="dxa"/>
            <w:noWrap w:val="0"/>
            <w:vAlign w:val="center"/>
          </w:tcPr>
          <w:p w14:paraId="1D76BDA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sz w:val="24"/>
                <w:szCs w:val="24"/>
                <w:lang w:val="en-US" w:eastAsia="zh-CN" w:bidi="ar-SA"/>
              </w:rPr>
            </w:pPr>
            <w:r>
              <w:rPr>
                <w:rFonts w:hint="eastAsia" w:ascii="华文仿宋" w:hAnsi="华文仿宋" w:eastAsia="华文仿宋" w:cs="华文仿宋"/>
                <w:color w:val="auto"/>
                <w:spacing w:val="0"/>
                <w:w w:val="100"/>
                <w:kern w:val="0"/>
                <w:sz w:val="24"/>
                <w:szCs w:val="24"/>
                <w:lang w:val="en-US" w:eastAsia="en-US" w:bidi="ar-SA"/>
              </w:rPr>
              <w:t>每周清洁标识一次；每月对标识进行维护</w:t>
            </w:r>
            <w:r>
              <w:rPr>
                <w:rFonts w:hint="eastAsia" w:ascii="华文仿宋" w:hAnsi="华文仿宋" w:eastAsia="华文仿宋" w:cs="华文仿宋"/>
                <w:color w:val="auto"/>
                <w:spacing w:val="0"/>
                <w:w w:val="100"/>
                <w:kern w:val="0"/>
                <w:sz w:val="24"/>
                <w:szCs w:val="24"/>
                <w:lang w:val="en-US" w:eastAsia="zh-CN" w:bidi="ar-SA"/>
              </w:rPr>
              <w:t>。</w:t>
            </w:r>
          </w:p>
        </w:tc>
        <w:tc>
          <w:tcPr>
            <w:tcW w:w="1560" w:type="dxa"/>
            <w:noWrap w:val="0"/>
            <w:vAlign w:val="center"/>
          </w:tcPr>
          <w:p w14:paraId="50E0939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3"/>
              <w:jc w:val="left"/>
              <w:textAlignment w:val="baseline"/>
              <w:rPr>
                <w:rFonts w:hint="eastAsia" w:ascii="华文仿宋" w:hAnsi="华文仿宋" w:eastAsia="华文仿宋" w:cs="华文仿宋"/>
                <w:color w:val="auto"/>
                <w:spacing w:val="0"/>
                <w:w w:val="100"/>
                <w:kern w:val="0"/>
                <w:sz w:val="24"/>
                <w:szCs w:val="24"/>
                <w:lang w:val="en-US" w:eastAsia="en-US" w:bidi="ar-SA"/>
              </w:rPr>
            </w:pPr>
          </w:p>
          <w:p w14:paraId="4FFB21C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3"/>
              <w:jc w:val="left"/>
              <w:textAlignment w:val="baseline"/>
              <w:rPr>
                <w:rFonts w:hint="eastAsia" w:ascii="华文仿宋" w:hAnsi="华文仿宋" w:eastAsia="华文仿宋" w:cs="华文仿宋"/>
                <w:color w:val="auto"/>
                <w:spacing w:val="0"/>
                <w:w w:val="100"/>
                <w:kern w:val="0"/>
                <w:sz w:val="24"/>
                <w:szCs w:val="24"/>
                <w:lang w:val="en-US" w:eastAsia="zh-CN" w:bidi="ar-SA"/>
              </w:rPr>
            </w:pPr>
            <w:r>
              <w:rPr>
                <w:rFonts w:hint="eastAsia" w:ascii="华文仿宋" w:hAnsi="华文仿宋" w:eastAsia="华文仿宋" w:cs="华文仿宋"/>
                <w:color w:val="auto"/>
                <w:spacing w:val="0"/>
                <w:w w:val="100"/>
                <w:kern w:val="0"/>
                <w:sz w:val="24"/>
                <w:szCs w:val="24"/>
                <w:lang w:val="en-US" w:eastAsia="en-US" w:bidi="ar-SA"/>
              </w:rPr>
              <w:t>维修组负责 组织实施 、 检验或委托 专业公司进行大修、更新、改造</w:t>
            </w:r>
            <w:r>
              <w:rPr>
                <w:rFonts w:hint="eastAsia" w:ascii="华文仿宋" w:hAnsi="华文仿宋" w:eastAsia="华文仿宋" w:cs="华文仿宋"/>
                <w:color w:val="auto"/>
                <w:spacing w:val="0"/>
                <w:w w:val="100"/>
                <w:kern w:val="0"/>
                <w:sz w:val="24"/>
                <w:szCs w:val="24"/>
                <w:lang w:val="en-US" w:eastAsia="zh-CN" w:bidi="ar-SA"/>
              </w:rPr>
              <w:t>。</w:t>
            </w:r>
          </w:p>
        </w:tc>
        <w:tc>
          <w:tcPr>
            <w:tcW w:w="1620" w:type="dxa"/>
            <w:noWrap w:val="0"/>
            <w:vAlign w:val="center"/>
          </w:tcPr>
          <w:p w14:paraId="3C8A2175">
            <w:pPr>
              <w:pStyle w:val="37"/>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exact"/>
              <w:ind w:left="121" w:right="49" w:firstLine="14"/>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0"/>
                <w:sz w:val="24"/>
                <w:szCs w:val="24"/>
                <w:lang w:val="en-US" w:eastAsia="en-US" w:bidi="ar-SA"/>
              </w:rPr>
              <w:t>构件满足强度、 刚度和稳定性要求；</w:t>
            </w:r>
          </w:p>
          <w:p w14:paraId="00AB2936">
            <w:pPr>
              <w:pStyle w:val="37"/>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exact"/>
              <w:ind w:left="135" w:leftChars="0" w:right="49" w:rightChars="0"/>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0"/>
                <w:sz w:val="24"/>
                <w:szCs w:val="24"/>
                <w:lang w:val="en-US" w:eastAsia="en-US" w:bidi="ar-SA"/>
              </w:rPr>
              <w:t>2.房屋各结构 部位正常可靠；</w:t>
            </w:r>
          </w:p>
          <w:p w14:paraId="6EF5D14A">
            <w:pPr>
              <w:pStyle w:val="37"/>
              <w:keepNext w:val="0"/>
              <w:keepLines w:val="0"/>
              <w:pageBreakBefore w:val="0"/>
              <w:widowControl/>
              <w:kinsoku w:val="0"/>
              <w:wordWrap/>
              <w:overflowPunct/>
              <w:topLinePunct w:val="0"/>
              <w:autoSpaceDE w:val="0"/>
              <w:autoSpaceDN w:val="0"/>
              <w:bidi w:val="0"/>
              <w:adjustRightInd w:val="0"/>
              <w:snapToGrid w:val="0"/>
              <w:spacing w:line="240" w:lineRule="exact"/>
              <w:ind w:left="145"/>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0"/>
                <w:sz w:val="24"/>
                <w:szCs w:val="24"/>
                <w:lang w:val="en-US" w:eastAsia="en-US" w:bidi="ar-SA"/>
              </w:rPr>
              <w:t>3.完好率达到 90%以上；</w:t>
            </w:r>
          </w:p>
          <w:p w14:paraId="6213FB23">
            <w:pPr>
              <w:pStyle w:val="37"/>
              <w:keepNext w:val="0"/>
              <w:keepLines w:val="0"/>
              <w:pageBreakBefore w:val="0"/>
              <w:widowControl/>
              <w:kinsoku w:val="0"/>
              <w:wordWrap/>
              <w:overflowPunct/>
              <w:topLinePunct w:val="0"/>
              <w:autoSpaceDE w:val="0"/>
              <w:autoSpaceDN w:val="0"/>
              <w:bidi w:val="0"/>
              <w:adjustRightInd w:val="0"/>
              <w:snapToGrid w:val="0"/>
              <w:spacing w:line="240" w:lineRule="exact"/>
              <w:ind w:left="117"/>
              <w:jc w:val="left"/>
              <w:textAlignment w:val="baseline"/>
              <w:rPr>
                <w:rFonts w:hint="eastAsia" w:ascii="华文仿宋" w:hAnsi="华文仿宋" w:eastAsia="华文仿宋" w:cs="华文仿宋"/>
                <w:color w:val="auto"/>
                <w:spacing w:val="0"/>
                <w:w w:val="100"/>
                <w:kern w:val="0"/>
                <w:sz w:val="24"/>
                <w:szCs w:val="24"/>
                <w:lang w:val="en-US" w:eastAsia="zh-CN" w:bidi="ar-SA"/>
              </w:rPr>
            </w:pPr>
            <w:r>
              <w:rPr>
                <w:rFonts w:hint="eastAsia" w:ascii="华文仿宋" w:hAnsi="华文仿宋" w:eastAsia="华文仿宋" w:cs="华文仿宋"/>
                <w:color w:val="auto"/>
                <w:spacing w:val="0"/>
                <w:w w:val="100"/>
                <w:kern w:val="0"/>
                <w:sz w:val="24"/>
                <w:szCs w:val="24"/>
                <w:lang w:val="en-US" w:eastAsia="en-US" w:bidi="ar-SA"/>
              </w:rPr>
              <w:t>4.结构部位合理、性能完好</w:t>
            </w:r>
            <w:r>
              <w:rPr>
                <w:rFonts w:hint="eastAsia" w:ascii="华文仿宋" w:hAnsi="华文仿宋" w:eastAsia="华文仿宋" w:cs="华文仿宋"/>
                <w:color w:val="auto"/>
                <w:spacing w:val="0"/>
                <w:w w:val="100"/>
                <w:kern w:val="0"/>
                <w:sz w:val="24"/>
                <w:szCs w:val="24"/>
                <w:lang w:val="en-US" w:eastAsia="zh-CN" w:bidi="ar-SA"/>
              </w:rPr>
              <w:t>。</w:t>
            </w:r>
          </w:p>
          <w:p w14:paraId="2E3C9260">
            <w:pPr>
              <w:pStyle w:val="37"/>
              <w:keepNext w:val="0"/>
              <w:keepLines w:val="0"/>
              <w:pageBreakBefore w:val="0"/>
              <w:widowControl/>
              <w:kinsoku w:val="0"/>
              <w:wordWrap/>
              <w:overflowPunct/>
              <w:topLinePunct w:val="0"/>
              <w:autoSpaceDE w:val="0"/>
              <w:autoSpaceDN w:val="0"/>
              <w:bidi w:val="0"/>
              <w:adjustRightInd w:val="0"/>
              <w:snapToGrid w:val="0"/>
              <w:spacing w:line="240" w:lineRule="exact"/>
              <w:ind w:left="122"/>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0"/>
                <w:sz w:val="24"/>
                <w:szCs w:val="24"/>
                <w:lang w:val="en-US" w:eastAsia="en-US" w:bidi="ar-SA"/>
              </w:rPr>
              <w:t>5.完好率达到 90%以上。</w:t>
            </w:r>
          </w:p>
        </w:tc>
      </w:tr>
    </w:tbl>
    <w:p w14:paraId="54843AA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8"/>
        <w:gridCol w:w="786"/>
        <w:gridCol w:w="1330"/>
        <w:gridCol w:w="1290"/>
        <w:gridCol w:w="1440"/>
        <w:gridCol w:w="1665"/>
        <w:gridCol w:w="1560"/>
      </w:tblGrid>
      <w:tr w14:paraId="1BB49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2" w:hRule="atLeast"/>
        </w:trPr>
        <w:tc>
          <w:tcPr>
            <w:tcW w:w="528" w:type="dxa"/>
            <w:noWrap w:val="0"/>
            <w:vAlign w:val="top"/>
          </w:tcPr>
          <w:p w14:paraId="359CBBD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7488A3B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59AD07A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5999291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5</w:t>
            </w:r>
          </w:p>
        </w:tc>
        <w:tc>
          <w:tcPr>
            <w:tcW w:w="786" w:type="dxa"/>
            <w:noWrap w:val="0"/>
            <w:vAlign w:val="top"/>
          </w:tcPr>
          <w:p w14:paraId="41315B4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1F0CC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51C36C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屋</w:t>
            </w:r>
          </w:p>
          <w:p w14:paraId="24E541D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面</w:t>
            </w:r>
          </w:p>
          <w:p w14:paraId="5143C95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防</w:t>
            </w:r>
          </w:p>
          <w:p w14:paraId="011C2C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水</w:t>
            </w:r>
          </w:p>
        </w:tc>
        <w:tc>
          <w:tcPr>
            <w:tcW w:w="1330" w:type="dxa"/>
            <w:noWrap w:val="0"/>
            <w:vAlign w:val="center"/>
          </w:tcPr>
          <w:p w14:paraId="4BFCF9A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EBB73A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right="106" w:hanging="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每周巡察一次并做好记录。</w:t>
            </w:r>
          </w:p>
        </w:tc>
        <w:tc>
          <w:tcPr>
            <w:tcW w:w="1290" w:type="dxa"/>
            <w:noWrap w:val="0"/>
            <w:vAlign w:val="center"/>
          </w:tcPr>
          <w:p w14:paraId="23F7D5B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3794D0D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2156F22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5" w:right="103"/>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每半年检查屋面一次，对漏水点进行记录、统计，定期组织维修。</w:t>
            </w:r>
          </w:p>
        </w:tc>
        <w:tc>
          <w:tcPr>
            <w:tcW w:w="1665" w:type="dxa"/>
            <w:noWrap w:val="0"/>
            <w:vAlign w:val="center"/>
          </w:tcPr>
          <w:p w14:paraId="3C3ABA7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3"/>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 组织实施 、 检验或委托 专业公司进</w:t>
            </w:r>
          </w:p>
          <w:p w14:paraId="7B198C6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0"/>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行。</w:t>
            </w:r>
          </w:p>
        </w:tc>
        <w:tc>
          <w:tcPr>
            <w:tcW w:w="1560" w:type="dxa"/>
            <w:noWrap w:val="0"/>
            <w:vAlign w:val="center"/>
          </w:tcPr>
          <w:p w14:paraId="6DC6D12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AA214F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5"/>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1.确保使用功能正常可靠；</w:t>
            </w:r>
          </w:p>
          <w:p w14:paraId="70D5ACE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 无渗漏。</w:t>
            </w:r>
          </w:p>
        </w:tc>
      </w:tr>
      <w:tr w14:paraId="7A5A3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7" w:hRule="atLeast"/>
        </w:trPr>
        <w:tc>
          <w:tcPr>
            <w:tcW w:w="528" w:type="dxa"/>
            <w:noWrap w:val="0"/>
            <w:vAlign w:val="top"/>
          </w:tcPr>
          <w:p w14:paraId="3820229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964712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F3E6F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5F3C87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EEB8CE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6</w:t>
            </w:r>
          </w:p>
        </w:tc>
        <w:tc>
          <w:tcPr>
            <w:tcW w:w="786" w:type="dxa"/>
            <w:noWrap w:val="0"/>
            <w:vAlign w:val="center"/>
          </w:tcPr>
          <w:p w14:paraId="6C1E215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252664B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消</w:t>
            </w:r>
          </w:p>
          <w:p w14:paraId="35A9491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防</w:t>
            </w:r>
          </w:p>
          <w:p w14:paraId="658CB5F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通</w:t>
            </w:r>
          </w:p>
          <w:p w14:paraId="094271A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道</w:t>
            </w:r>
          </w:p>
        </w:tc>
        <w:tc>
          <w:tcPr>
            <w:tcW w:w="1330" w:type="dxa"/>
            <w:noWrap w:val="0"/>
            <w:vAlign w:val="center"/>
          </w:tcPr>
          <w:p w14:paraId="7AAB83E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DC4C2C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每日点检巡察好记录。</w:t>
            </w:r>
          </w:p>
        </w:tc>
        <w:tc>
          <w:tcPr>
            <w:tcW w:w="1290" w:type="dxa"/>
            <w:noWrap w:val="0"/>
            <w:vAlign w:val="center"/>
          </w:tcPr>
          <w:p w14:paraId="5ABC147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216042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75DCB9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3C51350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7"/>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中修4年，大修8年。</w:t>
            </w:r>
          </w:p>
        </w:tc>
        <w:tc>
          <w:tcPr>
            <w:tcW w:w="1665" w:type="dxa"/>
            <w:noWrap w:val="0"/>
            <w:vAlign w:val="center"/>
          </w:tcPr>
          <w:p w14:paraId="6FE70EA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4"/>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 组织实施或 委托专业公 司进行大修、更新改造</w:t>
            </w:r>
          </w:p>
        </w:tc>
        <w:tc>
          <w:tcPr>
            <w:tcW w:w="1560" w:type="dxa"/>
            <w:noWrap w:val="0"/>
            <w:vAlign w:val="center"/>
          </w:tcPr>
          <w:p w14:paraId="7A7D3EA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5"/>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1.车场使用功能正常；</w:t>
            </w:r>
          </w:p>
          <w:p w14:paraId="24FE10C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right="108"/>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2.场地平整，无坑洼积水，完好率达到99%以上。</w:t>
            </w:r>
          </w:p>
        </w:tc>
      </w:tr>
      <w:tr w14:paraId="118F6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8" w:hRule="atLeast"/>
        </w:trPr>
        <w:tc>
          <w:tcPr>
            <w:tcW w:w="528" w:type="dxa"/>
            <w:noWrap w:val="0"/>
            <w:vAlign w:val="top"/>
          </w:tcPr>
          <w:p w14:paraId="2015B7C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52BD3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EE3CEE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968E9A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8AEA98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2"/>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7</w:t>
            </w:r>
          </w:p>
        </w:tc>
        <w:tc>
          <w:tcPr>
            <w:tcW w:w="786" w:type="dxa"/>
            <w:noWrap w:val="0"/>
            <w:vAlign w:val="top"/>
          </w:tcPr>
          <w:p w14:paraId="29013F1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36A94BF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38EC54A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512D19E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 xml:space="preserve">停 </w:t>
            </w:r>
          </w:p>
          <w:p w14:paraId="0CB04B4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车</w:t>
            </w:r>
          </w:p>
          <w:p w14:paraId="368D371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场</w:t>
            </w:r>
          </w:p>
        </w:tc>
        <w:tc>
          <w:tcPr>
            <w:tcW w:w="1330" w:type="dxa"/>
            <w:noWrap w:val="0"/>
            <w:vAlign w:val="center"/>
          </w:tcPr>
          <w:p w14:paraId="5097321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898E6A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right="106" w:firstLine="1"/>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每日巡查 一遍，发现问题及时处理。</w:t>
            </w:r>
          </w:p>
        </w:tc>
        <w:tc>
          <w:tcPr>
            <w:tcW w:w="1290" w:type="dxa"/>
            <w:noWrap w:val="0"/>
            <w:vAlign w:val="center"/>
          </w:tcPr>
          <w:p w14:paraId="6847114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718418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5"/>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2C033DF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1.</w:t>
            </w:r>
            <w:r>
              <w:rPr>
                <w:rFonts w:hint="eastAsia" w:ascii="华文仿宋" w:hAnsi="华文仿宋" w:eastAsia="华文仿宋" w:cs="华文仿宋"/>
                <w:color w:val="auto"/>
                <w:spacing w:val="0"/>
                <w:w w:val="100"/>
                <w:kern w:val="2"/>
                <w:sz w:val="24"/>
                <w:szCs w:val="24"/>
                <w:lang w:val="en-US" w:eastAsia="zh-CN" w:bidi="ar-SA"/>
              </w:rPr>
              <w:t>停</w:t>
            </w:r>
            <w:r>
              <w:rPr>
                <w:rFonts w:hint="eastAsia" w:ascii="华文仿宋" w:hAnsi="华文仿宋" w:eastAsia="华文仿宋" w:cs="华文仿宋"/>
                <w:color w:val="auto"/>
                <w:spacing w:val="0"/>
                <w:w w:val="100"/>
                <w:kern w:val="2"/>
                <w:sz w:val="24"/>
                <w:szCs w:val="24"/>
                <w:lang w:val="en-US" w:eastAsia="en-US" w:bidi="ar-SA"/>
              </w:rPr>
              <w:t>车场内 地面、减速坡有局部沉陷损坏的，及时维修</w:t>
            </w:r>
            <w:r>
              <w:rPr>
                <w:rFonts w:hint="eastAsia" w:ascii="华文仿宋" w:hAnsi="华文仿宋" w:eastAsia="华文仿宋" w:cs="华文仿宋"/>
                <w:color w:val="auto"/>
                <w:spacing w:val="0"/>
                <w:w w:val="100"/>
                <w:kern w:val="2"/>
                <w:sz w:val="24"/>
                <w:szCs w:val="24"/>
                <w:lang w:val="en-US" w:eastAsia="zh-CN" w:bidi="ar-SA"/>
              </w:rPr>
              <w:t>。</w:t>
            </w:r>
          </w:p>
        </w:tc>
        <w:tc>
          <w:tcPr>
            <w:tcW w:w="1665" w:type="dxa"/>
            <w:noWrap w:val="0"/>
            <w:vAlign w:val="center"/>
          </w:tcPr>
          <w:p w14:paraId="3A5605B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102" w:firstLine="4"/>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维修组负责组织实施或委托专业公司进行大修 、更新改造</w:t>
            </w:r>
            <w:r>
              <w:rPr>
                <w:rFonts w:hint="eastAsia" w:ascii="华文仿宋" w:hAnsi="华文仿宋" w:eastAsia="华文仿宋" w:cs="华文仿宋"/>
                <w:color w:val="auto"/>
                <w:spacing w:val="0"/>
                <w:w w:val="100"/>
                <w:kern w:val="2"/>
                <w:sz w:val="24"/>
                <w:szCs w:val="24"/>
                <w:lang w:val="en-US" w:eastAsia="zh-CN" w:bidi="ar-SA"/>
              </w:rPr>
              <w:t>。</w:t>
            </w:r>
          </w:p>
        </w:tc>
        <w:tc>
          <w:tcPr>
            <w:tcW w:w="1560" w:type="dxa"/>
            <w:noWrap w:val="0"/>
            <w:vAlign w:val="center"/>
          </w:tcPr>
          <w:p w14:paraId="085FFCC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5"/>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w:t>
            </w:r>
            <w:r>
              <w:rPr>
                <w:rFonts w:hint="eastAsia" w:ascii="华文仿宋" w:hAnsi="华文仿宋" w:eastAsia="华文仿宋" w:cs="华文仿宋"/>
                <w:color w:val="auto"/>
                <w:spacing w:val="0"/>
                <w:w w:val="100"/>
                <w:kern w:val="2"/>
                <w:sz w:val="24"/>
                <w:szCs w:val="24"/>
                <w:lang w:val="en-US" w:eastAsia="zh-CN" w:bidi="ar-SA"/>
              </w:rPr>
              <w:t>停</w:t>
            </w:r>
            <w:r>
              <w:rPr>
                <w:rFonts w:hint="eastAsia" w:ascii="华文仿宋" w:hAnsi="华文仿宋" w:eastAsia="华文仿宋" w:cs="华文仿宋"/>
                <w:color w:val="auto"/>
                <w:spacing w:val="0"/>
                <w:w w:val="100"/>
                <w:kern w:val="2"/>
                <w:sz w:val="24"/>
                <w:szCs w:val="24"/>
                <w:lang w:val="en-US" w:eastAsia="en-US" w:bidi="ar-SA"/>
              </w:rPr>
              <w:t>车场使用功能正常可靠；</w:t>
            </w:r>
          </w:p>
          <w:p w14:paraId="09BFDDE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right="105"/>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2.场地平整，无坑洼积水、完好率达到99%以上。</w:t>
            </w:r>
          </w:p>
        </w:tc>
      </w:tr>
      <w:tr w14:paraId="73713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9" w:hRule="atLeast"/>
        </w:trPr>
        <w:tc>
          <w:tcPr>
            <w:tcW w:w="528" w:type="dxa"/>
            <w:noWrap w:val="0"/>
            <w:vAlign w:val="top"/>
          </w:tcPr>
          <w:p w14:paraId="0E286C6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A282B8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24F26AE">
            <w:pPr>
              <w:pStyle w:val="41"/>
              <w:rPr>
                <w:rFonts w:hint="eastAsia" w:ascii="华文仿宋" w:hAnsi="华文仿宋" w:eastAsia="华文仿宋" w:cs="华文仿宋"/>
                <w:color w:val="auto"/>
                <w:spacing w:val="0"/>
                <w:w w:val="100"/>
                <w:kern w:val="2"/>
                <w:sz w:val="24"/>
                <w:szCs w:val="24"/>
                <w:lang w:val="en-US" w:eastAsia="en-US" w:bidi="ar-SA"/>
              </w:rPr>
            </w:pPr>
          </w:p>
          <w:p w14:paraId="060E9CBC">
            <w:pPr>
              <w:rPr>
                <w:rFonts w:hint="eastAsia" w:ascii="华文仿宋" w:hAnsi="华文仿宋" w:eastAsia="华文仿宋" w:cs="华文仿宋"/>
                <w:color w:val="auto"/>
                <w:spacing w:val="0"/>
                <w:w w:val="100"/>
                <w:kern w:val="2"/>
                <w:sz w:val="24"/>
                <w:szCs w:val="24"/>
                <w:lang w:val="en-US" w:eastAsia="en-US" w:bidi="ar-SA"/>
              </w:rPr>
            </w:pPr>
          </w:p>
          <w:p w14:paraId="0B76B69C">
            <w:pPr>
              <w:pStyle w:val="41"/>
              <w:rPr>
                <w:rFonts w:hint="eastAsia" w:ascii="华文仿宋" w:hAnsi="华文仿宋" w:eastAsia="华文仿宋" w:cs="华文仿宋"/>
                <w:color w:val="auto"/>
                <w:spacing w:val="0"/>
                <w:w w:val="100"/>
                <w:kern w:val="2"/>
                <w:sz w:val="24"/>
                <w:szCs w:val="24"/>
                <w:lang w:val="en-US" w:eastAsia="en-US" w:bidi="ar-SA"/>
              </w:rPr>
            </w:pPr>
          </w:p>
          <w:p w14:paraId="4C56D44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kern w:val="0"/>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8</w:t>
            </w:r>
          </w:p>
        </w:tc>
        <w:tc>
          <w:tcPr>
            <w:tcW w:w="786" w:type="dxa"/>
            <w:noWrap w:val="0"/>
            <w:vAlign w:val="center"/>
          </w:tcPr>
          <w:p w14:paraId="510FC3D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楼梯</w:t>
            </w:r>
          </w:p>
          <w:p w14:paraId="73AA629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间消</w:t>
            </w:r>
          </w:p>
          <w:p w14:paraId="56B0910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防通</w:t>
            </w:r>
          </w:p>
          <w:p w14:paraId="60126DA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道避</w:t>
            </w:r>
          </w:p>
          <w:p w14:paraId="169D814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难层</w:t>
            </w:r>
          </w:p>
        </w:tc>
        <w:tc>
          <w:tcPr>
            <w:tcW w:w="1330" w:type="dxa"/>
            <w:noWrap w:val="0"/>
            <w:vAlign w:val="center"/>
          </w:tcPr>
          <w:p w14:paraId="0BB94E6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right="106" w:hanging="6"/>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每日巡查一次并做好记录。</w:t>
            </w:r>
          </w:p>
        </w:tc>
        <w:tc>
          <w:tcPr>
            <w:tcW w:w="1290" w:type="dxa"/>
            <w:noWrap w:val="0"/>
            <w:vAlign w:val="center"/>
          </w:tcPr>
          <w:p w14:paraId="2447E05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2" w:right="105" w:hanging="8"/>
              <w:jc w:val="both"/>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63ABA6E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3"/>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1.中修4年，大修8年；</w:t>
            </w:r>
          </w:p>
          <w:p w14:paraId="43580A9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2.每10年粉刷一次。</w:t>
            </w:r>
          </w:p>
        </w:tc>
        <w:tc>
          <w:tcPr>
            <w:tcW w:w="1665" w:type="dxa"/>
            <w:noWrap w:val="0"/>
            <w:vAlign w:val="center"/>
          </w:tcPr>
          <w:p w14:paraId="58CC44E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right="102"/>
              <w:jc w:val="both"/>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维修组负责组织实施、检验或委托专业公司进行</w:t>
            </w:r>
            <w:r>
              <w:rPr>
                <w:rFonts w:hint="eastAsia" w:ascii="华文仿宋" w:hAnsi="华文仿宋" w:eastAsia="华文仿宋" w:cs="华文仿宋"/>
                <w:color w:val="auto"/>
                <w:spacing w:val="0"/>
                <w:w w:val="100"/>
                <w:kern w:val="2"/>
                <w:sz w:val="24"/>
                <w:szCs w:val="24"/>
                <w:lang w:val="en-US" w:eastAsia="zh-CN" w:bidi="ar-SA"/>
              </w:rPr>
              <w:t>维修</w:t>
            </w:r>
            <w:r>
              <w:rPr>
                <w:rFonts w:hint="eastAsia" w:ascii="华文仿宋" w:hAnsi="华文仿宋" w:eastAsia="华文仿宋" w:cs="华文仿宋"/>
                <w:color w:val="auto"/>
                <w:spacing w:val="0"/>
                <w:w w:val="90"/>
                <w:kern w:val="2"/>
                <w:sz w:val="24"/>
                <w:szCs w:val="24"/>
                <w:lang w:val="en-US" w:eastAsia="zh-CN" w:bidi="ar-SA"/>
              </w:rPr>
              <w:t>。</w:t>
            </w:r>
          </w:p>
        </w:tc>
        <w:tc>
          <w:tcPr>
            <w:tcW w:w="1560" w:type="dxa"/>
            <w:noWrap w:val="0"/>
            <w:vAlign w:val="center"/>
          </w:tcPr>
          <w:p w14:paraId="333E008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5"/>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1.确保使用功能正常可靠；</w:t>
            </w:r>
          </w:p>
          <w:p w14:paraId="6C1763D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w:t>
            </w:r>
            <w:r>
              <w:rPr>
                <w:rFonts w:hint="eastAsia" w:ascii="华文仿宋" w:hAnsi="华文仿宋" w:eastAsia="华文仿宋" w:cs="华文仿宋"/>
                <w:color w:val="auto"/>
                <w:spacing w:val="0"/>
                <w:w w:val="100"/>
                <w:kern w:val="2"/>
                <w:sz w:val="24"/>
                <w:szCs w:val="24"/>
                <w:lang w:val="en-US" w:eastAsia="zh-CN" w:bidi="ar-SA"/>
              </w:rPr>
              <w:t>.</w:t>
            </w:r>
            <w:r>
              <w:rPr>
                <w:rFonts w:hint="eastAsia" w:ascii="华文仿宋" w:hAnsi="华文仿宋" w:eastAsia="华文仿宋" w:cs="华文仿宋"/>
                <w:color w:val="auto"/>
                <w:spacing w:val="0"/>
                <w:w w:val="100"/>
                <w:kern w:val="2"/>
                <w:sz w:val="24"/>
                <w:szCs w:val="24"/>
                <w:lang w:val="en-US" w:eastAsia="en-US" w:bidi="ar-SA"/>
              </w:rPr>
              <w:t>清洁美观；</w:t>
            </w:r>
          </w:p>
          <w:p w14:paraId="2956D31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both"/>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3</w:t>
            </w:r>
            <w:r>
              <w:rPr>
                <w:rFonts w:hint="eastAsia" w:ascii="华文仿宋" w:hAnsi="华文仿宋" w:eastAsia="华文仿宋" w:cs="华文仿宋"/>
                <w:color w:val="auto"/>
                <w:spacing w:val="0"/>
                <w:w w:val="100"/>
                <w:kern w:val="2"/>
                <w:sz w:val="24"/>
                <w:szCs w:val="24"/>
                <w:lang w:val="en-US" w:eastAsia="zh-CN" w:bidi="ar-SA"/>
              </w:rPr>
              <w:t>.</w:t>
            </w:r>
            <w:r>
              <w:rPr>
                <w:rFonts w:hint="eastAsia" w:ascii="华文仿宋" w:hAnsi="华文仿宋" w:eastAsia="华文仿宋" w:cs="华文仿宋"/>
                <w:color w:val="auto"/>
                <w:spacing w:val="0"/>
                <w:w w:val="100"/>
                <w:kern w:val="2"/>
                <w:sz w:val="24"/>
                <w:szCs w:val="24"/>
                <w:lang w:val="en-US" w:eastAsia="en-US" w:bidi="ar-SA"/>
              </w:rPr>
              <w:t>完好率达到 98%以上。</w:t>
            </w:r>
          </w:p>
        </w:tc>
      </w:tr>
      <w:tr w14:paraId="68CC3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trPr>
        <w:tc>
          <w:tcPr>
            <w:tcW w:w="528" w:type="dxa"/>
            <w:noWrap w:val="0"/>
            <w:vAlign w:val="top"/>
          </w:tcPr>
          <w:p w14:paraId="48AF22E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5725187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53A768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17DCC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01FCA3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21A03B6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9</w:t>
            </w:r>
          </w:p>
        </w:tc>
        <w:tc>
          <w:tcPr>
            <w:tcW w:w="786" w:type="dxa"/>
            <w:noWrap w:val="0"/>
            <w:vAlign w:val="center"/>
          </w:tcPr>
          <w:p w14:paraId="4104AB1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公</w:t>
            </w:r>
          </w:p>
          <w:p w14:paraId="4B709B4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共</w:t>
            </w:r>
          </w:p>
          <w:p w14:paraId="34D2846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照</w:t>
            </w:r>
          </w:p>
          <w:p w14:paraId="7A4EDAE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明</w:t>
            </w:r>
          </w:p>
          <w:p w14:paraId="2D4A7B2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系</w:t>
            </w:r>
          </w:p>
          <w:p w14:paraId="6B02671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统</w:t>
            </w:r>
          </w:p>
        </w:tc>
        <w:tc>
          <w:tcPr>
            <w:tcW w:w="1330" w:type="dxa"/>
            <w:noWrap w:val="0"/>
            <w:vAlign w:val="center"/>
          </w:tcPr>
          <w:p w14:paraId="09AF98B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每日巡查一次并做好记录。</w:t>
            </w:r>
          </w:p>
        </w:tc>
        <w:tc>
          <w:tcPr>
            <w:tcW w:w="1290" w:type="dxa"/>
            <w:noWrap w:val="0"/>
            <w:vAlign w:val="center"/>
          </w:tcPr>
          <w:p w14:paraId="7505302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4654F37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1.每季度 保养1次，检修一次；</w:t>
            </w:r>
          </w:p>
          <w:p w14:paraId="1B9D16C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2.每6年进行一次大修或更新改造。</w:t>
            </w:r>
          </w:p>
        </w:tc>
        <w:tc>
          <w:tcPr>
            <w:tcW w:w="1665" w:type="dxa"/>
            <w:noWrap w:val="0"/>
            <w:vAlign w:val="center"/>
          </w:tcPr>
          <w:p w14:paraId="7056A79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B5933B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维修组负责组织实施、检验</w:t>
            </w:r>
            <w:r>
              <w:rPr>
                <w:rFonts w:hint="eastAsia" w:ascii="华文仿宋" w:hAnsi="华文仿宋" w:eastAsia="华文仿宋" w:cs="华文仿宋"/>
                <w:color w:val="auto"/>
                <w:spacing w:val="0"/>
                <w:w w:val="90"/>
                <w:kern w:val="2"/>
                <w:sz w:val="24"/>
                <w:szCs w:val="24"/>
                <w:lang w:val="en-US" w:eastAsia="zh-CN" w:bidi="ar-SA"/>
              </w:rPr>
              <w:t>。</w:t>
            </w:r>
          </w:p>
        </w:tc>
        <w:tc>
          <w:tcPr>
            <w:tcW w:w="1560" w:type="dxa"/>
            <w:noWrap w:val="0"/>
            <w:vAlign w:val="center"/>
          </w:tcPr>
          <w:p w14:paraId="41D2431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1.确保各设施设备使用功能正常；</w:t>
            </w:r>
          </w:p>
          <w:p w14:paraId="0693D80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right="106"/>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2.电气线路完整无损，绝缘良好。</w:t>
            </w:r>
          </w:p>
        </w:tc>
      </w:tr>
      <w:tr w14:paraId="74D30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3" w:hRule="atLeast"/>
        </w:trPr>
        <w:tc>
          <w:tcPr>
            <w:tcW w:w="528" w:type="dxa"/>
            <w:noWrap w:val="0"/>
            <w:vAlign w:val="top"/>
          </w:tcPr>
          <w:p w14:paraId="53CE4AE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72F475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6D49178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0DB6B8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7248F7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4F32B70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4"/>
              <w:jc w:val="left"/>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10</w:t>
            </w:r>
          </w:p>
        </w:tc>
        <w:tc>
          <w:tcPr>
            <w:tcW w:w="786" w:type="dxa"/>
            <w:noWrap w:val="0"/>
            <w:vAlign w:val="top"/>
          </w:tcPr>
          <w:p w14:paraId="37875D0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2"/>
                <w:sz w:val="24"/>
                <w:szCs w:val="24"/>
                <w:lang w:val="en-US" w:eastAsia="en-US" w:bidi="ar-SA"/>
              </w:rPr>
            </w:pPr>
          </w:p>
          <w:p w14:paraId="1D8446F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p>
          <w:p w14:paraId="128DC2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 xml:space="preserve">设 </w:t>
            </w:r>
          </w:p>
          <w:p w14:paraId="78BDB53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 xml:space="preserve">备 </w:t>
            </w:r>
          </w:p>
          <w:p w14:paraId="4266524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 xml:space="preserve">房 </w:t>
            </w:r>
          </w:p>
          <w:p w14:paraId="38FB347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包</w:t>
            </w:r>
          </w:p>
          <w:p w14:paraId="23DEAB0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保</w:t>
            </w:r>
          </w:p>
          <w:p w14:paraId="030180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养</w:t>
            </w:r>
          </w:p>
        </w:tc>
        <w:tc>
          <w:tcPr>
            <w:tcW w:w="1330" w:type="dxa"/>
            <w:noWrap w:val="0"/>
            <w:vAlign w:val="center"/>
          </w:tcPr>
          <w:p w14:paraId="5DE9D80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6"/>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每日检查一次</w:t>
            </w:r>
            <w:r>
              <w:rPr>
                <w:rFonts w:hint="eastAsia" w:ascii="华文仿宋" w:hAnsi="华文仿宋" w:eastAsia="华文仿宋" w:cs="华文仿宋"/>
                <w:color w:val="auto"/>
                <w:spacing w:val="0"/>
                <w:w w:val="100"/>
                <w:kern w:val="2"/>
                <w:sz w:val="24"/>
                <w:szCs w:val="24"/>
                <w:lang w:val="en-US" w:eastAsia="zh-CN" w:bidi="ar-SA"/>
              </w:rPr>
              <w:t>，</w:t>
            </w:r>
            <w:r>
              <w:rPr>
                <w:rFonts w:hint="eastAsia" w:ascii="华文仿宋" w:hAnsi="华文仿宋" w:eastAsia="华文仿宋" w:cs="华文仿宋"/>
                <w:color w:val="auto"/>
                <w:spacing w:val="0"/>
                <w:w w:val="100"/>
                <w:kern w:val="2"/>
                <w:sz w:val="24"/>
                <w:szCs w:val="24"/>
                <w:lang w:val="en-US" w:eastAsia="en-US" w:bidi="ar-SA"/>
              </w:rPr>
              <w:t>发现问题，及时维修 并做好《公共设施巡查记录》</w:t>
            </w:r>
            <w:r>
              <w:rPr>
                <w:rFonts w:hint="eastAsia" w:ascii="华文仿宋" w:hAnsi="华文仿宋" w:eastAsia="华文仿宋" w:cs="华文仿宋"/>
                <w:color w:val="auto"/>
                <w:spacing w:val="0"/>
                <w:w w:val="100"/>
                <w:kern w:val="2"/>
                <w:sz w:val="24"/>
                <w:szCs w:val="24"/>
                <w:lang w:val="en-US" w:eastAsia="zh-CN" w:bidi="ar-SA"/>
              </w:rPr>
              <w:t>。</w:t>
            </w:r>
          </w:p>
        </w:tc>
        <w:tc>
          <w:tcPr>
            <w:tcW w:w="1290" w:type="dxa"/>
            <w:noWrap w:val="0"/>
            <w:vAlign w:val="center"/>
          </w:tcPr>
          <w:p w14:paraId="020B2FC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both"/>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运行组负 责组织实 施点检、维修和检验</w:t>
            </w:r>
            <w:r>
              <w:rPr>
                <w:rFonts w:hint="eastAsia" w:ascii="华文仿宋" w:hAnsi="华文仿宋" w:eastAsia="华文仿宋" w:cs="华文仿宋"/>
                <w:color w:val="auto"/>
                <w:spacing w:val="0"/>
                <w:w w:val="100"/>
                <w:kern w:val="2"/>
                <w:sz w:val="24"/>
                <w:szCs w:val="24"/>
                <w:lang w:val="en-US" w:eastAsia="zh-CN" w:bidi="ar-SA"/>
              </w:rPr>
              <w:t>。</w:t>
            </w:r>
          </w:p>
        </w:tc>
        <w:tc>
          <w:tcPr>
            <w:tcW w:w="1440" w:type="dxa"/>
            <w:noWrap w:val="0"/>
            <w:vAlign w:val="center"/>
          </w:tcPr>
          <w:p w14:paraId="6737D54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3" w:right="103" w:hanging="8"/>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每周由各区域责任人清洁一次。所有物品按标识分类放置固定位置</w:t>
            </w:r>
            <w:r>
              <w:rPr>
                <w:rFonts w:hint="eastAsia" w:ascii="华文仿宋" w:hAnsi="华文仿宋" w:eastAsia="华文仿宋" w:cs="华文仿宋"/>
                <w:color w:val="auto"/>
                <w:spacing w:val="0"/>
                <w:w w:val="100"/>
                <w:kern w:val="2"/>
                <w:sz w:val="24"/>
                <w:szCs w:val="24"/>
                <w:lang w:val="en-US" w:eastAsia="zh-CN" w:bidi="ar-SA"/>
              </w:rPr>
              <w:t>。</w:t>
            </w:r>
          </w:p>
        </w:tc>
        <w:tc>
          <w:tcPr>
            <w:tcW w:w="1665" w:type="dxa"/>
            <w:noWrap w:val="0"/>
            <w:vAlign w:val="center"/>
          </w:tcPr>
          <w:p w14:paraId="1C15779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2"/>
              <w:jc w:val="left"/>
              <w:textAlignment w:val="baseline"/>
              <w:rPr>
                <w:rFonts w:hint="eastAsia" w:ascii="华文仿宋" w:hAnsi="华文仿宋" w:eastAsia="华文仿宋" w:cs="华文仿宋"/>
                <w:color w:val="auto"/>
                <w:spacing w:val="0"/>
                <w:w w:val="100"/>
                <w:kern w:val="2"/>
                <w:sz w:val="24"/>
                <w:szCs w:val="24"/>
                <w:lang w:val="en-US" w:eastAsia="zh-CN" w:bidi="ar-SA"/>
              </w:rPr>
            </w:pPr>
            <w:r>
              <w:rPr>
                <w:rFonts w:hint="eastAsia" w:ascii="华文仿宋" w:hAnsi="华文仿宋" w:eastAsia="华文仿宋" w:cs="华文仿宋"/>
                <w:color w:val="auto"/>
                <w:spacing w:val="0"/>
                <w:w w:val="100"/>
                <w:kern w:val="2"/>
                <w:sz w:val="24"/>
                <w:szCs w:val="24"/>
                <w:lang w:val="en-US" w:eastAsia="en-US" w:bidi="ar-SA"/>
              </w:rPr>
              <w:t>工程管理部负责组织实施、检验</w:t>
            </w:r>
            <w:r>
              <w:rPr>
                <w:rFonts w:hint="eastAsia" w:ascii="华文仿宋" w:hAnsi="华文仿宋" w:eastAsia="华文仿宋" w:cs="华文仿宋"/>
                <w:color w:val="auto"/>
                <w:spacing w:val="0"/>
                <w:w w:val="100"/>
                <w:kern w:val="2"/>
                <w:sz w:val="24"/>
                <w:szCs w:val="24"/>
                <w:lang w:val="en-US" w:eastAsia="zh-CN" w:bidi="ar-SA"/>
              </w:rPr>
              <w:t>。</w:t>
            </w:r>
          </w:p>
        </w:tc>
        <w:tc>
          <w:tcPr>
            <w:tcW w:w="1560" w:type="dxa"/>
            <w:noWrap w:val="0"/>
            <w:vAlign w:val="center"/>
          </w:tcPr>
          <w:p w14:paraId="5CE6CAA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1"/>
              <w:jc w:val="both"/>
              <w:textAlignment w:val="baseline"/>
              <w:rPr>
                <w:rFonts w:hint="eastAsia" w:ascii="华文仿宋" w:hAnsi="华文仿宋" w:eastAsia="华文仿宋" w:cs="华文仿宋"/>
                <w:color w:val="0000FF"/>
                <w:spacing w:val="0"/>
                <w:w w:val="100"/>
                <w:kern w:val="2"/>
                <w:sz w:val="24"/>
                <w:szCs w:val="24"/>
                <w:lang w:val="en-US" w:eastAsia="en-US" w:bidi="ar-SA"/>
              </w:rPr>
            </w:pPr>
            <w:r>
              <w:rPr>
                <w:rFonts w:hint="eastAsia" w:ascii="华文仿宋" w:hAnsi="华文仿宋" w:eastAsia="华文仿宋" w:cs="华文仿宋"/>
                <w:color w:val="auto"/>
                <w:spacing w:val="0"/>
                <w:w w:val="100"/>
                <w:kern w:val="2"/>
                <w:sz w:val="24"/>
                <w:szCs w:val="24"/>
                <w:lang w:val="en-US" w:eastAsia="en-US" w:bidi="ar-SA"/>
              </w:rPr>
              <w:t>保证室内清洁、整齐、无杂物、无积水，所有设备房不能堆放任何杂物，更不准存放易燃易爆物品。</w:t>
            </w:r>
          </w:p>
        </w:tc>
      </w:tr>
    </w:tbl>
    <w:p w14:paraId="2F50A78E">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②日常设备管理服务标准</w:t>
      </w:r>
    </w:p>
    <w:p w14:paraId="5BA25085">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A.所有管道设施使用中不跑、冒、滴、漏；</w:t>
      </w:r>
    </w:p>
    <w:p w14:paraId="19A935EE">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B.物业管理范围内的广场及道路：局部破损随时修补；</w:t>
      </w:r>
    </w:p>
    <w:p w14:paraId="66B5893D">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C.照明，根据昼夜变化调整开关灯时间，保障</w:t>
      </w:r>
      <w:r>
        <w:rPr>
          <w:rFonts w:hint="eastAsia" w:ascii="华文仿宋" w:hAnsi="华文仿宋" w:eastAsia="华文仿宋" w:cs="华文仿宋"/>
          <w:color w:val="auto"/>
          <w:spacing w:val="0"/>
          <w:w w:val="100"/>
          <w:sz w:val="28"/>
          <w:szCs w:val="28"/>
          <w:lang w:eastAsia="zh-CN"/>
        </w:rPr>
        <w:t>日</w:t>
      </w:r>
      <w:r>
        <w:rPr>
          <w:rFonts w:hint="eastAsia" w:ascii="华文仿宋" w:hAnsi="华文仿宋" w:eastAsia="华文仿宋" w:cs="华文仿宋"/>
          <w:color w:val="auto"/>
          <w:spacing w:val="0"/>
          <w:w w:val="100"/>
          <w:sz w:val="28"/>
          <w:szCs w:val="28"/>
        </w:rPr>
        <w:t>常使用的前提下全力节约能源，灯具损坏及时维修，电缆定期巡查；</w:t>
      </w:r>
    </w:p>
    <w:p w14:paraId="0466094B">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D.市政给、排水设施：</w:t>
      </w:r>
      <w:r>
        <w:rPr>
          <w:rFonts w:hint="eastAsia" w:ascii="华文仿宋" w:hAnsi="华文仿宋" w:eastAsia="华文仿宋" w:cs="华文仿宋"/>
          <w:color w:val="auto"/>
          <w:spacing w:val="0"/>
          <w:w w:val="100"/>
          <w:sz w:val="28"/>
          <w:szCs w:val="28"/>
          <w:lang w:val="en-US" w:eastAsia="zh-CN"/>
        </w:rPr>
        <w:t>井</w:t>
      </w:r>
      <w:r>
        <w:rPr>
          <w:rFonts w:hint="eastAsia" w:ascii="华文仿宋" w:hAnsi="华文仿宋" w:eastAsia="华文仿宋" w:cs="华文仿宋"/>
          <w:color w:val="auto"/>
          <w:spacing w:val="0"/>
          <w:w w:val="100"/>
          <w:sz w:val="28"/>
          <w:szCs w:val="28"/>
        </w:rPr>
        <w:t>盖密合、流水畅通、</w:t>
      </w:r>
      <w:r>
        <w:rPr>
          <w:rFonts w:hint="eastAsia" w:ascii="华文仿宋" w:hAnsi="华文仿宋" w:eastAsia="华文仿宋" w:cs="华文仿宋"/>
          <w:color w:val="auto"/>
          <w:spacing w:val="0"/>
          <w:w w:val="100"/>
          <w:sz w:val="28"/>
          <w:szCs w:val="28"/>
          <w:lang w:val="en-US" w:eastAsia="zh-CN"/>
        </w:rPr>
        <w:t>井</w:t>
      </w:r>
      <w:r>
        <w:rPr>
          <w:rFonts w:hint="eastAsia" w:ascii="华文仿宋" w:hAnsi="华文仿宋" w:eastAsia="华文仿宋" w:cs="华文仿宋"/>
          <w:color w:val="auto"/>
          <w:spacing w:val="0"/>
          <w:w w:val="100"/>
          <w:sz w:val="28"/>
          <w:szCs w:val="28"/>
        </w:rPr>
        <w:t>内无积物，井盖井圈损坏、丟失随时补换；</w:t>
      </w:r>
    </w:p>
    <w:p w14:paraId="12DB5064">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E.给排水、景观水系及其配套管线设施：使用中不跑、冒、滴、漏；机电设备运转正常、安全，隔污柵沉积池定期清理；</w:t>
      </w:r>
    </w:p>
    <w:p w14:paraId="74501227">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F.电气设备运行后能正常运行；临时供电、配电室、配电柜内外清洁无尘、无异物,母线、电缆线之间联接处接触良好，各电器开关完好无损；</w:t>
      </w:r>
    </w:p>
    <w:p w14:paraId="0A6407A3">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G.房屋、建筑小品、照明、给排水等所有设备设施的维护，设备设施完好；</w:t>
      </w:r>
    </w:p>
    <w:p w14:paraId="18015976">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H.制定合理的节能措施。</w:t>
      </w:r>
    </w:p>
    <w:p w14:paraId="7BD3FC36">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1</w:t>
      </w:r>
      <w:r>
        <w:rPr>
          <w:rFonts w:hint="eastAsia" w:ascii="华文仿宋" w:hAnsi="华文仿宋" w:eastAsia="华文仿宋" w:cs="华文仿宋"/>
          <w:b/>
          <w:bCs/>
          <w:color w:val="auto"/>
          <w:spacing w:val="0"/>
          <w:w w:val="100"/>
          <w:sz w:val="28"/>
          <w:szCs w:val="28"/>
          <w:lang w:val="en-US" w:eastAsia="zh-CN"/>
        </w:rPr>
        <w:t>2</w:t>
      </w:r>
      <w:r>
        <w:rPr>
          <w:rFonts w:hint="eastAsia" w:ascii="华文仿宋" w:hAnsi="华文仿宋" w:eastAsia="华文仿宋" w:cs="华文仿宋"/>
          <w:b/>
          <w:bCs/>
          <w:color w:val="auto"/>
          <w:spacing w:val="0"/>
          <w:w w:val="100"/>
          <w:sz w:val="28"/>
          <w:szCs w:val="28"/>
        </w:rPr>
        <w:t>.机电设备的运行、巡检及养护</w:t>
      </w:r>
    </w:p>
    <w:p w14:paraId="5F46D297">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（1）服务内容：供电设备管理维护包括但不限于对物业服务区供电系统高、低压电器设备、电线电缆、电气装置等设备进行日常管理和养护维修。</w:t>
      </w:r>
    </w:p>
    <w:p w14:paraId="59F6E6BF">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2）服务标准：对供电范围内的电气设备定期巡视维护和重点检测，建立各项设备档案，做到安全、合理、节约用电；建立严格的配送电运行制度、电气维修制度和配电房管理制度，供电运行和维修人员必须持证上岗；建立突发事件应急预案，实行24小时运行维修值班制度，及时排除故障。零星维修合格率100%；要有科学完备的操作规程和设施设备的使用说明书；管理和维护好避雷设施。</w:t>
      </w:r>
    </w:p>
    <w:p w14:paraId="2717813A">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（3）供配电系统点检：</w:t>
      </w:r>
    </w:p>
    <w:p w14:paraId="3323B0EB">
      <w:pPr>
        <w:keepNext w:val="0"/>
        <w:keepLines w:val="0"/>
        <w:pageBreakBefore w:val="0"/>
        <w:widowControl/>
        <w:kinsoku/>
        <w:wordWrap w:val="0"/>
        <w:overflowPunct/>
        <w:topLinePunct/>
        <w:autoSpaceDE/>
        <w:autoSpaceDN/>
        <w:bidi w:val="0"/>
        <w:adjustRightInd w:val="0"/>
        <w:snapToGrid w:val="0"/>
        <w:spacing w:line="500" w:lineRule="exact"/>
        <w:ind w:righ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color w:val="auto"/>
          <w:spacing w:val="0"/>
          <w:w w:val="100"/>
          <w:sz w:val="28"/>
          <w:szCs w:val="28"/>
        </w:rPr>
        <w:t>点检内容：高压开关柜、变压器、低压配电柜、电源（控制）柜、EPS、强电</w:t>
      </w:r>
      <w:r>
        <w:rPr>
          <w:rFonts w:hint="eastAsia" w:ascii="华文仿宋" w:hAnsi="华文仿宋" w:eastAsia="华文仿宋" w:cs="华文仿宋"/>
          <w:color w:val="auto"/>
          <w:spacing w:val="0"/>
          <w:w w:val="100"/>
          <w:sz w:val="28"/>
          <w:szCs w:val="28"/>
          <w:lang w:eastAsia="zh-CN"/>
        </w:rPr>
        <w:t>井</w:t>
      </w:r>
      <w:r>
        <w:rPr>
          <w:rFonts w:hint="eastAsia" w:ascii="华文仿宋" w:hAnsi="华文仿宋" w:eastAsia="华文仿宋" w:cs="华文仿宋"/>
          <w:color w:val="auto"/>
          <w:spacing w:val="0"/>
          <w:w w:val="100"/>
          <w:sz w:val="28"/>
          <w:szCs w:val="28"/>
        </w:rPr>
        <w:t>的线缆和封闭母线等。同时应编制项目的《点检路线表》，依据《点检路线表》对设备进行点检。</w:t>
      </w:r>
    </w:p>
    <w:p w14:paraId="3BB1B523">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点检和保养的内容、周期及工作标准一览表</w:t>
      </w: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067"/>
        <w:gridCol w:w="1711"/>
        <w:gridCol w:w="3977"/>
      </w:tblGrid>
      <w:tr w14:paraId="23FB1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97" w:type="dxa"/>
            <w:tcBorders>
              <w:top w:val="single" w:color="auto" w:sz="4" w:space="0"/>
              <w:left w:val="single" w:color="auto" w:sz="4" w:space="0"/>
              <w:bottom w:val="single" w:color="auto" w:sz="4" w:space="0"/>
              <w:right w:val="single" w:color="auto" w:sz="4" w:space="0"/>
            </w:tcBorders>
            <w:noWrap w:val="0"/>
            <w:vAlign w:val="center"/>
          </w:tcPr>
          <w:p w14:paraId="122956C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5"/>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序号</w:t>
            </w:r>
          </w:p>
        </w:tc>
        <w:tc>
          <w:tcPr>
            <w:tcW w:w="2067" w:type="dxa"/>
            <w:tcBorders>
              <w:top w:val="single" w:color="auto" w:sz="4" w:space="0"/>
              <w:left w:val="single" w:color="auto" w:sz="4" w:space="0"/>
              <w:bottom w:val="single" w:color="auto" w:sz="4" w:space="0"/>
              <w:right w:val="single" w:color="auto" w:sz="4" w:space="0"/>
            </w:tcBorders>
            <w:noWrap w:val="0"/>
            <w:vAlign w:val="center"/>
          </w:tcPr>
          <w:p w14:paraId="1443F34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5"/>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点检和</w:t>
            </w:r>
          </w:p>
          <w:p w14:paraId="78BA7AB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5"/>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保养内容</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2A53AE7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4"/>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周期</w:t>
            </w:r>
          </w:p>
        </w:tc>
        <w:tc>
          <w:tcPr>
            <w:tcW w:w="3977" w:type="dxa"/>
            <w:tcBorders>
              <w:top w:val="single" w:color="auto" w:sz="4" w:space="0"/>
              <w:left w:val="single" w:color="auto" w:sz="4" w:space="0"/>
              <w:bottom w:val="single" w:color="auto" w:sz="4" w:space="0"/>
              <w:right w:val="single" w:color="auto" w:sz="4" w:space="0"/>
            </w:tcBorders>
            <w:noWrap w:val="0"/>
            <w:vAlign w:val="center"/>
          </w:tcPr>
          <w:p w14:paraId="1088DE1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7"/>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工作标准</w:t>
            </w:r>
          </w:p>
        </w:tc>
      </w:tr>
      <w:tr w14:paraId="55A52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0" w:hRule="atLeast"/>
        </w:trPr>
        <w:tc>
          <w:tcPr>
            <w:tcW w:w="997" w:type="dxa"/>
            <w:vMerge w:val="restart"/>
            <w:tcBorders>
              <w:top w:val="single" w:color="auto" w:sz="4" w:space="0"/>
              <w:left w:val="single" w:color="auto" w:sz="4" w:space="0"/>
              <w:bottom w:val="single" w:color="auto" w:sz="4" w:space="0"/>
              <w:right w:val="single" w:color="auto" w:sz="4" w:space="0"/>
            </w:tcBorders>
            <w:noWrap w:val="0"/>
            <w:vAlign w:val="top"/>
          </w:tcPr>
          <w:p w14:paraId="6AFB55A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7C9B46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385D51A">
            <w:pPr>
              <w:rPr>
                <w:rFonts w:hint="eastAsia" w:ascii="华文仿宋" w:hAnsi="华文仿宋" w:eastAsia="华文仿宋" w:cs="华文仿宋"/>
                <w:color w:val="auto"/>
                <w:sz w:val="24"/>
                <w:szCs w:val="24"/>
              </w:rPr>
            </w:pPr>
          </w:p>
          <w:p w14:paraId="1568DC9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3F661A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462"/>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1</w:t>
            </w:r>
          </w:p>
        </w:tc>
        <w:tc>
          <w:tcPr>
            <w:tcW w:w="2067" w:type="dxa"/>
            <w:tcBorders>
              <w:top w:val="single" w:color="auto" w:sz="4" w:space="0"/>
              <w:left w:val="single" w:color="auto" w:sz="4" w:space="0"/>
              <w:bottom w:val="single" w:color="auto" w:sz="4" w:space="0"/>
              <w:right w:val="single" w:color="auto" w:sz="4" w:space="0"/>
            </w:tcBorders>
            <w:noWrap w:val="0"/>
            <w:vAlign w:val="top"/>
          </w:tcPr>
          <w:p w14:paraId="41E64713">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p>
          <w:p w14:paraId="157902DD">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r>
              <w:rPr>
                <w:rFonts w:hint="eastAsia" w:ascii="华文仿宋" w:hAnsi="华文仿宋" w:eastAsia="华文仿宋" w:cs="华文仿宋"/>
                <w:color w:val="auto"/>
                <w:spacing w:val="0"/>
                <w:w w:val="100"/>
                <w:kern w:val="0"/>
                <w:position w:val="0"/>
                <w:sz w:val="24"/>
                <w:szCs w:val="24"/>
              </w:rPr>
              <w:t>变压器（非用电高峰期）：看、听、嗅</w:t>
            </w:r>
          </w:p>
        </w:tc>
        <w:tc>
          <w:tcPr>
            <w:tcW w:w="1711" w:type="dxa"/>
            <w:tcBorders>
              <w:top w:val="single" w:color="auto" w:sz="4" w:space="0"/>
              <w:left w:val="single" w:color="auto" w:sz="4" w:space="0"/>
              <w:bottom w:val="single" w:color="auto" w:sz="4" w:space="0"/>
              <w:right w:val="single" w:color="auto" w:sz="4" w:space="0"/>
            </w:tcBorders>
            <w:noWrap w:val="0"/>
            <w:vAlign w:val="top"/>
          </w:tcPr>
          <w:p w14:paraId="59C9FA2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CEF6A9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right="105" w:hanging="6"/>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运行每日1次记录点检每</w:t>
            </w:r>
            <w:r>
              <w:rPr>
                <w:rFonts w:hint="eastAsia" w:ascii="华文仿宋" w:hAnsi="华文仿宋" w:eastAsia="华文仿宋" w:cs="华文仿宋"/>
                <w:color w:val="auto"/>
                <w:spacing w:val="0"/>
                <w:w w:val="100"/>
                <w:sz w:val="24"/>
                <w:szCs w:val="24"/>
                <w:lang w:eastAsia="zh-CN"/>
              </w:rPr>
              <w:t>日</w:t>
            </w:r>
            <w:r>
              <w:rPr>
                <w:rFonts w:hint="eastAsia" w:ascii="华文仿宋" w:hAnsi="华文仿宋" w:eastAsia="华文仿宋" w:cs="华文仿宋"/>
                <w:color w:val="auto"/>
                <w:spacing w:val="0"/>
                <w:w w:val="100"/>
                <w:sz w:val="24"/>
                <w:szCs w:val="24"/>
              </w:rPr>
              <w:t>两次。</w:t>
            </w:r>
          </w:p>
        </w:tc>
        <w:tc>
          <w:tcPr>
            <w:tcW w:w="3977" w:type="dxa"/>
            <w:tcBorders>
              <w:top w:val="single" w:color="auto" w:sz="4" w:space="0"/>
              <w:left w:val="single" w:color="auto" w:sz="4" w:space="0"/>
              <w:bottom w:val="single" w:color="auto" w:sz="4" w:space="0"/>
              <w:right w:val="single" w:color="auto" w:sz="4" w:space="0"/>
            </w:tcBorders>
            <w:noWrap w:val="0"/>
            <w:vAlign w:val="top"/>
          </w:tcPr>
          <w:p w14:paraId="1F82EB5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变压器声音应发出持续均匀的“嚼 喻 ”声，没有机械震动声和放电声等异常声音；变压器的高低压侧电缆头和母排的搭接头无发热、变色、发生异味、锈蚀等现象；</w:t>
            </w:r>
          </w:p>
        </w:tc>
      </w:tr>
      <w:tr w14:paraId="2D235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97" w:type="dxa"/>
            <w:vMerge w:val="continue"/>
            <w:tcBorders>
              <w:top w:val="single" w:color="auto" w:sz="4" w:space="0"/>
              <w:left w:val="single" w:color="auto" w:sz="4" w:space="0"/>
              <w:bottom w:val="single" w:color="auto" w:sz="4" w:space="0"/>
              <w:right w:val="single" w:color="auto" w:sz="4" w:space="0"/>
            </w:tcBorders>
            <w:noWrap w:val="0"/>
            <w:vAlign w:val="top"/>
          </w:tcPr>
          <w:p w14:paraId="5341C8E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2067" w:type="dxa"/>
            <w:tcBorders>
              <w:top w:val="single" w:color="auto" w:sz="4" w:space="0"/>
              <w:left w:val="single" w:color="auto" w:sz="4" w:space="0"/>
              <w:bottom w:val="single" w:color="auto" w:sz="4" w:space="0"/>
              <w:right w:val="single" w:color="auto" w:sz="4" w:space="0"/>
            </w:tcBorders>
            <w:noWrap w:val="0"/>
            <w:vAlign w:val="center"/>
          </w:tcPr>
          <w:p w14:paraId="1586A48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r>
              <w:rPr>
                <w:rFonts w:hint="eastAsia" w:ascii="华文仿宋" w:hAnsi="华文仿宋" w:eastAsia="华文仿宋" w:cs="华文仿宋"/>
                <w:color w:val="auto"/>
                <w:spacing w:val="0"/>
                <w:w w:val="100"/>
                <w:kern w:val="0"/>
                <w:position w:val="0"/>
                <w:sz w:val="24"/>
                <w:szCs w:val="24"/>
              </w:rPr>
              <w:t>变压器（用电高峰期）：看、听、嗅</w:t>
            </w:r>
          </w:p>
        </w:tc>
        <w:tc>
          <w:tcPr>
            <w:tcW w:w="1711" w:type="dxa"/>
            <w:tcBorders>
              <w:top w:val="single" w:color="auto" w:sz="4" w:space="0"/>
              <w:left w:val="single" w:color="auto" w:sz="4" w:space="0"/>
              <w:bottom w:val="single" w:color="auto" w:sz="4" w:space="0"/>
              <w:right w:val="single" w:color="auto" w:sz="4" w:space="0"/>
            </w:tcBorders>
            <w:noWrap w:val="0"/>
            <w:vAlign w:val="top"/>
          </w:tcPr>
          <w:p w14:paraId="4B34E58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5"/>
              <w:jc w:val="left"/>
              <w:textAlignment w:val="baseline"/>
              <w:rPr>
                <w:rFonts w:hint="eastAsia" w:ascii="华文仿宋" w:hAnsi="华文仿宋" w:eastAsia="华文仿宋" w:cs="华文仿宋"/>
                <w:color w:val="auto"/>
                <w:spacing w:val="0"/>
                <w:w w:val="100"/>
                <w:position w:val="24"/>
                <w:sz w:val="24"/>
                <w:szCs w:val="24"/>
              </w:rPr>
            </w:pPr>
          </w:p>
          <w:p w14:paraId="152AEF4E">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24"/>
                <w:sz w:val="24"/>
                <w:szCs w:val="24"/>
              </w:rPr>
              <w:t>点检每</w:t>
            </w:r>
            <w:r>
              <w:rPr>
                <w:rFonts w:hint="eastAsia" w:ascii="华文仿宋" w:hAnsi="华文仿宋" w:eastAsia="华文仿宋" w:cs="华文仿宋"/>
                <w:color w:val="auto"/>
                <w:spacing w:val="0"/>
                <w:w w:val="100"/>
                <w:position w:val="24"/>
                <w:sz w:val="24"/>
                <w:szCs w:val="24"/>
                <w:lang w:eastAsia="zh-CN"/>
              </w:rPr>
              <w:t>日</w:t>
            </w:r>
            <w:r>
              <w:rPr>
                <w:rFonts w:hint="eastAsia" w:ascii="华文仿宋" w:hAnsi="华文仿宋" w:eastAsia="华文仿宋" w:cs="华文仿宋"/>
                <w:color w:val="auto"/>
                <w:spacing w:val="0"/>
                <w:w w:val="100"/>
                <w:position w:val="24"/>
                <w:sz w:val="24"/>
                <w:szCs w:val="24"/>
              </w:rPr>
              <w:t>1次</w:t>
            </w:r>
          </w:p>
        </w:tc>
        <w:tc>
          <w:tcPr>
            <w:tcW w:w="3977" w:type="dxa"/>
            <w:tcBorders>
              <w:top w:val="single" w:color="auto" w:sz="4" w:space="0"/>
              <w:left w:val="single" w:color="auto" w:sz="4" w:space="0"/>
              <w:bottom w:val="single" w:color="auto" w:sz="4" w:space="0"/>
              <w:right w:val="single" w:color="auto" w:sz="4" w:space="0"/>
            </w:tcBorders>
            <w:noWrap w:val="0"/>
            <w:vAlign w:val="top"/>
          </w:tcPr>
          <w:p w14:paraId="289C296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变压器的外壳接地无锈蚀、脱节现象，所有变压器外壳、垫片、瓷套、接头有无破损、变色和异味；电缆沟内有无积水、杂物。</w:t>
            </w:r>
          </w:p>
        </w:tc>
      </w:tr>
      <w:tr w14:paraId="13504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3" w:hRule="atLeast"/>
        </w:trPr>
        <w:tc>
          <w:tcPr>
            <w:tcW w:w="997" w:type="dxa"/>
            <w:vMerge w:val="restart"/>
            <w:tcBorders>
              <w:top w:val="single" w:color="auto" w:sz="4" w:space="0"/>
              <w:left w:val="single" w:color="auto" w:sz="4" w:space="0"/>
              <w:bottom w:val="single" w:color="auto" w:sz="4" w:space="0"/>
              <w:right w:val="single" w:color="auto" w:sz="4" w:space="0"/>
            </w:tcBorders>
            <w:noWrap w:val="0"/>
            <w:vAlign w:val="center"/>
          </w:tcPr>
          <w:p w14:paraId="664C7B0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44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2</w:t>
            </w:r>
          </w:p>
        </w:tc>
        <w:tc>
          <w:tcPr>
            <w:tcW w:w="2067" w:type="dxa"/>
            <w:tcBorders>
              <w:top w:val="single" w:color="auto" w:sz="4" w:space="0"/>
              <w:left w:val="single" w:color="auto" w:sz="4" w:space="0"/>
              <w:bottom w:val="single" w:color="auto" w:sz="4" w:space="0"/>
              <w:right w:val="single" w:color="auto" w:sz="4" w:space="0"/>
            </w:tcBorders>
            <w:noWrap w:val="0"/>
            <w:vAlign w:val="top"/>
          </w:tcPr>
          <w:p w14:paraId="428A89E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B1C640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4" w:right="24" w:firstLine="4"/>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高、低压配电柜（非 用电高峰期）看、听、</w:t>
            </w:r>
          </w:p>
          <w:p w14:paraId="5A07582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嗅</w:t>
            </w:r>
          </w:p>
        </w:tc>
        <w:tc>
          <w:tcPr>
            <w:tcW w:w="1711" w:type="dxa"/>
            <w:tcBorders>
              <w:top w:val="single" w:color="auto" w:sz="4" w:space="0"/>
              <w:left w:val="single" w:color="auto" w:sz="4" w:space="0"/>
              <w:bottom w:val="single" w:color="auto" w:sz="4" w:space="0"/>
              <w:right w:val="single" w:color="auto" w:sz="4" w:space="0"/>
            </w:tcBorders>
            <w:noWrap w:val="0"/>
            <w:vAlign w:val="top"/>
          </w:tcPr>
          <w:p w14:paraId="4EEC528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p>
          <w:p w14:paraId="2532D17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kern w:val="0"/>
                <w:position w:val="0"/>
                <w:sz w:val="24"/>
                <w:szCs w:val="24"/>
              </w:rPr>
              <w:t>运行每日两次点检每日两次</w:t>
            </w:r>
          </w:p>
        </w:tc>
        <w:tc>
          <w:tcPr>
            <w:tcW w:w="3977" w:type="dxa"/>
            <w:vMerge w:val="restart"/>
            <w:tcBorders>
              <w:top w:val="single" w:color="auto" w:sz="4" w:space="0"/>
              <w:left w:val="single" w:color="auto" w:sz="4" w:space="0"/>
              <w:bottom w:val="single" w:color="auto" w:sz="4" w:space="0"/>
              <w:right w:val="single" w:color="auto" w:sz="4" w:space="0"/>
            </w:tcBorders>
            <w:noWrap w:val="0"/>
            <w:vAlign w:val="top"/>
          </w:tcPr>
          <w:p w14:paraId="420C602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lang w:val="en-US" w:eastAsia="en-US" w:bidi="ar-SA"/>
              </w:rPr>
            </w:pPr>
            <w:r>
              <w:rPr>
                <w:rFonts w:hint="eastAsia" w:ascii="华文仿宋" w:hAnsi="华文仿宋" w:eastAsia="华文仿宋" w:cs="华文仿宋"/>
                <w:color w:val="auto"/>
                <w:spacing w:val="0"/>
                <w:w w:val="100"/>
                <w:kern w:val="0"/>
                <w:position w:val="0"/>
                <w:sz w:val="24"/>
                <w:szCs w:val="24"/>
                <w:lang w:val="en-US" w:eastAsia="en-US" w:bidi="ar-SA"/>
              </w:rPr>
              <w:t>配电柜内所有电气接头有无破损、变色和异味；</w:t>
            </w:r>
          </w:p>
          <w:p w14:paraId="1C42C30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lang w:val="en-US" w:eastAsia="en-US" w:bidi="ar-SA"/>
              </w:rPr>
            </w:pPr>
            <w:r>
              <w:rPr>
                <w:rFonts w:hint="eastAsia" w:ascii="华文仿宋" w:hAnsi="华文仿宋" w:eastAsia="华文仿宋" w:cs="华文仿宋"/>
                <w:color w:val="auto"/>
                <w:spacing w:val="0"/>
                <w:w w:val="100"/>
                <w:kern w:val="0"/>
                <w:position w:val="0"/>
                <w:sz w:val="24"/>
                <w:szCs w:val="24"/>
                <w:lang w:val="en-US" w:eastAsia="en-US" w:bidi="ar-SA"/>
              </w:rPr>
              <w:t>柜身无变形、破损、积尘；</w:t>
            </w:r>
          </w:p>
          <w:p w14:paraId="079C3C4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r>
              <w:rPr>
                <w:rFonts w:hint="eastAsia" w:ascii="华文仿宋" w:hAnsi="华文仿宋" w:eastAsia="华文仿宋" w:cs="华文仿宋"/>
                <w:color w:val="auto"/>
                <w:spacing w:val="0"/>
                <w:w w:val="100"/>
                <w:kern w:val="0"/>
                <w:position w:val="0"/>
                <w:sz w:val="24"/>
                <w:szCs w:val="24"/>
              </w:rPr>
              <w:t>仪表无变形和读数不准；</w:t>
            </w:r>
          </w:p>
          <w:p w14:paraId="2E5719D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kern w:val="0"/>
                <w:position w:val="0"/>
                <w:sz w:val="24"/>
                <w:szCs w:val="24"/>
              </w:rPr>
            </w:pPr>
            <w:r>
              <w:rPr>
                <w:rFonts w:hint="eastAsia" w:ascii="华文仿宋" w:hAnsi="华文仿宋" w:eastAsia="华文仿宋" w:cs="华文仿宋"/>
                <w:color w:val="auto"/>
                <w:spacing w:val="0"/>
                <w:w w:val="100"/>
                <w:kern w:val="0"/>
                <w:position w:val="0"/>
                <w:sz w:val="24"/>
                <w:szCs w:val="24"/>
              </w:rPr>
              <w:t>断路器无破损、异味、异声等现象；</w:t>
            </w:r>
          </w:p>
          <w:p w14:paraId="285A28D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kern w:val="0"/>
                <w:position w:val="0"/>
                <w:sz w:val="24"/>
                <w:szCs w:val="24"/>
              </w:rPr>
              <w:t>低压配电功率因素补偿柜内电容器无膨胀变形、变色</w:t>
            </w:r>
            <w:r>
              <w:rPr>
                <w:rFonts w:hint="eastAsia" w:ascii="华文仿宋" w:hAnsi="华文仿宋" w:eastAsia="华文仿宋" w:cs="华文仿宋"/>
                <w:color w:val="auto"/>
                <w:spacing w:val="0"/>
                <w:w w:val="100"/>
                <w:kern w:val="0"/>
                <w:position w:val="0"/>
                <w:sz w:val="24"/>
                <w:szCs w:val="24"/>
                <w:lang w:val="en-US" w:eastAsia="zh-CN"/>
              </w:rPr>
              <w:t>,</w:t>
            </w:r>
            <w:r>
              <w:rPr>
                <w:rFonts w:hint="eastAsia" w:ascii="华文仿宋" w:hAnsi="华文仿宋" w:eastAsia="华文仿宋" w:cs="华文仿宋"/>
                <w:color w:val="auto"/>
                <w:spacing w:val="0"/>
                <w:w w:val="100"/>
                <w:kern w:val="0"/>
                <w:position w:val="0"/>
                <w:sz w:val="24"/>
                <w:szCs w:val="24"/>
              </w:rPr>
              <w:t>接线及接地良好。</w:t>
            </w:r>
          </w:p>
        </w:tc>
      </w:tr>
      <w:tr w14:paraId="5216F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9" w:hRule="atLeast"/>
        </w:trPr>
        <w:tc>
          <w:tcPr>
            <w:tcW w:w="997" w:type="dxa"/>
            <w:vMerge w:val="continue"/>
            <w:tcBorders>
              <w:top w:val="single" w:color="auto" w:sz="4" w:space="0"/>
              <w:left w:val="single" w:color="auto" w:sz="4" w:space="0"/>
              <w:bottom w:val="single" w:color="auto" w:sz="4" w:space="0"/>
              <w:right w:val="single" w:color="auto" w:sz="4" w:space="0"/>
            </w:tcBorders>
            <w:noWrap w:val="0"/>
            <w:vAlign w:val="top"/>
          </w:tcPr>
          <w:p w14:paraId="426B1A3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2067" w:type="dxa"/>
            <w:tcBorders>
              <w:top w:val="single" w:color="auto" w:sz="4" w:space="0"/>
              <w:left w:val="single" w:color="auto" w:sz="4" w:space="0"/>
              <w:bottom w:val="single" w:color="auto" w:sz="4" w:space="0"/>
              <w:right w:val="single" w:color="auto" w:sz="4" w:space="0"/>
            </w:tcBorders>
            <w:noWrap w:val="0"/>
            <w:vAlign w:val="top"/>
          </w:tcPr>
          <w:p w14:paraId="6C8D158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B48C6C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40" w:right="77" w:hanging="21"/>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高、低压配电柜（用电高峰期）看、听、嗅</w:t>
            </w:r>
          </w:p>
        </w:tc>
        <w:tc>
          <w:tcPr>
            <w:tcW w:w="1711" w:type="dxa"/>
            <w:tcBorders>
              <w:top w:val="single" w:color="auto" w:sz="4" w:space="0"/>
              <w:left w:val="single" w:color="auto" w:sz="4" w:space="0"/>
              <w:bottom w:val="single" w:color="auto" w:sz="4" w:space="0"/>
              <w:right w:val="single" w:color="auto" w:sz="4" w:space="0"/>
            </w:tcBorders>
            <w:noWrap w:val="0"/>
            <w:vAlign w:val="center"/>
          </w:tcPr>
          <w:p w14:paraId="018C108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kern w:val="0"/>
                <w:position w:val="0"/>
                <w:sz w:val="24"/>
                <w:szCs w:val="24"/>
              </w:rPr>
              <w:t>每日运行检查两次点检每日两次</w:t>
            </w:r>
          </w:p>
        </w:tc>
        <w:tc>
          <w:tcPr>
            <w:tcW w:w="3977" w:type="dxa"/>
            <w:vMerge w:val="continue"/>
            <w:tcBorders>
              <w:top w:val="single" w:color="auto" w:sz="4" w:space="0"/>
              <w:left w:val="single" w:color="auto" w:sz="4" w:space="0"/>
              <w:bottom w:val="single" w:color="auto" w:sz="4" w:space="0"/>
              <w:right w:val="single" w:color="auto" w:sz="4" w:space="0"/>
            </w:tcBorders>
            <w:noWrap w:val="0"/>
            <w:vAlign w:val="top"/>
          </w:tcPr>
          <w:p w14:paraId="2B8FBAA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r>
      <w:tr w14:paraId="40BDE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8" w:hRule="atLeast"/>
        </w:trPr>
        <w:tc>
          <w:tcPr>
            <w:tcW w:w="997" w:type="dxa"/>
            <w:tcBorders>
              <w:top w:val="single" w:color="auto" w:sz="4" w:space="0"/>
              <w:left w:val="single" w:color="auto" w:sz="4" w:space="0"/>
              <w:bottom w:val="single" w:color="auto" w:sz="4" w:space="0"/>
              <w:right w:val="single" w:color="auto" w:sz="4" w:space="0"/>
            </w:tcBorders>
            <w:noWrap w:val="0"/>
            <w:vAlign w:val="center"/>
          </w:tcPr>
          <w:p w14:paraId="7F9B70C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449"/>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3</w:t>
            </w:r>
          </w:p>
        </w:tc>
        <w:tc>
          <w:tcPr>
            <w:tcW w:w="2067" w:type="dxa"/>
            <w:tcBorders>
              <w:top w:val="single" w:color="auto" w:sz="4" w:space="0"/>
              <w:left w:val="single" w:color="auto" w:sz="4" w:space="0"/>
              <w:bottom w:val="single" w:color="auto" w:sz="4" w:space="0"/>
              <w:right w:val="single" w:color="auto" w:sz="4" w:space="0"/>
            </w:tcBorders>
            <w:noWrap w:val="0"/>
            <w:vAlign w:val="top"/>
          </w:tcPr>
          <w:p w14:paraId="23C2A0D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17B379A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86EE9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62B75D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1"/>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控制柜看、听、嗅</w:t>
            </w:r>
          </w:p>
        </w:tc>
        <w:tc>
          <w:tcPr>
            <w:tcW w:w="1711" w:type="dxa"/>
            <w:tcBorders>
              <w:top w:val="single" w:color="auto" w:sz="4" w:space="0"/>
              <w:left w:val="single" w:color="auto" w:sz="4" w:space="0"/>
              <w:bottom w:val="single" w:color="auto" w:sz="4" w:space="0"/>
              <w:right w:val="single" w:color="auto" w:sz="4" w:space="0"/>
            </w:tcBorders>
            <w:noWrap w:val="0"/>
            <w:vAlign w:val="top"/>
          </w:tcPr>
          <w:p w14:paraId="6645982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75C980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B54CBC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9AF281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5"/>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24"/>
                <w:sz w:val="24"/>
                <w:szCs w:val="24"/>
              </w:rPr>
              <w:t>点检每周一次</w:t>
            </w:r>
          </w:p>
        </w:tc>
        <w:tc>
          <w:tcPr>
            <w:tcW w:w="3977" w:type="dxa"/>
            <w:tcBorders>
              <w:top w:val="single" w:color="auto" w:sz="4" w:space="0"/>
              <w:left w:val="single" w:color="auto" w:sz="4" w:space="0"/>
              <w:bottom w:val="single" w:color="auto" w:sz="4" w:space="0"/>
              <w:right w:val="single" w:color="auto" w:sz="4" w:space="0"/>
            </w:tcBorders>
            <w:noWrap w:val="0"/>
            <w:vAlign w:val="top"/>
          </w:tcPr>
          <w:p w14:paraId="1166012D">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电压表，电流表，指示灯等指示值 应在额定值范围；控制开关应在规定位置；</w:t>
            </w:r>
          </w:p>
          <w:p w14:paraId="24DDC0B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控制柜内所有空气开关、接触器、 热继电器等电气元件和接头有无损坏、变色和异味。</w:t>
            </w:r>
          </w:p>
        </w:tc>
      </w:tr>
    </w:tbl>
    <w:p w14:paraId="162DE744">
      <w:pPr>
        <w:keepNext w:val="0"/>
        <w:keepLines w:val="0"/>
        <w:pageBreakBefore w:val="0"/>
        <w:widowControl/>
        <w:kinsoku/>
        <w:wordWrap w:val="0"/>
        <w:overflowPunct/>
        <w:topLinePunct/>
        <w:autoSpaceDE/>
        <w:autoSpaceDN/>
        <w:bidi w:val="0"/>
        <w:adjustRightInd w:val="0"/>
        <w:snapToGrid w:val="0"/>
        <w:spacing w:line="500" w:lineRule="exact"/>
        <w:ind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（4）供配电设备的安全运行</w:t>
      </w:r>
    </w:p>
    <w:p w14:paraId="2BB1EC96">
      <w:pPr>
        <w:keepNext w:val="0"/>
        <w:keepLines w:val="0"/>
        <w:pageBreakBefore w:val="0"/>
        <w:widowControl/>
        <w:kinsoku/>
        <w:wordWrap w:val="0"/>
        <w:overflowPunct/>
        <w:topLinePunct/>
        <w:autoSpaceDE/>
        <w:autoSpaceDN/>
        <w:bidi w:val="0"/>
        <w:adjustRightInd w:val="0"/>
        <w:snapToGrid w:val="0"/>
        <w:spacing w:line="500" w:lineRule="exact"/>
        <w:ind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position w:val="1"/>
          <w:sz w:val="28"/>
          <w:szCs w:val="28"/>
        </w:rPr>
        <w:t>①变压器的运行</w:t>
      </w:r>
    </w:p>
    <w:p w14:paraId="46CD527A">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position w:val="1"/>
          <w:sz w:val="28"/>
          <w:szCs w:val="28"/>
        </w:rPr>
      </w:pPr>
      <w:r>
        <w:rPr>
          <w:rFonts w:hint="eastAsia" w:ascii="华文仿宋" w:hAnsi="华文仿宋" w:eastAsia="华文仿宋" w:cs="华文仿宋"/>
          <w:color w:val="auto"/>
          <w:spacing w:val="0"/>
          <w:w w:val="100"/>
          <w:position w:val="1"/>
          <w:sz w:val="28"/>
          <w:szCs w:val="28"/>
        </w:rPr>
        <w:t>每日对变压器各项运行参数进行两次（用电高峰期每二小时一次）记录，应包括三相电压、三相电流、三相温度、变压器室温度等参数应在额定值范围内。</w:t>
      </w:r>
    </w:p>
    <w:p w14:paraId="23512BA3">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position w:val="1"/>
          <w:sz w:val="28"/>
          <w:szCs w:val="28"/>
        </w:rPr>
        <w:t>②低压配电柜（进线柜、电容柜）运行：</w:t>
      </w:r>
    </w:p>
    <w:p w14:paraId="3DBEF16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③每日对低压配电柜（进线柜、电容柜）的各项运行参数进行两次（用电高峰期时每二小时一次）记录，应包括：三相电压、三相电流、电容柜功率因素COS(Ø)值、配电室温度等参数应在额定值范围内。</w:t>
      </w:r>
    </w:p>
    <w:p w14:paraId="07AC9A44">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w:t>
      </w:r>
      <w:r>
        <w:rPr>
          <w:rFonts w:hint="eastAsia" w:ascii="华文仿宋" w:hAnsi="华文仿宋" w:eastAsia="华文仿宋" w:cs="华文仿宋"/>
          <w:color w:val="auto"/>
          <w:spacing w:val="0"/>
          <w:w w:val="100"/>
          <w:sz w:val="28"/>
          <w:szCs w:val="28"/>
          <w:lang w:val="en-US" w:eastAsia="zh-CN"/>
        </w:rPr>
        <w:t>5</w:t>
      </w:r>
      <w:r>
        <w:rPr>
          <w:rFonts w:hint="eastAsia" w:ascii="华文仿宋" w:hAnsi="华文仿宋" w:eastAsia="华文仿宋" w:cs="华文仿宋"/>
          <w:color w:val="auto"/>
          <w:spacing w:val="0"/>
          <w:w w:val="100"/>
          <w:sz w:val="28"/>
          <w:szCs w:val="28"/>
        </w:rPr>
        <w:t>）供配电系统的保养</w:t>
      </w:r>
    </w:p>
    <w:p w14:paraId="40B34F4B">
      <w:pPr>
        <w:keepNext w:val="0"/>
        <w:keepLines w:val="0"/>
        <w:pageBreakBefore w:val="0"/>
        <w:widowControl/>
        <w:kinsoku/>
        <w:wordWrap w:val="0"/>
        <w:overflowPunct/>
        <w:topLinePunct/>
        <w:autoSpaceDE/>
        <w:autoSpaceDN/>
        <w:bidi w:val="0"/>
        <w:adjustRightInd w:val="0"/>
        <w:snapToGrid w:val="0"/>
        <w:spacing w:line="500" w:lineRule="exact"/>
        <w:ind w:firstLine="566" w:firstLineChars="200"/>
        <w:jc w:val="left"/>
        <w:textAlignment w:val="auto"/>
        <w:rPr>
          <w:rFonts w:hint="eastAsia" w:ascii="华文仿宋" w:hAnsi="华文仿宋" w:eastAsia="华文仿宋" w:cs="华文仿宋"/>
          <w:color w:val="auto"/>
          <w:spacing w:val="0"/>
          <w:w w:val="100"/>
          <w:position w:val="1"/>
          <w:sz w:val="28"/>
          <w:szCs w:val="28"/>
        </w:rPr>
      </w:pPr>
      <w:r>
        <w:rPr>
          <w:rFonts w:hint="eastAsia" w:ascii="华文仿宋" w:hAnsi="华文仿宋" w:eastAsia="华文仿宋" w:cs="华文仿宋"/>
          <w:color w:val="auto"/>
          <w:spacing w:val="0"/>
          <w:w w:val="100"/>
          <w:position w:val="1"/>
          <w:sz w:val="28"/>
          <w:szCs w:val="28"/>
        </w:rPr>
        <w:t>①例行保养，运行中变压器每半年例行保养一次。详细做好保养记录；</w:t>
      </w:r>
    </w:p>
    <w:p w14:paraId="455AA729">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position w:val="1"/>
          <w:sz w:val="28"/>
          <w:szCs w:val="28"/>
        </w:rPr>
      </w:pPr>
      <w:r>
        <w:rPr>
          <w:rFonts w:hint="eastAsia" w:ascii="华文仿宋" w:hAnsi="华文仿宋" w:eastAsia="华文仿宋" w:cs="华文仿宋"/>
          <w:color w:val="auto"/>
          <w:spacing w:val="0"/>
          <w:w w:val="100"/>
          <w:position w:val="1"/>
          <w:sz w:val="28"/>
          <w:szCs w:val="28"/>
        </w:rPr>
        <w:t>②变压器的预防性试验，变压器每3年做一次预防性试验，达到预防事故之目的。包括：线圈的绝缘电阻试验；工频交流耐压试验；线圈直流电阻测试；</w:t>
      </w:r>
    </w:p>
    <w:p w14:paraId="603CD7E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③低压配电柜每半年保养一次；</w:t>
      </w:r>
    </w:p>
    <w:p w14:paraId="60E295D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④防避雷设施每年检测并保养一次。</w:t>
      </w:r>
    </w:p>
    <w:p w14:paraId="14D3C4D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w:t>
      </w:r>
      <w:r>
        <w:rPr>
          <w:rFonts w:hint="eastAsia" w:ascii="华文仿宋" w:hAnsi="华文仿宋" w:eastAsia="华文仿宋" w:cs="华文仿宋"/>
          <w:color w:val="auto"/>
          <w:spacing w:val="0"/>
          <w:w w:val="100"/>
          <w:sz w:val="28"/>
          <w:szCs w:val="28"/>
          <w:lang w:val="en-US" w:eastAsia="zh-CN"/>
        </w:rPr>
        <w:t>6</w:t>
      </w:r>
      <w:r>
        <w:rPr>
          <w:rFonts w:hint="eastAsia" w:ascii="华文仿宋" w:hAnsi="华文仿宋" w:eastAsia="华文仿宋" w:cs="华文仿宋"/>
          <w:color w:val="auto"/>
          <w:spacing w:val="0"/>
          <w:w w:val="100"/>
          <w:sz w:val="28"/>
          <w:szCs w:val="28"/>
        </w:rPr>
        <w:t>）消防系统</w:t>
      </w:r>
    </w:p>
    <w:p w14:paraId="250D66BE">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区域的消防管理，要贯彻“预防为主，防消结合”的方针，因此要在消防中心设置24小时的值班制度，建立完整的消防设备维修档案，定期做好设备测试工作，发现问题及时处理，对过期的灭火器及时进行更换，确保消防设备的正常运行。</w:t>
      </w:r>
    </w:p>
    <w:p w14:paraId="41039295">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position w:val="1"/>
          <w:sz w:val="28"/>
          <w:szCs w:val="28"/>
        </w:rPr>
      </w:pPr>
      <w:r>
        <w:rPr>
          <w:rFonts w:hint="eastAsia" w:ascii="华文仿宋" w:hAnsi="华文仿宋" w:eastAsia="华文仿宋" w:cs="华文仿宋"/>
          <w:color w:val="auto"/>
          <w:spacing w:val="0"/>
          <w:w w:val="100"/>
          <w:position w:val="1"/>
          <w:sz w:val="28"/>
          <w:szCs w:val="28"/>
        </w:rPr>
        <w:t>②</w:t>
      </w:r>
      <w:r>
        <w:rPr>
          <w:rFonts w:hint="eastAsia" w:ascii="华文仿宋" w:hAnsi="华文仿宋" w:eastAsia="华文仿宋" w:cs="华文仿宋"/>
          <w:color w:val="auto"/>
          <w:spacing w:val="0"/>
          <w:w w:val="100"/>
          <w:sz w:val="28"/>
          <w:szCs w:val="28"/>
        </w:rPr>
        <w:t>消防</w:t>
      </w:r>
      <w:r>
        <w:rPr>
          <w:rFonts w:hint="eastAsia" w:ascii="华文仿宋" w:hAnsi="华文仿宋" w:eastAsia="华文仿宋" w:cs="华文仿宋"/>
          <w:color w:val="auto"/>
          <w:spacing w:val="0"/>
          <w:w w:val="100"/>
          <w:position w:val="1"/>
          <w:sz w:val="28"/>
          <w:szCs w:val="28"/>
        </w:rPr>
        <w:t>系统的点检和保养的内容、周期及工作标准</w:t>
      </w:r>
    </w:p>
    <w:p w14:paraId="124DC0D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position w:val="1"/>
          <w:sz w:val="28"/>
          <w:szCs w:val="28"/>
        </w:rPr>
      </w:pPr>
    </w:p>
    <w:p w14:paraId="5C270357">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position w:val="1"/>
          <w:sz w:val="28"/>
          <w:szCs w:val="28"/>
        </w:rPr>
      </w:pP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28"/>
        <w:gridCol w:w="1536"/>
        <w:gridCol w:w="4008"/>
      </w:tblGrid>
      <w:tr w14:paraId="18018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3328" w:type="dxa"/>
            <w:noWrap w:val="0"/>
            <w:vAlign w:val="center"/>
          </w:tcPr>
          <w:p w14:paraId="3C594F9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608"/>
              <w:jc w:val="left"/>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点检和保养内容</w:t>
            </w:r>
          </w:p>
        </w:tc>
        <w:tc>
          <w:tcPr>
            <w:tcW w:w="1536" w:type="dxa"/>
            <w:noWrap w:val="0"/>
            <w:vAlign w:val="center"/>
          </w:tcPr>
          <w:p w14:paraId="609C776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5"/>
              <w:jc w:val="left"/>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周期</w:t>
            </w:r>
          </w:p>
        </w:tc>
        <w:tc>
          <w:tcPr>
            <w:tcW w:w="4008" w:type="dxa"/>
            <w:noWrap w:val="0"/>
            <w:vAlign w:val="center"/>
          </w:tcPr>
          <w:p w14:paraId="50C311F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7"/>
              <w:jc w:val="left"/>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工作标准</w:t>
            </w:r>
          </w:p>
        </w:tc>
      </w:tr>
      <w:tr w14:paraId="617BA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6" w:hRule="atLeast"/>
        </w:trPr>
        <w:tc>
          <w:tcPr>
            <w:tcW w:w="3328" w:type="dxa"/>
            <w:noWrap w:val="0"/>
            <w:vAlign w:val="center"/>
          </w:tcPr>
          <w:p w14:paraId="4E807B5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right="25" w:firstLine="484"/>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消防系统（火灾报警控制 器、消防联动控制柜）看、听、嗅、查、测</w:t>
            </w:r>
          </w:p>
        </w:tc>
        <w:tc>
          <w:tcPr>
            <w:tcW w:w="1536" w:type="dxa"/>
            <w:noWrap w:val="0"/>
            <w:vAlign w:val="center"/>
          </w:tcPr>
          <w:p w14:paraId="6AFFADD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6"/>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点检每天一次</w:t>
            </w:r>
          </w:p>
        </w:tc>
        <w:tc>
          <w:tcPr>
            <w:tcW w:w="4008" w:type="dxa"/>
            <w:noWrap w:val="0"/>
            <w:vAlign w:val="center"/>
          </w:tcPr>
          <w:p w14:paraId="023CA91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柜内所有电气接头有无破损、变色和异味；消防系统报警故障点的统计，上报客户服务中心。</w:t>
            </w:r>
          </w:p>
        </w:tc>
      </w:tr>
    </w:tbl>
    <w:p w14:paraId="3AD7FA65">
      <w:pPr>
        <w:keepNext w:val="0"/>
        <w:keepLines w:val="0"/>
        <w:pageBreakBefore w:val="0"/>
        <w:widowControl/>
        <w:kinsoku w:val="0"/>
        <w:wordWrap/>
        <w:overflowPunct/>
        <w:topLinePunct w:val="0"/>
        <w:autoSpaceDE w:val="0"/>
        <w:autoSpaceDN w:val="0"/>
        <w:bidi w:val="0"/>
        <w:adjustRightInd w:val="0"/>
        <w:snapToGrid w:val="0"/>
        <w:spacing w:line="240" w:lineRule="auto"/>
        <w:ind w:left="719"/>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③消防系统的定期保养</w:t>
      </w:r>
    </w:p>
    <w:tbl>
      <w:tblPr>
        <w:tblStyle w:val="38"/>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05"/>
        <w:gridCol w:w="832"/>
        <w:gridCol w:w="5426"/>
      </w:tblGrid>
      <w:tr w14:paraId="2A1B83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2605" w:type="dxa"/>
            <w:noWrap w:val="0"/>
            <w:vAlign w:val="center"/>
          </w:tcPr>
          <w:p w14:paraId="3D3441C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801"/>
              <w:jc w:val="both"/>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项目</w:t>
            </w:r>
          </w:p>
        </w:tc>
        <w:tc>
          <w:tcPr>
            <w:tcW w:w="832" w:type="dxa"/>
            <w:noWrap w:val="0"/>
            <w:vAlign w:val="center"/>
          </w:tcPr>
          <w:p w14:paraId="103DCE1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82"/>
              <w:jc w:val="both"/>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周期</w:t>
            </w:r>
          </w:p>
        </w:tc>
        <w:tc>
          <w:tcPr>
            <w:tcW w:w="5426" w:type="dxa"/>
            <w:noWrap w:val="0"/>
            <w:vAlign w:val="center"/>
          </w:tcPr>
          <w:p w14:paraId="45EDE79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工作内容及标准</w:t>
            </w:r>
          </w:p>
        </w:tc>
      </w:tr>
      <w:tr w14:paraId="00CAC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jc w:val="center"/>
        </w:trPr>
        <w:tc>
          <w:tcPr>
            <w:tcW w:w="2605" w:type="dxa"/>
            <w:noWrap w:val="0"/>
            <w:vAlign w:val="center"/>
          </w:tcPr>
          <w:p w14:paraId="4CB7C8A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24"/>
                <w:sz w:val="24"/>
                <w:szCs w:val="24"/>
              </w:rPr>
              <w:t>火灾报警控制器、消防联动控制柜</w:t>
            </w:r>
          </w:p>
        </w:tc>
        <w:tc>
          <w:tcPr>
            <w:tcW w:w="832" w:type="dxa"/>
            <w:noWrap w:val="0"/>
            <w:vAlign w:val="center"/>
          </w:tcPr>
          <w:p w14:paraId="662C070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每日</w:t>
            </w:r>
          </w:p>
        </w:tc>
        <w:tc>
          <w:tcPr>
            <w:tcW w:w="5426" w:type="dxa"/>
            <w:noWrap w:val="0"/>
            <w:vAlign w:val="center"/>
          </w:tcPr>
          <w:p w14:paraId="15670C7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柜内所有电气接头有无破损、变色和异味；消防系统报警故障点的统计及处理；每月按探头数量的10%抽检试验。</w:t>
            </w:r>
          </w:p>
        </w:tc>
      </w:tr>
      <w:tr w14:paraId="6A9BC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605" w:type="dxa"/>
            <w:noWrap w:val="0"/>
            <w:vAlign w:val="center"/>
          </w:tcPr>
          <w:p w14:paraId="654D8B5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position w:val="24"/>
                <w:sz w:val="24"/>
                <w:szCs w:val="24"/>
              </w:rPr>
            </w:pPr>
            <w:r>
              <w:rPr>
                <w:rFonts w:hint="eastAsia" w:ascii="华文仿宋" w:hAnsi="华文仿宋" w:eastAsia="华文仿宋" w:cs="华文仿宋"/>
                <w:color w:val="auto"/>
                <w:spacing w:val="0"/>
                <w:w w:val="100"/>
                <w:position w:val="24"/>
                <w:sz w:val="24"/>
                <w:szCs w:val="24"/>
              </w:rPr>
              <w:t>消防泵（栓）系统检查保养</w:t>
            </w:r>
          </w:p>
        </w:tc>
        <w:tc>
          <w:tcPr>
            <w:tcW w:w="832" w:type="dxa"/>
            <w:noWrap w:val="0"/>
            <w:vAlign w:val="center"/>
          </w:tcPr>
          <w:p w14:paraId="28ACA0B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2F42DF1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5426" w:type="dxa"/>
            <w:noWrap w:val="0"/>
            <w:vAlign w:val="center"/>
          </w:tcPr>
          <w:p w14:paraId="6A5C1B90">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检查消火栓内配件是否齐全，并抽检消火栓按钮是否可以启泵。</w:t>
            </w:r>
          </w:p>
        </w:tc>
      </w:tr>
      <w:tr w14:paraId="4E77F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jc w:val="center"/>
        </w:trPr>
        <w:tc>
          <w:tcPr>
            <w:tcW w:w="2605" w:type="dxa"/>
            <w:noWrap w:val="0"/>
            <w:vAlign w:val="center"/>
          </w:tcPr>
          <w:p w14:paraId="61E9E6D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position w:val="24"/>
                <w:sz w:val="24"/>
                <w:szCs w:val="24"/>
              </w:rPr>
            </w:pPr>
            <w:r>
              <w:rPr>
                <w:rFonts w:hint="eastAsia" w:ascii="华文仿宋" w:hAnsi="华文仿宋" w:eastAsia="华文仿宋" w:cs="华文仿宋"/>
                <w:color w:val="auto"/>
                <w:spacing w:val="0"/>
                <w:w w:val="100"/>
                <w:position w:val="24"/>
                <w:sz w:val="24"/>
                <w:szCs w:val="24"/>
              </w:rPr>
              <w:t>报警系统检查保养</w:t>
            </w:r>
          </w:p>
        </w:tc>
        <w:tc>
          <w:tcPr>
            <w:tcW w:w="832" w:type="dxa"/>
            <w:noWrap w:val="0"/>
            <w:vAlign w:val="center"/>
          </w:tcPr>
          <w:p w14:paraId="51C9831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0460ACB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5426" w:type="dxa"/>
            <w:noWrap w:val="0"/>
            <w:vAlign w:val="center"/>
          </w:tcPr>
          <w:p w14:paraId="525A98B4">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对烟感、手动报警按钮抽检；并检查其安装是否牢固、正确。</w:t>
            </w:r>
          </w:p>
        </w:tc>
      </w:tr>
      <w:tr w14:paraId="3281F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605" w:type="dxa"/>
            <w:noWrap w:val="0"/>
            <w:vAlign w:val="center"/>
          </w:tcPr>
          <w:p w14:paraId="107E148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position w:val="24"/>
                <w:sz w:val="24"/>
                <w:szCs w:val="24"/>
              </w:rPr>
            </w:pPr>
          </w:p>
          <w:p w14:paraId="646541E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position w:val="24"/>
                <w:sz w:val="24"/>
                <w:szCs w:val="24"/>
              </w:rPr>
            </w:pPr>
            <w:r>
              <w:rPr>
                <w:rFonts w:hint="eastAsia" w:ascii="华文仿宋" w:hAnsi="华文仿宋" w:eastAsia="华文仿宋" w:cs="华文仿宋"/>
                <w:color w:val="auto"/>
                <w:spacing w:val="0"/>
                <w:w w:val="100"/>
                <w:position w:val="24"/>
                <w:sz w:val="24"/>
                <w:szCs w:val="24"/>
              </w:rPr>
              <w:t>防排烟系统检查保养</w:t>
            </w:r>
          </w:p>
        </w:tc>
        <w:tc>
          <w:tcPr>
            <w:tcW w:w="832" w:type="dxa"/>
            <w:noWrap w:val="0"/>
            <w:vAlign w:val="center"/>
          </w:tcPr>
          <w:p w14:paraId="743DAF7F">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每季</w:t>
            </w:r>
          </w:p>
        </w:tc>
        <w:tc>
          <w:tcPr>
            <w:tcW w:w="5426" w:type="dxa"/>
            <w:noWrap w:val="0"/>
            <w:vAlign w:val="top"/>
          </w:tcPr>
          <w:p w14:paraId="1752E9F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486" w:firstLineChars="2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正压风机、排烟风机应处于“ 自动 ”状态，运行时送、排烟压力应充足，各楼层防火门均在关闭状态，送风、排烟管道无堵塞。线头压接和继电器接触应良好，电机接地线牢固；风机叶轮转动灵活无卡阻，及时检查（替换）轴承润滑油；风口外观良好，无脱落，无机械损伤。</w:t>
            </w:r>
          </w:p>
        </w:tc>
      </w:tr>
      <w:tr w14:paraId="25DE2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1" w:hRule="atLeast"/>
          <w:jc w:val="center"/>
        </w:trPr>
        <w:tc>
          <w:tcPr>
            <w:tcW w:w="2605" w:type="dxa"/>
            <w:noWrap w:val="0"/>
            <w:vAlign w:val="top"/>
          </w:tcPr>
          <w:p w14:paraId="75153579">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kern w:val="2"/>
                <w:position w:val="24"/>
                <w:sz w:val="24"/>
                <w:szCs w:val="24"/>
                <w:lang w:val="en-US" w:eastAsia="en-US" w:bidi="ar-SA"/>
              </w:rPr>
            </w:pPr>
          </w:p>
          <w:p w14:paraId="70634F7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20"/>
              <w:jc w:val="both"/>
              <w:textAlignment w:val="baseline"/>
              <w:rPr>
                <w:rFonts w:hint="eastAsia" w:ascii="华文仿宋" w:hAnsi="华文仿宋" w:eastAsia="华文仿宋" w:cs="华文仿宋"/>
                <w:color w:val="auto"/>
                <w:spacing w:val="0"/>
                <w:w w:val="100"/>
                <w:kern w:val="2"/>
                <w:position w:val="24"/>
                <w:sz w:val="24"/>
                <w:szCs w:val="24"/>
                <w:lang w:val="en-US" w:eastAsia="en-US" w:bidi="ar-SA"/>
              </w:rPr>
            </w:pPr>
            <w:r>
              <w:rPr>
                <w:rFonts w:hint="eastAsia" w:ascii="华文仿宋" w:hAnsi="华文仿宋" w:eastAsia="华文仿宋" w:cs="华文仿宋"/>
                <w:color w:val="auto"/>
                <w:spacing w:val="0"/>
                <w:w w:val="100"/>
                <w:kern w:val="2"/>
                <w:position w:val="24"/>
                <w:sz w:val="24"/>
                <w:szCs w:val="24"/>
                <w:lang w:val="en-US" w:eastAsia="en-US" w:bidi="ar-SA"/>
              </w:rPr>
              <w:t>灭火器材检查（手提、推车式灭火器）</w:t>
            </w:r>
          </w:p>
        </w:tc>
        <w:tc>
          <w:tcPr>
            <w:tcW w:w="832" w:type="dxa"/>
            <w:noWrap w:val="0"/>
            <w:vAlign w:val="center"/>
          </w:tcPr>
          <w:p w14:paraId="6625424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C3B5D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67FD24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34B2DCA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5426" w:type="dxa"/>
            <w:noWrap w:val="0"/>
            <w:vAlign w:val="center"/>
          </w:tcPr>
          <w:p w14:paraId="4757DF4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27"/>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保证灭火器材外观清洁，标示齐全，无生锈，无缺失配件。灭火器材的压力必须保持在绿色安全压力范围内，标签、铅封完好无损。灭火器材身无裂纹、接口严密无泄露，压力表喷嘴牢固完整。压力不够，失效期到应立即更换。</w:t>
            </w:r>
          </w:p>
        </w:tc>
      </w:tr>
      <w:tr w14:paraId="34DFA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2605" w:type="dxa"/>
            <w:noWrap w:val="0"/>
            <w:vAlign w:val="top"/>
          </w:tcPr>
          <w:p w14:paraId="6BB9278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kern w:val="2"/>
                <w:position w:val="24"/>
                <w:sz w:val="24"/>
                <w:szCs w:val="24"/>
                <w:lang w:val="en-US" w:eastAsia="en-US" w:bidi="ar-SA"/>
              </w:rPr>
            </w:pPr>
          </w:p>
          <w:p w14:paraId="52D8EDF1">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both"/>
              <w:textAlignment w:val="baseline"/>
              <w:rPr>
                <w:rFonts w:hint="eastAsia" w:ascii="华文仿宋" w:hAnsi="华文仿宋" w:eastAsia="华文仿宋" w:cs="华文仿宋"/>
                <w:color w:val="auto"/>
                <w:spacing w:val="0"/>
                <w:w w:val="100"/>
                <w:kern w:val="2"/>
                <w:position w:val="24"/>
                <w:sz w:val="24"/>
                <w:szCs w:val="24"/>
                <w:lang w:val="en-US" w:eastAsia="en-US" w:bidi="ar-SA"/>
              </w:rPr>
            </w:pPr>
            <w:r>
              <w:rPr>
                <w:rFonts w:hint="eastAsia" w:ascii="华文仿宋" w:hAnsi="华文仿宋" w:eastAsia="华文仿宋" w:cs="华文仿宋"/>
                <w:color w:val="auto"/>
                <w:spacing w:val="0"/>
                <w:w w:val="100"/>
                <w:kern w:val="2"/>
                <w:position w:val="24"/>
                <w:sz w:val="24"/>
                <w:szCs w:val="24"/>
                <w:lang w:val="en-US" w:eastAsia="en-US" w:bidi="ar-SA"/>
              </w:rPr>
              <w:t>疏散系统检查保养</w:t>
            </w:r>
          </w:p>
        </w:tc>
        <w:tc>
          <w:tcPr>
            <w:tcW w:w="832" w:type="dxa"/>
            <w:noWrap w:val="0"/>
            <w:vAlign w:val="center"/>
          </w:tcPr>
          <w:p w14:paraId="20A239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p>
          <w:p w14:paraId="786CB7F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5426" w:type="dxa"/>
            <w:noWrap w:val="0"/>
            <w:vAlign w:val="center"/>
          </w:tcPr>
          <w:p w14:paraId="0FE0AB6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7"/>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每月应保养：检查疏散指示灯市电和蓄电池电源均应正常；每月每灯的备用电池应亮灯半小时，使电池放电后再充电，延长电池寿命。</w:t>
            </w:r>
          </w:p>
        </w:tc>
      </w:tr>
      <w:tr w14:paraId="696E9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jc w:val="center"/>
        </w:trPr>
        <w:tc>
          <w:tcPr>
            <w:tcW w:w="2605" w:type="dxa"/>
            <w:noWrap w:val="0"/>
            <w:vAlign w:val="center"/>
          </w:tcPr>
          <w:p w14:paraId="7C7B783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8"/>
              <w:jc w:val="both"/>
              <w:textAlignment w:val="baseline"/>
              <w:rPr>
                <w:rFonts w:hint="eastAsia" w:ascii="华文仿宋" w:hAnsi="华文仿宋" w:eastAsia="华文仿宋" w:cs="华文仿宋"/>
                <w:color w:val="auto"/>
                <w:spacing w:val="0"/>
                <w:w w:val="100"/>
                <w:kern w:val="2"/>
                <w:position w:val="24"/>
                <w:sz w:val="24"/>
                <w:szCs w:val="24"/>
                <w:lang w:val="en-US" w:eastAsia="en-US" w:bidi="ar-SA"/>
              </w:rPr>
            </w:pPr>
            <w:r>
              <w:rPr>
                <w:rFonts w:hint="eastAsia" w:ascii="华文仿宋" w:hAnsi="华文仿宋" w:eastAsia="华文仿宋" w:cs="华文仿宋"/>
                <w:color w:val="auto"/>
                <w:spacing w:val="0"/>
                <w:w w:val="100"/>
                <w:kern w:val="2"/>
                <w:position w:val="24"/>
                <w:sz w:val="24"/>
                <w:szCs w:val="24"/>
                <w:lang w:val="en-US" w:eastAsia="en-US" w:bidi="ar-SA"/>
              </w:rPr>
              <w:t>通讯系统检查保养</w:t>
            </w:r>
          </w:p>
        </w:tc>
        <w:tc>
          <w:tcPr>
            <w:tcW w:w="832" w:type="dxa"/>
            <w:noWrap w:val="0"/>
            <w:vAlign w:val="center"/>
          </w:tcPr>
          <w:p w14:paraId="4AF379F2">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2"/>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5426" w:type="dxa"/>
            <w:noWrap w:val="0"/>
            <w:vAlign w:val="center"/>
          </w:tcPr>
          <w:p w14:paraId="262613C1">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lang w:val="en-US" w:eastAsia="zh-CN"/>
              </w:rPr>
            </w:pPr>
            <w:r>
              <w:rPr>
                <w:rFonts w:hint="eastAsia" w:ascii="华文仿宋" w:hAnsi="华文仿宋" w:eastAsia="华文仿宋" w:cs="华文仿宋"/>
                <w:color w:val="auto"/>
                <w:spacing w:val="0"/>
                <w:w w:val="100"/>
                <w:sz w:val="24"/>
                <w:szCs w:val="24"/>
              </w:rPr>
              <w:t>每月应检查报警电话能否正常通话。每月应检查楼层通讯对讲系统能否正常通话。每月应进行测试广播一次。</w:t>
            </w:r>
          </w:p>
        </w:tc>
      </w:tr>
    </w:tbl>
    <w:p w14:paraId="044A9D30">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（7）给排水系统</w:t>
      </w:r>
    </w:p>
    <w:p w14:paraId="418A10A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服务内容：给排水设备运行维护包括但不限于对物业服务区室内外给排水系统的设备、设施，如水泵、水箱、气压给水装置、水处理设备、消火栓、管道、管件、阀门、排水管、透气管及疏通、水封设备、室外排水管及其附属构筑物等正常运行使用进行日常养护维修。</w:t>
      </w:r>
    </w:p>
    <w:p w14:paraId="2F244442">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服务标准：加强日常检查巡视，要有科学完备的操作规程，对供水系统管路、水泵、水箱、阀门等进行日常维护和定期检修，水箱保持清洁卫生并定期消毒，定期对水泵房及机电设备进行检查、保养、维修、清洁，防止跑、冒、滴、漏；定期对排水管道进行清通、养护及清除污垢，保证室内外排水系统畅通；建立突发事件应急预案，及时发现并解决故障，零维修合格率100%，故障排除不过夜，做好节约用水工作。</w:t>
      </w:r>
    </w:p>
    <w:p w14:paraId="1FAB9199">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left"/>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pacing w:val="0"/>
          <w:w w:val="100"/>
          <w:sz w:val="28"/>
          <w:szCs w:val="28"/>
        </w:rPr>
        <w:t>③给排水系统的定期维护保养内容、周期及标准</w:t>
      </w: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5"/>
        <w:gridCol w:w="849"/>
        <w:gridCol w:w="6165"/>
      </w:tblGrid>
      <w:tr w14:paraId="1625A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8329" w:type="dxa"/>
            <w:gridSpan w:val="3"/>
            <w:noWrap w:val="0"/>
            <w:vAlign w:val="center"/>
          </w:tcPr>
          <w:p w14:paraId="7F13FBF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项目设备室设备运行维护保养工作标准（给排水）</w:t>
            </w:r>
          </w:p>
        </w:tc>
      </w:tr>
      <w:tr w14:paraId="2E49E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315" w:type="dxa"/>
            <w:noWrap w:val="0"/>
            <w:vAlign w:val="center"/>
          </w:tcPr>
          <w:p w14:paraId="643EF309">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项目</w:t>
            </w:r>
          </w:p>
        </w:tc>
        <w:tc>
          <w:tcPr>
            <w:tcW w:w="849" w:type="dxa"/>
            <w:noWrap w:val="0"/>
            <w:vAlign w:val="center"/>
          </w:tcPr>
          <w:p w14:paraId="7663DF1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4"/>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周期</w:t>
            </w:r>
          </w:p>
        </w:tc>
        <w:tc>
          <w:tcPr>
            <w:tcW w:w="6165" w:type="dxa"/>
            <w:noWrap w:val="0"/>
            <w:vAlign w:val="center"/>
          </w:tcPr>
          <w:p w14:paraId="7B00C15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597"/>
              <w:jc w:val="center"/>
              <w:textAlignment w:val="baseline"/>
              <w:rPr>
                <w:rFonts w:hint="eastAsia" w:ascii="华文仿宋" w:hAnsi="华文仿宋" w:eastAsia="华文仿宋" w:cs="华文仿宋"/>
                <w:b/>
                <w:bCs/>
                <w:color w:val="auto"/>
                <w:spacing w:val="0"/>
                <w:w w:val="100"/>
                <w:sz w:val="24"/>
                <w:szCs w:val="24"/>
              </w:rPr>
            </w:pPr>
            <w:r>
              <w:rPr>
                <w:rFonts w:hint="eastAsia" w:ascii="华文仿宋" w:hAnsi="华文仿宋" w:eastAsia="华文仿宋" w:cs="华文仿宋"/>
                <w:b/>
                <w:bCs/>
                <w:color w:val="auto"/>
                <w:spacing w:val="0"/>
                <w:w w:val="100"/>
                <w:sz w:val="24"/>
                <w:szCs w:val="24"/>
              </w:rPr>
              <w:t>工作内容及标准</w:t>
            </w:r>
          </w:p>
        </w:tc>
      </w:tr>
      <w:tr w14:paraId="5EC4A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3" w:hRule="atLeast"/>
        </w:trPr>
        <w:tc>
          <w:tcPr>
            <w:tcW w:w="1315" w:type="dxa"/>
            <w:noWrap w:val="0"/>
            <w:vAlign w:val="top"/>
          </w:tcPr>
          <w:p w14:paraId="1908DFF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F4C933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9986A8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14C9BF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DE4197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DCB44C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BDEC55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9"/>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水泵保养</w:t>
            </w:r>
          </w:p>
        </w:tc>
        <w:tc>
          <w:tcPr>
            <w:tcW w:w="849" w:type="dxa"/>
            <w:noWrap w:val="0"/>
            <w:vAlign w:val="top"/>
          </w:tcPr>
          <w:p w14:paraId="4679CCD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B8E348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DA8FD8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893094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38A8D2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7AFED6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E2D1D4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每月</w:t>
            </w:r>
          </w:p>
        </w:tc>
        <w:tc>
          <w:tcPr>
            <w:tcW w:w="6165" w:type="dxa"/>
            <w:noWrap w:val="0"/>
            <w:vAlign w:val="top"/>
          </w:tcPr>
          <w:p w14:paraId="7E6C3C8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检查、补充水泵轴承及水泵电机轴承润滑脂，水泵轴承及水泵 电机轴承每隔 5 个月润滑一次，加入润滑脂不应超过轴承室的 2/3, 否则将导致轴承过热，如有油质变色、有铁屑等现象应全部更换。 漏水检查：盘根应良好，泵体无渗水、溢水、沙眼等情况，水泵运行时，水泵轴下在间断性滴水属正常现象（普通盘根式轴封），但渗水量应约 5 ~ 20g/min 为宜（如采用石墨类轴封应不得出现渗水现象），泵轴渗水没有流到地面的现象。水泵和电机要转动灵活无卡壳，泵轴与电机轴在同一中心线，水泵联轴器每月检查一次，检查时应注意联轴器是否旋转自然，并保持偏差不超过0.2mm,机座地脚螺栓应紧固、无锈蚀（应始终保持有防锈措施）、垫片齐全。</w:t>
            </w:r>
          </w:p>
        </w:tc>
      </w:tr>
      <w:tr w14:paraId="2A98B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315" w:type="dxa"/>
            <w:noWrap w:val="0"/>
            <w:vAlign w:val="top"/>
          </w:tcPr>
          <w:p w14:paraId="2992193B">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消防水泵点动运行</w:t>
            </w:r>
          </w:p>
        </w:tc>
        <w:tc>
          <w:tcPr>
            <w:tcW w:w="849" w:type="dxa"/>
            <w:noWrap w:val="0"/>
            <w:vAlign w:val="center"/>
          </w:tcPr>
          <w:p w14:paraId="4F96CA27">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每半</w:t>
            </w:r>
          </w:p>
          <w:p w14:paraId="3BDC35B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个月</w:t>
            </w:r>
          </w:p>
        </w:tc>
        <w:tc>
          <w:tcPr>
            <w:tcW w:w="6165" w:type="dxa"/>
            <w:noWrap w:val="0"/>
            <w:vAlign w:val="center"/>
          </w:tcPr>
          <w:p w14:paraId="502E9592">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实验水泵是否可正常运行。</w:t>
            </w:r>
          </w:p>
        </w:tc>
      </w:tr>
      <w:tr w14:paraId="468AC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315" w:type="dxa"/>
            <w:noWrap w:val="0"/>
            <w:vAlign w:val="top"/>
          </w:tcPr>
          <w:p w14:paraId="24F1AC30">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减压阀组检查</w:t>
            </w:r>
          </w:p>
        </w:tc>
        <w:tc>
          <w:tcPr>
            <w:tcW w:w="849" w:type="dxa"/>
            <w:noWrap w:val="0"/>
            <w:vAlign w:val="center"/>
          </w:tcPr>
          <w:p w14:paraId="251E3BEC">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每月</w:t>
            </w:r>
          </w:p>
        </w:tc>
        <w:tc>
          <w:tcPr>
            <w:tcW w:w="6165" w:type="dxa"/>
            <w:noWrap w:val="0"/>
            <w:vAlign w:val="center"/>
          </w:tcPr>
          <w:p w14:paraId="2F0C799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检查减压阀工作是否正常，并对压差进行调校。</w:t>
            </w:r>
          </w:p>
        </w:tc>
      </w:tr>
      <w:tr w14:paraId="73987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1315" w:type="dxa"/>
            <w:noWrap w:val="0"/>
            <w:vAlign w:val="top"/>
          </w:tcPr>
          <w:p w14:paraId="508F5E8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水箱浮球检查</w:t>
            </w:r>
          </w:p>
        </w:tc>
        <w:tc>
          <w:tcPr>
            <w:tcW w:w="849" w:type="dxa"/>
            <w:noWrap w:val="0"/>
            <w:vAlign w:val="center"/>
          </w:tcPr>
          <w:p w14:paraId="46BD66D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center"/>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每日</w:t>
            </w:r>
          </w:p>
        </w:tc>
        <w:tc>
          <w:tcPr>
            <w:tcW w:w="6165" w:type="dxa"/>
            <w:noWrap w:val="0"/>
            <w:vAlign w:val="center"/>
          </w:tcPr>
          <w:p w14:paraId="15E4F32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检查浮球阀是否可正常开启、关闭，水箱盖是否锁好。</w:t>
            </w:r>
          </w:p>
        </w:tc>
      </w:tr>
      <w:tr w14:paraId="6E7CD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9" w:hRule="atLeast"/>
        </w:trPr>
        <w:tc>
          <w:tcPr>
            <w:tcW w:w="1315" w:type="dxa"/>
            <w:noWrap w:val="0"/>
            <w:vAlign w:val="top"/>
          </w:tcPr>
          <w:p w14:paraId="77D968C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848081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557F84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6D56BF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E46F42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38"/>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阀门保养</w:t>
            </w:r>
          </w:p>
        </w:tc>
        <w:tc>
          <w:tcPr>
            <w:tcW w:w="849" w:type="dxa"/>
            <w:noWrap w:val="0"/>
            <w:vAlign w:val="top"/>
          </w:tcPr>
          <w:p w14:paraId="65F8D1E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EA7CEC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6909558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B540CE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D9CB8C6">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每季</w:t>
            </w:r>
          </w:p>
        </w:tc>
        <w:tc>
          <w:tcPr>
            <w:tcW w:w="6165" w:type="dxa"/>
            <w:noWrap w:val="0"/>
            <w:vAlign w:val="top"/>
          </w:tcPr>
          <w:p w14:paraId="4CDFE31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3"/>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阀门开闭灵活、无卡阻，关闭严密，无漏水现象；阀体手柄（手轮）完好，阀杆润滑好，外观整洁；对阀门连接铜阀芯的传动杆加注黄油，做好防腐，以确保阀门开闭自如；对阀门上的螺栓进行防腐除锈加黄油；对阀门漏水部分加盘根，堵漏；检查阀门与法兰盘连接部分胶垫有无老化、漏水现象，如有则需提前停水，更换胶垫，紧固螺丝。压力表指针灵活，指示准确，表盘清晰，位置便于观察，紧固良好，表阀及接头无渗水。阀门、管道及附件应外观整洁，油漆完好，标志清楚，铭牌字迹清晰。</w:t>
            </w:r>
          </w:p>
        </w:tc>
      </w:tr>
      <w:tr w14:paraId="7C8DF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8329" w:type="dxa"/>
            <w:gridSpan w:val="3"/>
            <w:noWrap w:val="0"/>
            <w:vAlign w:val="center"/>
          </w:tcPr>
          <w:p w14:paraId="1595893F">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项目设施设备运行维护保养工作标准（水泵控制柜）</w:t>
            </w:r>
          </w:p>
        </w:tc>
      </w:tr>
      <w:tr w14:paraId="271C3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15" w:type="dxa"/>
            <w:noWrap w:val="0"/>
            <w:vAlign w:val="center"/>
          </w:tcPr>
          <w:p w14:paraId="5434F122">
            <w:pPr>
              <w:pStyle w:val="10"/>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项目</w:t>
            </w:r>
          </w:p>
        </w:tc>
        <w:tc>
          <w:tcPr>
            <w:tcW w:w="849" w:type="dxa"/>
            <w:noWrap w:val="0"/>
            <w:vAlign w:val="center"/>
          </w:tcPr>
          <w:p w14:paraId="22367C7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周期</w:t>
            </w:r>
          </w:p>
        </w:tc>
        <w:tc>
          <w:tcPr>
            <w:tcW w:w="6165" w:type="dxa"/>
            <w:noWrap w:val="0"/>
            <w:vAlign w:val="center"/>
          </w:tcPr>
          <w:p w14:paraId="5E554098">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工作内容及标准</w:t>
            </w:r>
          </w:p>
        </w:tc>
      </w:tr>
      <w:tr w14:paraId="5AC64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5" w:type="dxa"/>
            <w:noWrap w:val="0"/>
            <w:vAlign w:val="center"/>
          </w:tcPr>
          <w:p w14:paraId="435C978C">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点检</w:t>
            </w:r>
          </w:p>
        </w:tc>
        <w:tc>
          <w:tcPr>
            <w:tcW w:w="849" w:type="dxa"/>
            <w:noWrap w:val="0"/>
            <w:vAlign w:val="top"/>
          </w:tcPr>
          <w:p w14:paraId="74774E9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0F05B6D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3"/>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position w:val="24"/>
                <w:sz w:val="24"/>
                <w:szCs w:val="24"/>
              </w:rPr>
              <w:t>每周</w:t>
            </w:r>
          </w:p>
          <w:p w14:paraId="5F3E99EA">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一次</w:t>
            </w:r>
          </w:p>
        </w:tc>
        <w:tc>
          <w:tcPr>
            <w:tcW w:w="6165" w:type="dxa"/>
            <w:noWrap w:val="0"/>
            <w:vAlign w:val="top"/>
          </w:tcPr>
          <w:p w14:paraId="32C86503">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检查电压表，电流表，指示灯等工作是否正常，指示值是否在额定范围；控制开关是否在规定位置；控制柜内所有接触器、电气元件和接头有无损坏、变色和异味。</w:t>
            </w:r>
          </w:p>
        </w:tc>
      </w:tr>
      <w:tr w14:paraId="07563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2" w:hRule="atLeast"/>
        </w:trPr>
        <w:tc>
          <w:tcPr>
            <w:tcW w:w="1315" w:type="dxa"/>
            <w:noWrap w:val="0"/>
            <w:vAlign w:val="top"/>
          </w:tcPr>
          <w:p w14:paraId="4135CC2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E79D77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4ABC3F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1C7ED7B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234254B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34D42FE">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6"/>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例行保养</w:t>
            </w:r>
          </w:p>
        </w:tc>
        <w:tc>
          <w:tcPr>
            <w:tcW w:w="849" w:type="dxa"/>
            <w:noWrap w:val="0"/>
            <w:vAlign w:val="top"/>
          </w:tcPr>
          <w:p w14:paraId="1823FD2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68CB01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755BD8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E4B4C3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3747866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DB930A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半年</w:t>
            </w:r>
          </w:p>
        </w:tc>
        <w:tc>
          <w:tcPr>
            <w:tcW w:w="6165" w:type="dxa"/>
            <w:noWrap w:val="0"/>
            <w:vAlign w:val="top"/>
          </w:tcPr>
          <w:p w14:paraId="7D86EA09">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关掉控制柜电源，检查柜内的各类开关、接触器有无损坏。紧固所有接线端子。检查电压表，电流表，指示灯等工作是否正常，指示值是否在断电后的适宜位置。对有控制板（即电子元件）的，先对人体自身静电进行放电后，再对电路组件进行检查和清洁，元件有否损坏检查柜内所有的电容器，有否鼓涨或流液现象，如有要及时更换。检查所有指示标志及线头标志是否清洁，柜表面油漆有无脱落，有问题要及时修补。对柜内外进行一次全面清洁检查，不准有遗留物。接通控制电源，注意有无异常响声及异味，检查各指示部件的工作状态应正常，对有弱电控制板的要用万用表检查板上输入电压是否正常。</w:t>
            </w:r>
          </w:p>
        </w:tc>
      </w:tr>
      <w:tr w14:paraId="3F21A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5" w:type="dxa"/>
            <w:noWrap w:val="0"/>
            <w:vAlign w:val="center"/>
          </w:tcPr>
          <w:p w14:paraId="068BB104">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测量</w:t>
            </w:r>
            <w:r>
              <w:rPr>
                <w:rFonts w:hint="eastAsia" w:ascii="华文仿宋" w:hAnsi="华文仿宋" w:eastAsia="华文仿宋" w:cs="华文仿宋"/>
                <w:color w:val="auto"/>
                <w:spacing w:val="0"/>
                <w:w w:val="100"/>
                <w:sz w:val="24"/>
                <w:szCs w:val="24"/>
                <w:lang w:val="en-US" w:eastAsia="zh-CN"/>
              </w:rPr>
              <w:t>绝缘电阻</w:t>
            </w:r>
          </w:p>
        </w:tc>
        <w:tc>
          <w:tcPr>
            <w:tcW w:w="849" w:type="dxa"/>
            <w:vMerge w:val="restart"/>
            <w:tcBorders>
              <w:bottom w:val="nil"/>
            </w:tcBorders>
            <w:noWrap w:val="0"/>
            <w:vAlign w:val="top"/>
          </w:tcPr>
          <w:p w14:paraId="6EE714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4BB8E0D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p w14:paraId="5A20548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left="117"/>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一年</w:t>
            </w:r>
          </w:p>
        </w:tc>
        <w:tc>
          <w:tcPr>
            <w:tcW w:w="6165" w:type="dxa"/>
            <w:noWrap w:val="0"/>
            <w:vAlign w:val="center"/>
          </w:tcPr>
          <w:p w14:paraId="2C03B9C5">
            <w:pPr>
              <w:pStyle w:val="37"/>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 xml:space="preserve">用500V </w:t>
            </w:r>
            <w:r>
              <w:rPr>
                <w:rFonts w:hint="eastAsia" w:ascii="华文仿宋" w:hAnsi="华文仿宋" w:eastAsia="华文仿宋" w:cs="华文仿宋"/>
                <w:color w:val="auto"/>
                <w:spacing w:val="0"/>
                <w:w w:val="100"/>
                <w:sz w:val="24"/>
                <w:szCs w:val="24"/>
                <w:lang w:val="en-US" w:eastAsia="zh-CN"/>
              </w:rPr>
              <w:t>绝缘</w:t>
            </w:r>
            <w:r>
              <w:rPr>
                <w:rFonts w:hint="eastAsia" w:ascii="华文仿宋" w:hAnsi="华文仿宋" w:eastAsia="华文仿宋" w:cs="华文仿宋"/>
                <w:color w:val="auto"/>
                <w:spacing w:val="0"/>
                <w:w w:val="100"/>
                <w:sz w:val="24"/>
                <w:szCs w:val="24"/>
              </w:rPr>
              <w:t>摇表测试线路的绝缘电（R≥10MΩ) 。</w:t>
            </w:r>
          </w:p>
        </w:tc>
      </w:tr>
      <w:tr w14:paraId="714C1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315" w:type="dxa"/>
            <w:noWrap w:val="0"/>
            <w:vAlign w:val="center"/>
          </w:tcPr>
          <w:p w14:paraId="53739048">
            <w:pPr>
              <w:pStyle w:val="37"/>
              <w:keepNext w:val="0"/>
              <w:keepLines w:val="0"/>
              <w:pageBreakBefore w:val="0"/>
              <w:widowControl/>
              <w:kinsoku w:val="0"/>
              <w:wordWrap/>
              <w:overflowPunct/>
              <w:topLinePunct w:val="0"/>
              <w:autoSpaceDE w:val="0"/>
              <w:autoSpaceDN w:val="0"/>
              <w:bidi w:val="0"/>
              <w:adjustRightInd w:val="0"/>
              <w:snapToGrid w:val="0"/>
              <w:spacing w:line="240" w:lineRule="auto"/>
              <w:ind w:right="105"/>
              <w:jc w:val="left"/>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测量接地电阻</w:t>
            </w:r>
          </w:p>
        </w:tc>
        <w:tc>
          <w:tcPr>
            <w:tcW w:w="849" w:type="dxa"/>
            <w:vMerge w:val="continue"/>
            <w:tcBorders>
              <w:top w:val="nil"/>
            </w:tcBorders>
            <w:noWrap w:val="0"/>
            <w:vAlign w:val="top"/>
          </w:tcPr>
          <w:p w14:paraId="504E975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华文仿宋" w:hAnsi="华文仿宋" w:eastAsia="华文仿宋" w:cs="华文仿宋"/>
                <w:color w:val="auto"/>
                <w:spacing w:val="0"/>
                <w:w w:val="100"/>
                <w:sz w:val="24"/>
                <w:szCs w:val="24"/>
              </w:rPr>
            </w:pPr>
          </w:p>
        </w:tc>
        <w:tc>
          <w:tcPr>
            <w:tcW w:w="6165" w:type="dxa"/>
            <w:noWrap w:val="0"/>
            <w:vAlign w:val="center"/>
          </w:tcPr>
          <w:p w14:paraId="03214615">
            <w:pPr>
              <w:pStyle w:val="37"/>
              <w:keepNext w:val="0"/>
              <w:keepLines w:val="0"/>
              <w:pageBreakBefore w:val="0"/>
              <w:widowControl/>
              <w:kinsoku w:val="0"/>
              <w:wordWrap/>
              <w:overflowPunct/>
              <w:topLinePunct w:val="0"/>
              <w:autoSpaceDE w:val="0"/>
              <w:autoSpaceDN w:val="0"/>
              <w:bidi w:val="0"/>
              <w:adjustRightInd w:val="0"/>
              <w:snapToGrid w:val="0"/>
              <w:spacing w:line="240" w:lineRule="auto"/>
              <w:ind w:firstLine="243" w:firstLineChars="100"/>
              <w:jc w:val="both"/>
              <w:textAlignment w:val="baseline"/>
              <w:rPr>
                <w:rFonts w:hint="eastAsia" w:ascii="华文仿宋" w:hAnsi="华文仿宋" w:eastAsia="华文仿宋" w:cs="华文仿宋"/>
                <w:color w:val="auto"/>
                <w:spacing w:val="0"/>
                <w:w w:val="100"/>
                <w:sz w:val="24"/>
                <w:szCs w:val="24"/>
              </w:rPr>
            </w:pPr>
            <w:r>
              <w:rPr>
                <w:rFonts w:hint="eastAsia" w:ascii="华文仿宋" w:hAnsi="华文仿宋" w:eastAsia="华文仿宋" w:cs="华文仿宋"/>
                <w:color w:val="auto"/>
                <w:spacing w:val="0"/>
                <w:w w:val="100"/>
                <w:sz w:val="24"/>
                <w:szCs w:val="24"/>
              </w:rPr>
              <w:t>用对地电阻测试仪测试控制柜的接地电阻（R&lt;4Q）</w:t>
            </w:r>
          </w:p>
        </w:tc>
      </w:tr>
    </w:tbl>
    <w:p w14:paraId="1F5963D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④雨、污水井管理</w:t>
      </w:r>
    </w:p>
    <w:p w14:paraId="2458D423">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A.雨、污水井口盖板应盖好；</w:t>
      </w:r>
    </w:p>
    <w:p w14:paraId="14AD6BAE">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B.维修人员每月检查雨、污水井及其他设施一次；</w:t>
      </w:r>
    </w:p>
    <w:p w14:paraId="4E4B790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C.雨水井每年清洁一次，清除井底沉积物。</w:t>
      </w:r>
    </w:p>
    <w:p w14:paraId="35134476">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⑤化粪池管理</w:t>
      </w:r>
    </w:p>
    <w:p w14:paraId="732DD64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A.化粪池每三个月检查一次，每年清掏1-2次；</w:t>
      </w:r>
    </w:p>
    <w:p w14:paraId="774A28B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B.化粪池井口铁盖应盖好并保证铁盖完好，未经批准不准开启化粪池井盖；</w:t>
      </w:r>
    </w:p>
    <w:p w14:paraId="482C6DEA">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C.清理化粪池工作应安排在非工作日的白天进行；</w:t>
      </w:r>
    </w:p>
    <w:p w14:paraId="44898A4B">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D.化粪池开盖后要有专人看护并设置警示牌，清理完毕后要马上盖好；</w:t>
      </w:r>
    </w:p>
    <w:p w14:paraId="5E4B9112">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E.在进行清理工作前，必须把化粪池内的沼气排放干净并确认后方可进行清理，场地周围严禁烟火，以防爆燃。</w:t>
      </w:r>
    </w:p>
    <w:p w14:paraId="0247171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rPr>
        <w:t>1</w:t>
      </w:r>
      <w:r>
        <w:rPr>
          <w:rFonts w:hint="eastAsia" w:ascii="华文仿宋" w:hAnsi="华文仿宋" w:eastAsia="华文仿宋" w:cs="华文仿宋"/>
          <w:b/>
          <w:bCs/>
          <w:color w:val="auto"/>
          <w:spacing w:val="0"/>
          <w:w w:val="100"/>
          <w:sz w:val="28"/>
          <w:szCs w:val="28"/>
          <w:lang w:val="en-US" w:eastAsia="zh-CN"/>
        </w:rPr>
        <w:t>3.</w:t>
      </w:r>
      <w:r>
        <w:rPr>
          <w:rFonts w:hint="eastAsia" w:ascii="华文仿宋" w:hAnsi="华文仿宋" w:eastAsia="华文仿宋" w:cs="华文仿宋"/>
          <w:b/>
          <w:bCs/>
          <w:color w:val="auto"/>
          <w:spacing w:val="0"/>
          <w:w w:val="100"/>
          <w:sz w:val="28"/>
          <w:szCs w:val="28"/>
        </w:rPr>
        <w:t>电梯系统</w:t>
      </w:r>
    </w:p>
    <w:p w14:paraId="6BEBAA25">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000000"/>
          <w:spacing w:val="0"/>
          <w:w w:val="100"/>
          <w:sz w:val="28"/>
          <w:szCs w:val="28"/>
          <w:highlight w:val="none"/>
        </w:rPr>
      </w:pPr>
      <w:r>
        <w:rPr>
          <w:rFonts w:hint="eastAsia" w:ascii="华文仿宋" w:hAnsi="华文仿宋" w:eastAsia="华文仿宋" w:cs="华文仿宋"/>
          <w:color w:val="000000"/>
          <w:spacing w:val="0"/>
          <w:w w:val="100"/>
          <w:sz w:val="28"/>
          <w:szCs w:val="28"/>
          <w:highlight w:val="none"/>
        </w:rPr>
        <w:t>（1）服务内容：电梯运行管理和对机房设备、井道系统、轿厢设备进行日常养护（含电梯运行费、年检费、维保费、</w:t>
      </w:r>
      <w:r>
        <w:rPr>
          <w:rFonts w:hint="eastAsia" w:ascii="华文仿宋" w:hAnsi="华文仿宋" w:eastAsia="华文仿宋" w:cs="华文仿宋"/>
          <w:color w:val="auto"/>
          <w:sz w:val="28"/>
          <w:szCs w:val="28"/>
          <w:highlight w:val="none"/>
          <w:lang w:eastAsia="zh-CN"/>
        </w:rPr>
        <w:t>常规配件的</w:t>
      </w:r>
      <w:r>
        <w:rPr>
          <w:rFonts w:hint="eastAsia" w:ascii="华文仿宋" w:hAnsi="华文仿宋" w:eastAsia="华文仿宋" w:cs="华文仿宋"/>
          <w:color w:val="auto"/>
          <w:sz w:val="28"/>
          <w:szCs w:val="28"/>
          <w:highlight w:val="none"/>
        </w:rPr>
        <w:t>维修</w:t>
      </w:r>
      <w:r>
        <w:rPr>
          <w:rFonts w:hint="eastAsia" w:ascii="华文仿宋" w:hAnsi="华文仿宋" w:eastAsia="华文仿宋" w:cs="华文仿宋"/>
          <w:color w:val="auto"/>
          <w:sz w:val="28"/>
          <w:szCs w:val="28"/>
          <w:highlight w:val="none"/>
          <w:lang w:eastAsia="zh-CN"/>
        </w:rPr>
        <w:t>更换</w:t>
      </w:r>
      <w:r>
        <w:rPr>
          <w:rFonts w:hint="eastAsia" w:ascii="华文仿宋" w:hAnsi="华文仿宋" w:eastAsia="华文仿宋" w:cs="华文仿宋"/>
          <w:color w:val="auto"/>
          <w:sz w:val="28"/>
          <w:szCs w:val="28"/>
          <w:highlight w:val="none"/>
        </w:rPr>
        <w:t>费</w:t>
      </w:r>
      <w:r>
        <w:rPr>
          <w:rFonts w:hint="eastAsia" w:ascii="华文仿宋" w:hAnsi="华文仿宋" w:eastAsia="华文仿宋" w:cs="华文仿宋"/>
          <w:color w:val="auto"/>
          <w:sz w:val="28"/>
          <w:szCs w:val="28"/>
          <w:highlight w:val="none"/>
          <w:lang w:eastAsia="zh-CN"/>
        </w:rPr>
        <w:t>用</w:t>
      </w:r>
      <w:r>
        <w:rPr>
          <w:rFonts w:hint="eastAsia" w:ascii="华文仿宋" w:hAnsi="华文仿宋" w:eastAsia="华文仿宋" w:cs="华文仿宋"/>
          <w:color w:val="auto"/>
          <w:sz w:val="28"/>
          <w:szCs w:val="28"/>
          <w:highlight w:val="none"/>
        </w:rPr>
        <w:t>等</w:t>
      </w:r>
      <w:r>
        <w:rPr>
          <w:rFonts w:hint="eastAsia" w:ascii="华文仿宋" w:hAnsi="华文仿宋" w:eastAsia="华文仿宋" w:cs="华文仿宋"/>
          <w:color w:val="000000"/>
          <w:spacing w:val="0"/>
          <w:w w:val="100"/>
          <w:sz w:val="28"/>
          <w:szCs w:val="28"/>
          <w:highlight w:val="none"/>
        </w:rPr>
        <w:t>等）。</w:t>
      </w:r>
    </w:p>
    <w:p w14:paraId="22564FC9">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2）服务标准：要有科学完备的操作规程，建立电梯运行管理、设备管理、安全管理制度，确保电梯按规定时间运行；安全设备齐全有效，通风、照明及其它附属设施完好；严格执行国家有关电梯管理规定和安全规程，电梯准用证、年检合格证、维修保养合同完备，定期进行维修保养；轿厢、井道保持清洁；建立突发事件应急预案，因故障停梯，接到报修后维修人员应在20分钟内到达现场抢修，及时排除故障。</w:t>
      </w:r>
    </w:p>
    <w:p w14:paraId="4395761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①电梯操作、保养和维修的基本内容</w:t>
      </w:r>
    </w:p>
    <w:p w14:paraId="03F58BB2">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A.根据各种类型的电梯图纸资料及技术性能指标，制定电梯安全维护保养规章制度；</w:t>
      </w:r>
    </w:p>
    <w:p w14:paraId="198C03CF">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B.对电梯运行人员和维修人员进行业务培训，坚持主管部门的资质审查、持证上岗制度；</w:t>
      </w:r>
    </w:p>
    <w:p w14:paraId="6A7F96C4">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C.重视和落实电梯的保修和安全年检工作；</w:t>
      </w:r>
    </w:p>
    <w:p w14:paraId="6B21550F">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D.除电梯的保养维护外，电梯的故障修理必须由经劳动部门审查认可的单位和人员承担；</w:t>
      </w:r>
    </w:p>
    <w:p w14:paraId="5184DAE0">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E.必须坚持定期检查维护保养工作计划，健全电梯设备档案及修理记录；</w:t>
      </w:r>
    </w:p>
    <w:p w14:paraId="2D57C6A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F.电梯钥匙要有专人管理，停梯须出告示；</w:t>
      </w:r>
    </w:p>
    <w:p w14:paraId="406DCBEE">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G.电梯运行管理中发生任何故障时，要先救护乘客出梯；</w:t>
      </w:r>
    </w:p>
    <w:p w14:paraId="3EACFD36">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H.做好电梯的</w:t>
      </w:r>
      <w:r>
        <w:rPr>
          <w:rFonts w:hint="eastAsia" w:ascii="华文仿宋" w:hAnsi="华文仿宋" w:eastAsia="华文仿宋" w:cs="华文仿宋"/>
          <w:color w:val="auto"/>
          <w:spacing w:val="0"/>
          <w:w w:val="100"/>
          <w:sz w:val="28"/>
          <w:szCs w:val="28"/>
          <w:lang w:eastAsia="zh-CN"/>
        </w:rPr>
        <w:t>耗</w:t>
      </w:r>
      <w:r>
        <w:rPr>
          <w:rFonts w:hint="eastAsia" w:ascii="华文仿宋" w:hAnsi="华文仿宋" w:eastAsia="华文仿宋" w:cs="华文仿宋"/>
          <w:color w:val="auto"/>
          <w:spacing w:val="0"/>
          <w:w w:val="100"/>
          <w:sz w:val="28"/>
          <w:szCs w:val="28"/>
        </w:rPr>
        <w:t>电计量工作；</w:t>
      </w:r>
    </w:p>
    <w:p w14:paraId="0C6D67D5">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I.保持电梯机房、</w:t>
      </w:r>
      <w:r>
        <w:rPr>
          <w:rFonts w:hint="eastAsia" w:ascii="华文仿宋" w:hAnsi="华文仿宋" w:eastAsia="华文仿宋" w:cs="华文仿宋"/>
          <w:color w:val="auto"/>
          <w:spacing w:val="0"/>
          <w:w w:val="100"/>
          <w:sz w:val="28"/>
          <w:szCs w:val="28"/>
          <w:lang w:eastAsia="zh-CN"/>
        </w:rPr>
        <w:t>井</w:t>
      </w:r>
      <w:r>
        <w:rPr>
          <w:rFonts w:hint="eastAsia" w:ascii="华文仿宋" w:hAnsi="华文仿宋" w:eastAsia="华文仿宋" w:cs="华文仿宋"/>
          <w:color w:val="auto"/>
          <w:spacing w:val="0"/>
          <w:w w:val="100"/>
          <w:sz w:val="28"/>
          <w:szCs w:val="28"/>
        </w:rPr>
        <w:t>道、轿厢的清洁及空气流通；</w:t>
      </w:r>
    </w:p>
    <w:p w14:paraId="6E3C3AE7">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J.定人定时对轨道、门导轨进行清洁，加油润滑等。</w:t>
      </w:r>
    </w:p>
    <w:p w14:paraId="3E4134C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②电梯操作、保养和维修的基本制度</w:t>
      </w:r>
    </w:p>
    <w:p w14:paraId="1C2A14C6">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A.严格执行电梯设备的安全操作规程和巡回检查制度；</w:t>
      </w:r>
    </w:p>
    <w:p w14:paraId="43B68512">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B.坚守工作岗位，值班时间不得做与本岗位无关的事；</w:t>
      </w:r>
    </w:p>
    <w:p w14:paraId="5CB1501E">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C.密切监视和掌握各机的运行动态，遇重大活动，及时做好需变动的电梯运行方式的调度、管理工作，必要时可设置专梯以适应客流量的需要；</w:t>
      </w:r>
    </w:p>
    <w:p w14:paraId="2767E6C5">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D.值班人员违反制度或失职造成设备损坏，将追究其责任；</w:t>
      </w:r>
    </w:p>
    <w:p w14:paraId="59D91F63">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E.按时完成设备的定期保养、维修和安全年检工作；</w:t>
      </w:r>
    </w:p>
    <w:p w14:paraId="52129DF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F.认真学习专业知识，熟悉设备结构及性能，做到故障判断准确，处理迅速及时；</w:t>
      </w:r>
    </w:p>
    <w:p w14:paraId="24A8C40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G.维保单位需持有电梯维修、保养资质，按照国家标准规范进行日常维修保养。</w:t>
      </w:r>
    </w:p>
    <w:p w14:paraId="77801CDB">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H.合理使用电梯，载人电梯24小时运行，上下班高峰期多人合乘电梯，倡导三层及以下尽量步行上下楼；</w:t>
      </w:r>
    </w:p>
    <w:p w14:paraId="036B2D8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I.严格执行电梯设备的安全操作规程和巡回检查制度，根据各种类型的电梯图纸资料及技术性能指标，制定电梯安全维护保养规章制度和应急处置预案。</w:t>
      </w:r>
    </w:p>
    <w:p w14:paraId="7EAEF091">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J.对电梯运行人员和维修人员进行业务培训，</w:t>
      </w:r>
      <w:r>
        <w:rPr>
          <w:rFonts w:hint="eastAsia" w:ascii="华文仿宋" w:hAnsi="华文仿宋" w:eastAsia="华文仿宋" w:cs="华文仿宋"/>
          <w:color w:val="auto"/>
          <w:spacing w:val="0"/>
          <w:w w:val="100"/>
          <w:sz w:val="28"/>
          <w:szCs w:val="28"/>
          <w:lang w:eastAsia="zh-CN"/>
        </w:rPr>
        <w:t>接受</w:t>
      </w:r>
      <w:r>
        <w:rPr>
          <w:rFonts w:hint="eastAsia" w:ascii="华文仿宋" w:hAnsi="华文仿宋" w:eastAsia="华文仿宋" w:cs="华文仿宋"/>
          <w:color w:val="auto"/>
          <w:spacing w:val="0"/>
          <w:w w:val="100"/>
          <w:sz w:val="28"/>
          <w:szCs w:val="28"/>
        </w:rPr>
        <w:t>主管部门的资质审查、持证上岗制度；</w:t>
      </w:r>
    </w:p>
    <w:p w14:paraId="040A86C7">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K.除电梯的保养维护外，电梯的故障修理结果必须由相关行政管理部门审查认可。</w:t>
      </w:r>
    </w:p>
    <w:p w14:paraId="683BFC88">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L.必须坚持定期检查维护保养工作计划，健全电梯设备档案及修理记录；</w:t>
      </w:r>
    </w:p>
    <w:p w14:paraId="15A5C66B">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M.值班人员违反制度或失职造成设备损坏，将追究其责任；</w:t>
      </w:r>
    </w:p>
    <w:p w14:paraId="732A1303">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N.停电时要确保轿厢内无人。因故障停梯，接到报修后维修人员应在20分钟内到达现场抢修，及时排除故障；</w:t>
      </w:r>
    </w:p>
    <w:p w14:paraId="40376300">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O.认真学习专业知识，熟悉设备结构及性能，做到故障判断准确，处理迅速及时。</w:t>
      </w:r>
    </w:p>
    <w:p w14:paraId="40358603">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13.中央空调设备的保养维修计划</w:t>
      </w:r>
    </w:p>
    <w:p w14:paraId="1425AAC5">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color w:val="auto"/>
          <w:spacing w:val="0"/>
          <w:w w:val="100"/>
          <w:sz w:val="28"/>
          <w:szCs w:val="28"/>
        </w:rPr>
      </w:pPr>
      <w:r>
        <w:rPr>
          <w:rFonts w:hint="eastAsia" w:ascii="华文仿宋" w:hAnsi="华文仿宋" w:eastAsia="华文仿宋" w:cs="华文仿宋"/>
          <w:color w:val="auto"/>
          <w:spacing w:val="0"/>
          <w:w w:val="100"/>
          <w:sz w:val="28"/>
          <w:szCs w:val="28"/>
        </w:rPr>
        <w:t>由于大容量高压（10KV）制冷机组的应用，对空调运行人员的高压电力运行安全提出较高的要求，而普通空调运行人员不具备高压运行的资格，故需高压电力运行人员对高压设备进行巡查点检维护及故障排除，从而保障高压空调设备的安全运行。</w:t>
      </w:r>
    </w:p>
    <w:p w14:paraId="617D9792">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仿宋" w:hAnsi="仿宋" w:eastAsia="仿宋" w:cs="仿宋"/>
          <w:color w:val="auto"/>
          <w:spacing w:val="0"/>
          <w:w w:val="100"/>
          <w:sz w:val="28"/>
          <w:szCs w:val="28"/>
          <w:lang w:val="en-US" w:eastAsia="zh-CN"/>
        </w:rPr>
      </w:pPr>
      <w:r>
        <w:rPr>
          <w:rFonts w:hint="eastAsia" w:ascii="华文仿宋" w:hAnsi="华文仿宋" w:eastAsia="华文仿宋" w:cs="华文仿宋"/>
          <w:color w:val="auto"/>
          <w:spacing w:val="0"/>
          <w:w w:val="100"/>
          <w:sz w:val="28"/>
          <w:szCs w:val="28"/>
        </w:rPr>
        <w:t>主机房安排运行人员负责冷冻机组、循环泵、冷却塔等设备的开关机运行；重点巡查设备层空调设备，借助BA系统监控楼内各层的空调新风机及末端设备的运行情况，及时调节影响空调效果的各项运行指标（如水流量、风量）</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负责空调设备的小修工作</w:t>
      </w: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rPr>
        <w:t>保障空调循环泵、板式换热器、空调末端设备（风机盘管、VAV 风机、新风机、空调风箱及通风机）正常运行，做到及时巡查、及时发现、及时维修。</w:t>
      </w:r>
    </w:p>
    <w:p w14:paraId="1679ECEB">
      <w:pPr>
        <w:pStyle w:val="12"/>
        <w:ind w:firstLine="283" w:firstLineChars="100"/>
        <w:rPr>
          <w:rFonts w:hint="eastAsia"/>
          <w:lang w:val="en-US" w:eastAsia="zh-CN"/>
        </w:rPr>
      </w:pPr>
    </w:p>
    <w:p w14:paraId="587AA2CD">
      <w:pPr>
        <w:pStyle w:val="12"/>
        <w:rPr>
          <w:rFonts w:hint="eastAsia"/>
          <w:lang w:val="en-US" w:eastAsia="zh-CN"/>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29"/>
          <w:rFonts w:ascii="黑体" w:hAnsi="黑体" w:eastAsia="黑体" w:cs="黑体"/>
          <w:b w:val="0"/>
          <w:bCs/>
          <w:color w:val="000000"/>
          <w:sz w:val="32"/>
          <w:szCs w:val="32"/>
        </w:rPr>
      </w:pPr>
      <w:r>
        <w:rPr>
          <w:rStyle w:val="29"/>
          <w:rFonts w:hint="eastAsia" w:ascii="黑体" w:hAnsi="黑体" w:eastAsia="黑体" w:cs="黑体"/>
          <w:b w:val="0"/>
          <w:bCs/>
          <w:color w:val="000000"/>
          <w:sz w:val="32"/>
          <w:szCs w:val="32"/>
        </w:rPr>
        <w:t>第四章  合同草案条款</w:t>
      </w:r>
    </w:p>
    <w:p w14:paraId="26F72C4C">
      <w:pPr>
        <w:keepNext w:val="0"/>
        <w:keepLines w:val="0"/>
        <w:pageBreakBefore w:val="0"/>
        <w:widowControl/>
        <w:kinsoku/>
        <w:wordWrap w:val="0"/>
        <w:overflowPunct/>
        <w:topLinePunct/>
        <w:autoSpaceDE/>
        <w:autoSpaceDN/>
        <w:bidi w:val="0"/>
        <w:adjustRightInd w:val="0"/>
        <w:snapToGrid w:val="0"/>
        <w:spacing w:line="500" w:lineRule="exact"/>
        <w:ind w:left="0" w:firstLine="566" w:firstLineChars="200"/>
        <w:jc w:val="both"/>
        <w:textAlignment w:val="auto"/>
        <w:rPr>
          <w:rFonts w:hint="eastAsia" w:ascii="华文仿宋" w:hAnsi="华文仿宋" w:eastAsia="华文仿宋" w:cs="华文仿宋"/>
          <w:b/>
          <w:bCs/>
          <w:color w:val="auto"/>
          <w:spacing w:val="0"/>
          <w:w w:val="100"/>
          <w:sz w:val="28"/>
          <w:szCs w:val="28"/>
        </w:rPr>
      </w:pPr>
      <w:r>
        <w:rPr>
          <w:rFonts w:hint="eastAsia" w:ascii="华文仿宋" w:hAnsi="华文仿宋" w:eastAsia="华文仿宋" w:cs="华文仿宋"/>
          <w:b/>
          <w:bCs/>
          <w:color w:val="auto"/>
          <w:spacing w:val="0"/>
          <w:w w:val="100"/>
          <w:sz w:val="28"/>
          <w:szCs w:val="28"/>
          <w:lang w:val="en-US" w:eastAsia="zh-CN"/>
        </w:rPr>
        <w:t>一、</w:t>
      </w:r>
      <w:r>
        <w:rPr>
          <w:rFonts w:hint="eastAsia" w:ascii="华文仿宋" w:hAnsi="华文仿宋" w:eastAsia="华文仿宋" w:cs="华文仿宋"/>
          <w:b/>
          <w:bCs/>
          <w:color w:val="auto"/>
          <w:spacing w:val="0"/>
          <w:w w:val="100"/>
          <w:sz w:val="28"/>
          <w:szCs w:val="28"/>
        </w:rPr>
        <w:t>商务基本要求</w:t>
      </w:r>
    </w:p>
    <w:p w14:paraId="6D91E9EC">
      <w:pPr>
        <w:keepNext w:val="0"/>
        <w:keepLines w:val="0"/>
        <w:pageBreakBefore w:val="0"/>
        <w:widowControl/>
        <w:kinsoku/>
        <w:wordWrap w:val="0"/>
        <w:overflowPunct/>
        <w:topLinePunct/>
        <w:autoSpaceDE/>
        <w:autoSpaceDN/>
        <w:bidi w:val="0"/>
        <w:adjustRightInd w:val="0"/>
        <w:snapToGrid w:val="0"/>
        <w:spacing w:line="500" w:lineRule="exact"/>
        <w:ind w:firstLine="566" w:firstLineChars="200"/>
        <w:jc w:val="both"/>
        <w:textAlignment w:val="auto"/>
        <w:rPr>
          <w:rFonts w:hint="eastAsia" w:ascii="华文仿宋" w:hAnsi="华文仿宋" w:eastAsia="华文仿宋" w:cs="华文仿宋"/>
          <w:color w:val="auto"/>
          <w:spacing w:val="0"/>
          <w:w w:val="100"/>
          <w:sz w:val="28"/>
          <w:szCs w:val="28"/>
          <w:highlight w:val="cyan"/>
          <w:lang w:eastAsia="zh-CN"/>
        </w:rPr>
      </w:pPr>
      <w:r>
        <w:rPr>
          <w:rFonts w:hint="eastAsia" w:ascii="华文仿宋" w:hAnsi="华文仿宋" w:eastAsia="华文仿宋" w:cs="华文仿宋"/>
          <w:color w:val="auto"/>
          <w:spacing w:val="0"/>
          <w:w w:val="100"/>
          <w:sz w:val="28"/>
          <w:szCs w:val="28"/>
          <w:lang w:eastAsia="zh-CN"/>
        </w:rPr>
        <w:t>（</w:t>
      </w:r>
      <w:r>
        <w:rPr>
          <w:rFonts w:hint="eastAsia" w:ascii="华文仿宋" w:hAnsi="华文仿宋" w:eastAsia="华文仿宋" w:cs="华文仿宋"/>
          <w:color w:val="auto"/>
          <w:spacing w:val="0"/>
          <w:w w:val="100"/>
          <w:sz w:val="28"/>
          <w:szCs w:val="28"/>
          <w:lang w:val="en-US" w:eastAsia="zh-CN"/>
        </w:rPr>
        <w:t>1</w:t>
      </w:r>
      <w:r>
        <w:rPr>
          <w:rFonts w:hint="eastAsia" w:ascii="华文仿宋" w:hAnsi="华文仿宋" w:eastAsia="华文仿宋" w:cs="华文仿宋"/>
          <w:color w:val="auto"/>
          <w:spacing w:val="0"/>
          <w:w w:val="100"/>
          <w:sz w:val="28"/>
          <w:szCs w:val="28"/>
          <w:lang w:eastAsia="zh-CN"/>
        </w:rPr>
        <w:t>）服务期限</w:t>
      </w:r>
      <w:r>
        <w:rPr>
          <w:rFonts w:hint="eastAsia" w:ascii="华文仿宋" w:hAnsi="华文仿宋" w:eastAsia="华文仿宋" w:cs="华文仿宋"/>
          <w:color w:val="auto"/>
          <w:spacing w:val="0"/>
          <w:w w:val="100"/>
          <w:sz w:val="28"/>
          <w:szCs w:val="28"/>
        </w:rPr>
        <w:t>：</w:t>
      </w:r>
      <w:r>
        <w:rPr>
          <w:rFonts w:hint="eastAsia" w:ascii="华文仿宋" w:hAnsi="华文仿宋" w:cs="华文仿宋"/>
          <w:color w:val="auto"/>
          <w:spacing w:val="0"/>
          <w:w w:val="100"/>
          <w:sz w:val="28"/>
          <w:szCs w:val="28"/>
          <w:lang w:val="en-US" w:eastAsia="zh-CN"/>
        </w:rPr>
        <w:t>自合同签订之日起</w:t>
      </w:r>
      <w:r>
        <w:rPr>
          <w:rFonts w:hint="eastAsia" w:ascii="华文仿宋" w:hAnsi="华文仿宋" w:eastAsia="华文仿宋" w:cs="华文仿宋"/>
          <w:color w:val="auto"/>
          <w:spacing w:val="0"/>
          <w:w w:val="100"/>
          <w:sz w:val="28"/>
          <w:szCs w:val="28"/>
          <w:highlight w:val="none"/>
          <w:lang w:val="en-US" w:eastAsia="zh-CN"/>
        </w:rPr>
        <w:t>1</w:t>
      </w:r>
      <w:r>
        <w:rPr>
          <w:rFonts w:hint="eastAsia" w:ascii="华文仿宋" w:hAnsi="华文仿宋" w:eastAsia="华文仿宋" w:cs="华文仿宋"/>
          <w:color w:val="auto"/>
          <w:spacing w:val="0"/>
          <w:w w:val="100"/>
          <w:sz w:val="28"/>
          <w:szCs w:val="28"/>
          <w:highlight w:val="none"/>
        </w:rPr>
        <w:t>年</w:t>
      </w:r>
      <w:r>
        <w:rPr>
          <w:rFonts w:hint="eastAsia" w:ascii="华文仿宋" w:hAnsi="华文仿宋" w:cs="华文仿宋"/>
          <w:color w:val="auto"/>
          <w:spacing w:val="0"/>
          <w:w w:val="100"/>
          <w:sz w:val="28"/>
          <w:szCs w:val="28"/>
          <w:highlight w:val="none"/>
          <w:lang w:eastAsia="zh-CN"/>
        </w:rPr>
        <w:t>。</w:t>
      </w:r>
    </w:p>
    <w:p w14:paraId="4456B4B8">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2</w:t>
      </w:r>
      <w:r>
        <w:rPr>
          <w:rFonts w:hint="eastAsia" w:ascii="华文仿宋" w:hAnsi="华文仿宋" w:eastAsia="华文仿宋" w:cs="华文仿宋"/>
          <w:color w:val="auto"/>
          <w:sz w:val="28"/>
          <w:szCs w:val="28"/>
          <w:lang w:eastAsia="zh-CN"/>
        </w:rPr>
        <w:t>）服务</w:t>
      </w:r>
      <w:r>
        <w:rPr>
          <w:rFonts w:hint="eastAsia" w:ascii="华文仿宋" w:hAnsi="华文仿宋" w:eastAsia="华文仿宋" w:cs="华文仿宋"/>
          <w:color w:val="auto"/>
          <w:sz w:val="28"/>
          <w:szCs w:val="28"/>
        </w:rPr>
        <w:t>地点</w:t>
      </w:r>
      <w:r>
        <w:rPr>
          <w:rFonts w:hint="eastAsia" w:ascii="华文仿宋" w:hAnsi="华文仿宋" w:eastAsia="华文仿宋" w:cs="华文仿宋"/>
          <w:color w:val="auto"/>
          <w:sz w:val="28"/>
          <w:szCs w:val="28"/>
          <w:lang w:val="en-US" w:eastAsia="zh-CN"/>
        </w:rPr>
        <w:t>:</w:t>
      </w:r>
      <w:r>
        <w:rPr>
          <w:rFonts w:hint="eastAsia" w:ascii="华文仿宋" w:hAnsi="华文仿宋" w:cs="华文仿宋"/>
          <w:color w:val="auto"/>
          <w:sz w:val="28"/>
          <w:szCs w:val="28"/>
          <w:lang w:val="en-US" w:eastAsia="zh-CN"/>
        </w:rPr>
        <w:t>采购人指定地点</w:t>
      </w:r>
      <w:r>
        <w:rPr>
          <w:rFonts w:hint="eastAsia" w:ascii="华文仿宋" w:hAnsi="华文仿宋" w:cs="华文仿宋"/>
          <w:color w:val="auto"/>
          <w:sz w:val="28"/>
          <w:szCs w:val="28"/>
          <w:lang w:eastAsia="zh-CN"/>
        </w:rPr>
        <w:t>。</w:t>
      </w:r>
    </w:p>
    <w:p w14:paraId="5862C73D">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（3）服务要求：每年至少二次征询采购人对物业服务的意见建议，物业服务满意率达到90%以上。</w:t>
      </w:r>
    </w:p>
    <w:p w14:paraId="46871AE0">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（4）建立健全质量管理、财务管理、档案管理。有完善的管理服务标准，有落实措施和考核办法。</w:t>
      </w:r>
    </w:p>
    <w:p w14:paraId="7C04E22A">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（5）办公室及公共设施设备档案和车辆信息齐全，分类成册，管理井然有序。</w:t>
      </w:r>
    </w:p>
    <w:p w14:paraId="2C9427C6">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（6）物业管理服务从业人员统一着装，佩戴标识，行为规范，服务主动热情。</w:t>
      </w:r>
    </w:p>
    <w:p w14:paraId="33600731">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（7）物业从业专业人员按照国家要求规定，持证上岗。</w:t>
      </w:r>
    </w:p>
    <w:p w14:paraId="5407D8D1">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（8）成交人须与员工签订劳动合同，引起劳动关系问题由成交人负责。</w:t>
      </w:r>
    </w:p>
    <w:p w14:paraId="55C64D64">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 xml:space="preserve">（9）成交人提供服务时，服务要求应按不低于国家、省、市有关部门规定的质量标准执行。 </w:t>
      </w:r>
    </w:p>
    <w:p w14:paraId="596ED342">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（10）成交人承诺与拟投入人员均有劳动合同或聘用协议。</w:t>
      </w:r>
    </w:p>
    <w:p w14:paraId="5ABF08EE">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（11）成交人承诺须与所聘用员工购买社会保险。</w:t>
      </w:r>
    </w:p>
    <w:p w14:paraId="2F47986E">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（12）成交人承诺须与所聘用员工提供入职体检。</w:t>
      </w:r>
    </w:p>
    <w:p w14:paraId="5306D7C7">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（13）成交人承诺工作人员按招标文件落实。</w:t>
      </w:r>
    </w:p>
    <w:p w14:paraId="3EE7ACF0">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color w:val="auto"/>
          <w:sz w:val="28"/>
          <w:szCs w:val="28"/>
          <w:lang w:val="en-US" w:eastAsia="zh-CN"/>
        </w:rPr>
        <w:t>（14）本项目电子磋商文件，成交供应商的电子响应文件、《成交通知书》及评标资料、澄清、说明文件、承诺等，均为签订合同的依据，是合同的必要构件内容。</w:t>
      </w:r>
    </w:p>
    <w:p w14:paraId="30FF4125">
      <w:pPr>
        <w:pStyle w:val="13"/>
        <w:keepNext w:val="0"/>
        <w:keepLines w:val="0"/>
        <w:pageBreakBefore w:val="0"/>
        <w:kinsoku/>
        <w:overflowPunct/>
        <w:autoSpaceDE/>
        <w:autoSpaceDN/>
        <w:bidi w:val="0"/>
        <w:spacing w:line="500" w:lineRule="exact"/>
        <w:ind w:firstLine="566" w:firstLineChars="200"/>
        <w:jc w:val="both"/>
        <w:textAlignment w:val="auto"/>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spacing w:val="0"/>
          <w:w w:val="100"/>
          <w:kern w:val="2"/>
          <w:sz w:val="28"/>
          <w:szCs w:val="28"/>
          <w:lang w:val="en-US" w:eastAsia="zh-CN" w:bidi="ar-SA"/>
        </w:rPr>
        <w:t>二、</w:t>
      </w:r>
      <w:r>
        <w:rPr>
          <w:rFonts w:hint="eastAsia" w:ascii="华文仿宋" w:hAnsi="华文仿宋" w:eastAsia="华文仿宋" w:cs="华文仿宋"/>
          <w:b/>
          <w:bCs/>
          <w:color w:val="auto"/>
          <w:kern w:val="2"/>
          <w:sz w:val="28"/>
          <w:szCs w:val="28"/>
          <w:lang w:val="en-US" w:eastAsia="zh-CN" w:bidi="ar-SA"/>
        </w:rPr>
        <w:t>人员配置</w:t>
      </w:r>
    </w:p>
    <w:p w14:paraId="24B394F6">
      <w:pPr>
        <w:pStyle w:val="13"/>
        <w:keepNext w:val="0"/>
        <w:keepLines w:val="0"/>
        <w:pageBreakBefore w:val="0"/>
        <w:kinsoku/>
        <w:overflowPunct/>
        <w:autoSpaceDE/>
        <w:autoSpaceDN/>
        <w:bidi w:val="0"/>
        <w:spacing w:line="500" w:lineRule="exact"/>
        <w:ind w:firstLine="566" w:firstLineChars="200"/>
        <w:jc w:val="both"/>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eastAsia="华文仿宋" w:cs="华文仿宋"/>
          <w:b w:val="0"/>
          <w:bCs w:val="0"/>
          <w:color w:val="auto"/>
          <w:kern w:val="2"/>
          <w:sz w:val="28"/>
          <w:szCs w:val="28"/>
          <w:lang w:val="en-US" w:eastAsia="zh-CN" w:bidi="ar-SA"/>
        </w:rPr>
        <w:t>针对本项目实施情况，成交人需要提供详细完整的人员配置清单，内容至少应包含：成员姓名、岗位、职务、职责、联系方式。</w:t>
      </w:r>
    </w:p>
    <w:p w14:paraId="4AF38F6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bCs/>
          <w:color w:val="000000"/>
          <w:sz w:val="28"/>
          <w:szCs w:val="28"/>
          <w:lang w:val="en-US" w:eastAsia="zh-CN"/>
        </w:rPr>
        <w:t>三、</w:t>
      </w:r>
      <w:r>
        <w:rPr>
          <w:rFonts w:hint="eastAsia" w:ascii="华文仿宋" w:hAnsi="华文仿宋" w:eastAsia="华文仿宋" w:cs="华文仿宋"/>
          <w:b/>
          <w:bCs/>
          <w:color w:val="000000"/>
          <w:sz w:val="28"/>
          <w:szCs w:val="28"/>
        </w:rPr>
        <w:t>服务保证</w:t>
      </w:r>
    </w:p>
    <w:p w14:paraId="4233253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bCs/>
          <w:color w:val="000000"/>
          <w:sz w:val="28"/>
          <w:szCs w:val="28"/>
        </w:rPr>
      </w:pPr>
      <w:r>
        <w:rPr>
          <w:rFonts w:hint="eastAsia" w:ascii="华文仿宋" w:hAnsi="华文仿宋" w:eastAsia="华文仿宋" w:cs="华文仿宋"/>
          <w:b w:val="0"/>
          <w:bCs w:val="0"/>
          <w:color w:val="000000"/>
          <w:sz w:val="28"/>
          <w:szCs w:val="28"/>
          <w:lang w:eastAsia="zh-CN"/>
        </w:rPr>
        <w:t>（</w:t>
      </w:r>
      <w:r>
        <w:rPr>
          <w:rFonts w:hint="eastAsia" w:ascii="华文仿宋" w:hAnsi="华文仿宋" w:eastAsia="华文仿宋" w:cs="华文仿宋"/>
          <w:b w:val="0"/>
          <w:bCs w:val="0"/>
          <w:color w:val="000000"/>
          <w:sz w:val="28"/>
          <w:szCs w:val="28"/>
          <w:lang w:val="en-US" w:eastAsia="zh-CN"/>
        </w:rPr>
        <w:t>1</w:t>
      </w:r>
      <w:r>
        <w:rPr>
          <w:rFonts w:hint="eastAsia" w:ascii="华文仿宋" w:hAnsi="华文仿宋" w:eastAsia="华文仿宋" w:cs="华文仿宋"/>
          <w:b w:val="0"/>
          <w:bCs w:val="0"/>
          <w:color w:val="000000"/>
          <w:sz w:val="28"/>
          <w:szCs w:val="28"/>
          <w:lang w:eastAsia="zh-CN"/>
        </w:rPr>
        <w:t>）</w:t>
      </w:r>
      <w:r>
        <w:rPr>
          <w:rFonts w:hint="eastAsia" w:ascii="华文仿宋" w:hAnsi="华文仿宋" w:eastAsia="华文仿宋" w:cs="华文仿宋"/>
          <w:b/>
          <w:bCs/>
          <w:color w:val="000000"/>
          <w:sz w:val="28"/>
          <w:szCs w:val="28"/>
        </w:rPr>
        <w:t>人员雇佣及工资标准</w:t>
      </w:r>
    </w:p>
    <w:p w14:paraId="50AA7B7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①成交</w:t>
      </w:r>
      <w:r>
        <w:rPr>
          <w:rFonts w:hint="eastAsia" w:ascii="华文仿宋" w:hAnsi="华文仿宋" w:eastAsia="华文仿宋" w:cs="华文仿宋"/>
          <w:b w:val="0"/>
          <w:bCs w:val="0"/>
          <w:color w:val="000000"/>
          <w:sz w:val="28"/>
          <w:szCs w:val="28"/>
        </w:rPr>
        <w:t>人须保障所有人员待遇不得低于采购人所在地最低工资标准和社保最低缴纳额。</w:t>
      </w:r>
    </w:p>
    <w:p w14:paraId="52FC5C4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②成交</w:t>
      </w:r>
      <w:r>
        <w:rPr>
          <w:rFonts w:hint="eastAsia" w:ascii="华文仿宋" w:hAnsi="华文仿宋" w:eastAsia="华文仿宋" w:cs="华文仿宋"/>
          <w:b w:val="0"/>
          <w:bCs w:val="0"/>
          <w:color w:val="000000"/>
          <w:sz w:val="28"/>
          <w:szCs w:val="28"/>
        </w:rPr>
        <w:t xml:space="preserve">人须与员工签订劳动合同，引起劳动关系问题由中标人负责。 </w:t>
      </w:r>
    </w:p>
    <w:p w14:paraId="1006891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eastAsia="zh-CN"/>
        </w:rPr>
        <w:t>（</w:t>
      </w:r>
      <w:r>
        <w:rPr>
          <w:rFonts w:hint="eastAsia" w:ascii="华文仿宋" w:hAnsi="华文仿宋" w:eastAsia="华文仿宋" w:cs="华文仿宋"/>
          <w:b w:val="0"/>
          <w:bCs w:val="0"/>
          <w:color w:val="000000"/>
          <w:sz w:val="28"/>
          <w:szCs w:val="28"/>
          <w:lang w:val="en-US" w:eastAsia="zh-CN"/>
        </w:rPr>
        <w:t>2</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人提供服务时，服务要求应按不低于国家、省、市有关部门规定的质量标准执行。</w:t>
      </w:r>
    </w:p>
    <w:p w14:paraId="3E0A07F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①</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人承诺与拟投入人员均有劳动合同或聘用协议。</w:t>
      </w:r>
    </w:p>
    <w:p w14:paraId="7656B25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②</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人承诺工作人员按招标文件落实，具体人员要求与采购人协商确定。</w:t>
      </w:r>
    </w:p>
    <w:p w14:paraId="68088372">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0" w:firstLineChars="0"/>
        <w:textAlignment w:val="auto"/>
        <w:rPr>
          <w:rFonts w:hint="eastAsia" w:ascii="华文仿宋" w:hAnsi="华文仿宋" w:eastAsia="华文仿宋" w:cs="华文仿宋"/>
          <w:b/>
          <w:bCs/>
          <w:color w:val="000000"/>
          <w:sz w:val="28"/>
          <w:szCs w:val="28"/>
        </w:rPr>
      </w:pPr>
      <w:r>
        <w:rPr>
          <w:rFonts w:hint="eastAsia" w:ascii="华文仿宋" w:hAnsi="华文仿宋" w:eastAsia="华文仿宋" w:cs="华文仿宋"/>
          <w:b/>
          <w:bCs/>
          <w:color w:val="000000"/>
          <w:sz w:val="28"/>
          <w:szCs w:val="28"/>
        </w:rPr>
        <w:t>服务承诺</w:t>
      </w:r>
    </w:p>
    <w:p w14:paraId="7CF69FED">
      <w:pPr>
        <w:keepNext w:val="0"/>
        <w:keepLines w:val="0"/>
        <w:pageBreakBefore w:val="0"/>
        <w:widowControl/>
        <w:numPr>
          <w:ilvl w:val="0"/>
          <w:numId w:val="0"/>
        </w:numPr>
        <w:kinsoku w:val="0"/>
        <w:wordWrap/>
        <w:overflowPunct/>
        <w:topLinePunct w:val="0"/>
        <w:autoSpaceDE/>
        <w:autoSpaceDN/>
        <w:bidi w:val="0"/>
        <w:adjustRightInd/>
        <w:snapToGrid/>
        <w:spacing w:line="500" w:lineRule="exact"/>
        <w:ind w:right="0" w:rightChars="0" w:firstLine="566" w:firstLineChars="200"/>
        <w:textAlignment w:val="auto"/>
        <w:rPr>
          <w:rFonts w:hint="eastAsia" w:ascii="华文仿宋" w:hAnsi="华文仿宋" w:eastAsia="华文仿宋" w:cs="华文仿宋"/>
          <w:color w:val="auto"/>
          <w:spacing w:val="0"/>
          <w:w w:val="100"/>
          <w:sz w:val="28"/>
          <w:szCs w:val="28"/>
          <w:highlight w:val="none"/>
        </w:rPr>
      </w:pPr>
      <w:r>
        <w:rPr>
          <w:rFonts w:hint="eastAsia" w:ascii="华文仿宋" w:hAnsi="华文仿宋" w:eastAsia="华文仿宋" w:cs="华文仿宋"/>
          <w:b w:val="0"/>
          <w:bCs w:val="0"/>
          <w:color w:val="000000"/>
          <w:sz w:val="28"/>
          <w:szCs w:val="28"/>
        </w:rPr>
        <w:t>以投标文件、澄清表（函）、合同和随服务的相关文件为准。</w:t>
      </w:r>
      <w:r>
        <w:rPr>
          <w:rFonts w:hint="eastAsia" w:ascii="华文仿宋" w:hAnsi="华文仿宋" w:eastAsia="华文仿宋" w:cs="华文仿宋"/>
          <w:b w:val="0"/>
          <w:bCs w:val="0"/>
          <w:color w:val="auto"/>
          <w:sz w:val="28"/>
          <w:szCs w:val="28"/>
          <w:lang w:val="en-US" w:eastAsia="zh-CN"/>
        </w:rPr>
        <w:t>另：</w:t>
      </w:r>
      <w:r>
        <w:rPr>
          <w:rFonts w:hint="eastAsia" w:ascii="华文仿宋" w:hAnsi="华文仿宋" w:eastAsia="华文仿宋" w:cs="华文仿宋"/>
          <w:color w:val="auto"/>
          <w:spacing w:val="0"/>
          <w:w w:val="100"/>
          <w:sz w:val="28"/>
          <w:szCs w:val="28"/>
          <w:highlight w:val="none"/>
          <w:lang w:val="en-US" w:eastAsia="zh-CN"/>
        </w:rPr>
        <w:t xml:space="preserve">本项目采购内容以物业服务为主，其中涉及保安服务的，须以承诺书形式提供以下资料（承诺书格式不限），以下两种形式提供其中任意一种均可： </w:t>
      </w:r>
    </w:p>
    <w:p w14:paraId="0B011EA1">
      <w:pPr>
        <w:keepNext w:val="0"/>
        <w:keepLines w:val="0"/>
        <w:pageBreakBefore w:val="0"/>
        <w:widowControl/>
        <w:numPr>
          <w:ilvl w:val="0"/>
          <w:numId w:val="0"/>
        </w:numPr>
        <w:kinsoku w:val="0"/>
        <w:wordWrap/>
        <w:overflowPunct/>
        <w:topLinePunct w:val="0"/>
        <w:autoSpaceDE/>
        <w:autoSpaceDN/>
        <w:bidi w:val="0"/>
        <w:adjustRightInd/>
        <w:snapToGrid/>
        <w:spacing w:line="500" w:lineRule="exact"/>
        <w:ind w:right="0" w:firstLine="566" w:firstLineChars="200"/>
        <w:textAlignment w:val="auto"/>
        <w:rPr>
          <w:rFonts w:hint="eastAsia" w:ascii="华文仿宋" w:hAnsi="华文仿宋" w:eastAsia="华文仿宋" w:cs="华文仿宋"/>
          <w:color w:val="auto"/>
          <w:spacing w:val="0"/>
          <w:w w:val="100"/>
          <w:sz w:val="28"/>
          <w:szCs w:val="28"/>
          <w:highlight w:val="none"/>
        </w:rPr>
      </w:pPr>
      <w:r>
        <w:rPr>
          <w:rFonts w:hint="eastAsia" w:ascii="华文仿宋" w:hAnsi="华文仿宋" w:eastAsia="华文仿宋" w:cs="华文仿宋"/>
          <w:color w:val="auto"/>
          <w:spacing w:val="0"/>
          <w:w w:val="100"/>
          <w:sz w:val="28"/>
          <w:szCs w:val="28"/>
          <w:highlight w:val="none"/>
          <w:lang w:val="en-US" w:eastAsia="zh-CN"/>
        </w:rPr>
        <w:t xml:space="preserve">①自行招用保安员的投标人须承诺：自承接本项目之日起 30 日内，向采购人所在地区的市级公安机关备案。 </w:t>
      </w:r>
    </w:p>
    <w:p w14:paraId="3E75BCC4">
      <w:pPr>
        <w:keepNext w:val="0"/>
        <w:keepLines w:val="0"/>
        <w:pageBreakBefore w:val="0"/>
        <w:widowControl/>
        <w:numPr>
          <w:ilvl w:val="0"/>
          <w:numId w:val="0"/>
        </w:numPr>
        <w:kinsoku w:val="0"/>
        <w:wordWrap/>
        <w:overflowPunct/>
        <w:topLinePunct w:val="0"/>
        <w:autoSpaceDE/>
        <w:autoSpaceDN/>
        <w:bidi w:val="0"/>
        <w:adjustRightInd/>
        <w:snapToGrid/>
        <w:spacing w:line="500" w:lineRule="exact"/>
        <w:ind w:right="0" w:firstLine="566" w:firstLineChars="200"/>
        <w:textAlignment w:val="auto"/>
        <w:rPr>
          <w:rFonts w:hint="eastAsia" w:ascii="华文仿宋" w:hAnsi="华文仿宋" w:eastAsia="华文仿宋" w:cs="华文仿宋"/>
          <w:b w:val="0"/>
          <w:bCs w:val="0"/>
          <w:color w:val="auto"/>
          <w:sz w:val="28"/>
          <w:szCs w:val="28"/>
        </w:rPr>
      </w:pPr>
      <w:r>
        <w:rPr>
          <w:rFonts w:hint="eastAsia" w:ascii="华文仿宋" w:hAnsi="华文仿宋" w:eastAsia="华文仿宋" w:cs="华文仿宋"/>
          <w:color w:val="auto"/>
          <w:spacing w:val="0"/>
          <w:w w:val="100"/>
          <w:sz w:val="28"/>
          <w:szCs w:val="28"/>
          <w:highlight w:val="none"/>
          <w:lang w:val="en-US" w:eastAsia="zh-CN"/>
        </w:rPr>
        <w:t>②从保安服务公司购买保安服务的投标人须承诺：中标后7日内与保安服务公司签订保安服务合同，明确规定服务的项目、内容以及双方的权利义务，以满足本项目采购人的保安服务需求。</w:t>
      </w:r>
    </w:p>
    <w:p w14:paraId="56B52ABB">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华文仿宋" w:hAnsi="华文仿宋" w:eastAsia="华文仿宋" w:cs="华文仿宋"/>
          <w:b/>
          <w:bCs/>
          <w:color w:val="000000"/>
          <w:sz w:val="28"/>
          <w:szCs w:val="28"/>
        </w:rPr>
      </w:pPr>
      <w:r>
        <w:rPr>
          <w:rFonts w:hint="eastAsia" w:ascii="华文仿宋" w:hAnsi="华文仿宋" w:cs="华文仿宋"/>
          <w:b/>
          <w:bCs/>
          <w:color w:val="000000"/>
          <w:sz w:val="28"/>
          <w:szCs w:val="28"/>
          <w:lang w:val="en-US" w:eastAsia="zh-CN"/>
        </w:rPr>
        <w:t>五、</w:t>
      </w:r>
      <w:r>
        <w:rPr>
          <w:rFonts w:hint="eastAsia" w:ascii="华文仿宋" w:hAnsi="华文仿宋" w:eastAsia="华文仿宋" w:cs="华文仿宋"/>
          <w:b/>
          <w:bCs/>
          <w:color w:val="000000"/>
          <w:sz w:val="28"/>
          <w:szCs w:val="28"/>
        </w:rPr>
        <w:t xml:space="preserve">验收要求 </w:t>
      </w:r>
    </w:p>
    <w:p w14:paraId="0A34456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eastAsia="zh-CN"/>
        </w:rPr>
        <w:t>（</w:t>
      </w:r>
      <w:r>
        <w:rPr>
          <w:rFonts w:hint="eastAsia" w:ascii="华文仿宋" w:hAnsi="华文仿宋" w:eastAsia="华文仿宋" w:cs="华文仿宋"/>
          <w:b w:val="0"/>
          <w:bCs w:val="0"/>
          <w:color w:val="000000"/>
          <w:sz w:val="28"/>
          <w:szCs w:val="28"/>
          <w:lang w:val="en-US" w:eastAsia="zh-CN"/>
        </w:rPr>
        <w:t>1</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人应制订具体的质量保证措施及质量保证和相关服务承诺。</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人所有的工作除应按</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人的内部流程实施外，还应接受采购人随时检查。如因质量未达到目标，采购人有权要求其整改。 </w:t>
      </w:r>
      <w:r>
        <w:rPr>
          <w:rFonts w:hint="eastAsia" w:ascii="华文仿宋" w:hAnsi="华文仿宋" w:eastAsia="华文仿宋" w:cs="华文仿宋"/>
          <w:b w:val="0"/>
          <w:bCs w:val="0"/>
          <w:color w:val="000000"/>
          <w:sz w:val="28"/>
          <w:szCs w:val="28"/>
          <w:lang w:val="en-US" w:eastAsia="zh-CN"/>
        </w:rPr>
        <w:t xml:space="preserve">  </w:t>
      </w:r>
    </w:p>
    <w:p w14:paraId="20E0ABA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2</w:t>
      </w:r>
      <w:r>
        <w:rPr>
          <w:rFonts w:hint="eastAsia" w:ascii="华文仿宋" w:hAnsi="华文仿宋" w:eastAsia="华文仿宋" w:cs="华文仿宋"/>
          <w:b w:val="0"/>
          <w:bCs w:val="0"/>
          <w:color w:val="000000"/>
          <w:sz w:val="28"/>
          <w:szCs w:val="28"/>
        </w:rPr>
        <w:t>）采购人定期和不定期地对</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人管理服务进行检查和抽查，检查记录和整改时限反馈</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人。并每季对物业服务考核标准等内容的检查结果进行考核。 </w:t>
      </w:r>
    </w:p>
    <w:p w14:paraId="5E7A9F5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3</w:t>
      </w:r>
      <w:r>
        <w:rPr>
          <w:rFonts w:hint="eastAsia" w:ascii="华文仿宋" w:hAnsi="华文仿宋" w:eastAsia="华文仿宋" w:cs="华文仿宋"/>
          <w:b w:val="0"/>
          <w:bCs w:val="0"/>
          <w:color w:val="000000"/>
          <w:sz w:val="28"/>
          <w:szCs w:val="28"/>
        </w:rPr>
        <w:t>）采购人及其他使用人对</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人的满意率达到 90％（提供调查问卷样表），采购人可随时要求</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人在采购人的监督下进行满意率调查。</w:t>
      </w:r>
    </w:p>
    <w:p w14:paraId="44F45558">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华文仿宋" w:hAnsi="华文仿宋" w:eastAsia="华文仿宋" w:cs="华文仿宋"/>
          <w:b/>
          <w:bCs/>
          <w:color w:val="000000"/>
          <w:sz w:val="28"/>
          <w:szCs w:val="28"/>
        </w:rPr>
      </w:pPr>
      <w:r>
        <w:rPr>
          <w:rFonts w:hint="eastAsia" w:ascii="华文仿宋" w:hAnsi="华文仿宋" w:cs="华文仿宋"/>
          <w:b/>
          <w:bCs/>
          <w:color w:val="000000"/>
          <w:sz w:val="28"/>
          <w:szCs w:val="28"/>
          <w:lang w:val="en-US" w:eastAsia="zh-CN"/>
        </w:rPr>
        <w:t>六、</w:t>
      </w:r>
      <w:r>
        <w:rPr>
          <w:rFonts w:hint="eastAsia" w:ascii="华文仿宋" w:hAnsi="华文仿宋" w:eastAsia="华文仿宋" w:cs="华文仿宋"/>
          <w:b/>
          <w:bCs/>
          <w:color w:val="000000"/>
          <w:sz w:val="28"/>
          <w:szCs w:val="28"/>
        </w:rPr>
        <w:t>违约责任</w:t>
      </w:r>
    </w:p>
    <w:p w14:paraId="054F4F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1</w:t>
      </w:r>
      <w:r>
        <w:rPr>
          <w:rFonts w:hint="eastAsia" w:ascii="华文仿宋" w:hAnsi="华文仿宋" w:eastAsia="华文仿宋" w:cs="华文仿宋"/>
          <w:b w:val="0"/>
          <w:bCs w:val="0"/>
          <w:color w:val="000000"/>
          <w:sz w:val="28"/>
          <w:szCs w:val="28"/>
        </w:rPr>
        <w:t>）按《中华人民共和国民法典》中的相关条款执行。</w:t>
      </w:r>
    </w:p>
    <w:p w14:paraId="3E9E69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2</w:t>
      </w:r>
      <w:r>
        <w:rPr>
          <w:rFonts w:hint="eastAsia" w:ascii="华文仿宋" w:hAnsi="华文仿宋" w:eastAsia="华文仿宋" w:cs="华文仿宋"/>
          <w:b w:val="0"/>
          <w:bCs w:val="0"/>
          <w:color w:val="000000"/>
          <w:sz w:val="28"/>
          <w:szCs w:val="28"/>
        </w:rPr>
        <w:t>）未按合同要求提供服务或服务质量不能满足合同要求，采购人有权依据《中华人民共和国民法典》有关条款及合同约定终止合同，并要求</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人承担违约责任。 </w:t>
      </w:r>
    </w:p>
    <w:p w14:paraId="020196B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3</w:t>
      </w:r>
      <w:r>
        <w:rPr>
          <w:rFonts w:hint="eastAsia" w:ascii="华文仿宋" w:hAnsi="华文仿宋" w:eastAsia="华文仿宋" w:cs="华文仿宋"/>
          <w:b w:val="0"/>
          <w:bCs w:val="0"/>
          <w:color w:val="000000"/>
          <w:sz w:val="28"/>
          <w:szCs w:val="28"/>
        </w:rPr>
        <w:t>）如果</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人没有按照合同规定的时间提供服务，采购人有权从合同款中扣除误期赔偿费而不影响合同项下的其他补救方法。赔偿费按每日加收合同金额的 0.5%计收，直至提供服务为止。 </w:t>
      </w:r>
    </w:p>
    <w:p w14:paraId="4340FC5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4</w:t>
      </w: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人未按照合同约定的时间提供服务超过 30 日或累计两个月的考核未达到采购人要求的，采购人有权解除合同。合同解除后，</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人应向采购人支付合同价款30%的违约金，因此给采购人造成的损失应予以赔偿。 </w:t>
      </w:r>
    </w:p>
    <w:p w14:paraId="066712D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val="en-US" w:eastAsia="zh-CN"/>
        </w:rPr>
        <w:t>5</w:t>
      </w:r>
      <w:r>
        <w:rPr>
          <w:rFonts w:hint="eastAsia" w:ascii="华文仿宋" w:hAnsi="华文仿宋" w:eastAsia="华文仿宋" w:cs="华文仿宋"/>
          <w:b w:val="0"/>
          <w:bCs w:val="0"/>
          <w:color w:val="000000"/>
          <w:sz w:val="28"/>
          <w:szCs w:val="28"/>
        </w:rPr>
        <w:t>）</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人的响应文件为签订正式书面合同书不可分割的部分，</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人应履行相应的责任。</w:t>
      </w:r>
    </w:p>
    <w:p w14:paraId="0A8A5993">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华文仿宋" w:hAnsi="华文仿宋" w:eastAsia="华文仿宋" w:cs="华文仿宋"/>
          <w:b/>
          <w:bCs/>
          <w:color w:val="000000"/>
          <w:sz w:val="28"/>
          <w:szCs w:val="28"/>
        </w:rPr>
      </w:pPr>
      <w:r>
        <w:rPr>
          <w:rFonts w:hint="eastAsia" w:ascii="华文仿宋" w:hAnsi="华文仿宋" w:cs="华文仿宋"/>
          <w:b/>
          <w:bCs/>
          <w:color w:val="000000"/>
          <w:sz w:val="28"/>
          <w:szCs w:val="28"/>
          <w:lang w:val="en-US" w:eastAsia="zh-CN"/>
        </w:rPr>
        <w:t>七、</w:t>
      </w:r>
      <w:r>
        <w:rPr>
          <w:rFonts w:hint="eastAsia" w:ascii="华文仿宋" w:hAnsi="华文仿宋" w:eastAsia="华文仿宋" w:cs="华文仿宋"/>
          <w:b/>
          <w:bCs/>
          <w:color w:val="000000"/>
          <w:sz w:val="28"/>
          <w:szCs w:val="28"/>
        </w:rPr>
        <w:t>采购人和</w:t>
      </w:r>
      <w:r>
        <w:rPr>
          <w:rFonts w:hint="eastAsia" w:ascii="华文仿宋" w:hAnsi="华文仿宋" w:eastAsia="华文仿宋" w:cs="华文仿宋"/>
          <w:b/>
          <w:bCs/>
          <w:color w:val="000000"/>
          <w:sz w:val="28"/>
          <w:szCs w:val="28"/>
          <w:lang w:eastAsia="zh-CN"/>
        </w:rPr>
        <w:t>成交</w:t>
      </w:r>
      <w:r>
        <w:rPr>
          <w:rFonts w:hint="eastAsia" w:ascii="华文仿宋" w:hAnsi="华文仿宋" w:eastAsia="华文仿宋" w:cs="华文仿宋"/>
          <w:b/>
          <w:bCs/>
          <w:color w:val="000000"/>
          <w:sz w:val="28"/>
          <w:szCs w:val="28"/>
        </w:rPr>
        <w:t>人的权利义务</w:t>
      </w:r>
    </w:p>
    <w:p w14:paraId="53A6BB4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bCs/>
          <w:color w:val="000000"/>
          <w:sz w:val="28"/>
          <w:szCs w:val="28"/>
        </w:rPr>
      </w:pPr>
      <w:r>
        <w:rPr>
          <w:rFonts w:hint="eastAsia" w:ascii="华文仿宋" w:hAnsi="华文仿宋" w:cs="华文仿宋"/>
          <w:b/>
          <w:bCs/>
          <w:color w:val="000000"/>
          <w:sz w:val="28"/>
          <w:szCs w:val="28"/>
          <w:lang w:val="en-US" w:eastAsia="zh-CN"/>
        </w:rPr>
        <w:t>1.</w:t>
      </w:r>
      <w:r>
        <w:rPr>
          <w:rFonts w:hint="eastAsia" w:ascii="华文仿宋" w:hAnsi="华文仿宋" w:eastAsia="华文仿宋" w:cs="华文仿宋"/>
          <w:b/>
          <w:bCs/>
          <w:color w:val="000000"/>
          <w:sz w:val="28"/>
          <w:szCs w:val="28"/>
        </w:rPr>
        <w:t xml:space="preserve">采购人的权利、义务 </w:t>
      </w:r>
    </w:p>
    <w:p w14:paraId="542CA2B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①</w:t>
      </w:r>
      <w:r>
        <w:rPr>
          <w:rFonts w:hint="eastAsia" w:ascii="华文仿宋" w:hAnsi="华文仿宋" w:eastAsia="华文仿宋" w:cs="华文仿宋"/>
          <w:b w:val="0"/>
          <w:bCs w:val="0"/>
          <w:color w:val="000000"/>
          <w:sz w:val="28"/>
          <w:szCs w:val="28"/>
        </w:rPr>
        <w:t>代表和维护产权人、使用人的合法权益；</w:t>
      </w:r>
    </w:p>
    <w:p w14:paraId="09C33EC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②</w:t>
      </w:r>
      <w:r>
        <w:rPr>
          <w:rFonts w:hint="eastAsia" w:ascii="华文仿宋" w:hAnsi="华文仿宋" w:eastAsia="华文仿宋" w:cs="华文仿宋"/>
          <w:b w:val="0"/>
          <w:bCs w:val="0"/>
          <w:color w:val="000000"/>
          <w:sz w:val="28"/>
          <w:szCs w:val="28"/>
        </w:rPr>
        <w:t>要求</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人人员遵守规约；</w:t>
      </w:r>
    </w:p>
    <w:p w14:paraId="1CA0BDB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③</w:t>
      </w:r>
      <w:r>
        <w:rPr>
          <w:rFonts w:hint="eastAsia" w:ascii="华文仿宋" w:hAnsi="华文仿宋" w:eastAsia="华文仿宋" w:cs="华文仿宋"/>
          <w:b w:val="0"/>
          <w:bCs w:val="0"/>
          <w:color w:val="000000"/>
          <w:sz w:val="28"/>
          <w:szCs w:val="28"/>
        </w:rPr>
        <w:t>审定</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人拟定的物业管理制度；</w:t>
      </w:r>
    </w:p>
    <w:p w14:paraId="091F7D2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④</w:t>
      </w:r>
      <w:r>
        <w:rPr>
          <w:rFonts w:hint="eastAsia" w:ascii="华文仿宋" w:hAnsi="华文仿宋" w:eastAsia="华文仿宋" w:cs="华文仿宋"/>
          <w:b w:val="0"/>
          <w:bCs w:val="0"/>
          <w:color w:val="000000"/>
          <w:sz w:val="28"/>
          <w:szCs w:val="28"/>
        </w:rPr>
        <w:t>检查监督</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人按合同约定管理工作的实施及制度的执行情况，并制作检查书面记录，作为</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人每月服务费用支付依据。检查发现问题的，</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人应按照采购人要求的时间及标准进行整改，</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人拒绝整改或未按期整改的，采购人有权单方终止本合同，因此给采购人造成损失的，</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 人应承担赔偿责任；</w:t>
      </w:r>
    </w:p>
    <w:p w14:paraId="3D756EE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⑤</w:t>
      </w:r>
      <w:r>
        <w:rPr>
          <w:rFonts w:hint="eastAsia" w:ascii="华文仿宋" w:hAnsi="华文仿宋" w:eastAsia="华文仿宋" w:cs="华文仿宋"/>
          <w:b w:val="0"/>
          <w:bCs w:val="0"/>
          <w:color w:val="000000"/>
          <w:sz w:val="28"/>
          <w:szCs w:val="28"/>
        </w:rPr>
        <w:t>审定</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人提出的物业管理服务年度计划（包括季度计划）；</w:t>
      </w:r>
    </w:p>
    <w:p w14:paraId="405AFC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⑥负责收集、整理办公大楼物业所需全部工程图纸、资料，并移交</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人，以便于</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人开展正常工作；</w:t>
      </w:r>
    </w:p>
    <w:p w14:paraId="5ACBF78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 xml:space="preserve">⑦按照双方约定时间支付物业管理费； </w:t>
      </w:r>
    </w:p>
    <w:p w14:paraId="2ABE21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⑧</w:t>
      </w:r>
      <w:r>
        <w:rPr>
          <w:rFonts w:hint="eastAsia" w:ascii="华文仿宋" w:hAnsi="华文仿宋" w:eastAsia="华文仿宋" w:cs="华文仿宋"/>
          <w:b w:val="0"/>
          <w:bCs w:val="0"/>
          <w:color w:val="000000"/>
          <w:sz w:val="28"/>
          <w:szCs w:val="28"/>
        </w:rPr>
        <w:t>协助</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人做好物业管理、宣传教育和文化活动工作。</w:t>
      </w:r>
    </w:p>
    <w:p w14:paraId="6B9036B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bCs/>
          <w:color w:val="000000"/>
          <w:sz w:val="28"/>
          <w:szCs w:val="28"/>
        </w:rPr>
      </w:pPr>
      <w:r>
        <w:rPr>
          <w:rFonts w:hint="eastAsia" w:ascii="华文仿宋" w:hAnsi="华文仿宋" w:cs="华文仿宋"/>
          <w:b/>
          <w:bCs/>
          <w:color w:val="000000"/>
          <w:sz w:val="28"/>
          <w:szCs w:val="28"/>
          <w:lang w:val="en-US" w:eastAsia="zh-CN"/>
        </w:rPr>
        <w:t>2.成交</w:t>
      </w:r>
      <w:r>
        <w:rPr>
          <w:rFonts w:hint="eastAsia" w:ascii="华文仿宋" w:hAnsi="华文仿宋" w:eastAsia="华文仿宋" w:cs="华文仿宋"/>
          <w:b/>
          <w:bCs/>
          <w:color w:val="000000"/>
          <w:sz w:val="28"/>
          <w:szCs w:val="28"/>
        </w:rPr>
        <w:t>人的权利、义务</w:t>
      </w:r>
    </w:p>
    <w:p w14:paraId="34548E6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①根据有关法律法规及本合同的约定，制订物业管理制度和工作计划；</w:t>
      </w:r>
    </w:p>
    <w:p w14:paraId="376AB4A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②对到采购人办理业务的当事人和闲杂人员违反法规、规章的行为，提请采购人有关部门进行处理；</w:t>
      </w:r>
    </w:p>
    <w:p w14:paraId="620D2A3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③负责编制房屋、附属建筑物、构筑物、设施、设备等的年度维修养护计划大中修方案，经甲乙双方议定且采购人审批后由</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人组织实施；</w:t>
      </w:r>
    </w:p>
    <w:p w14:paraId="3F3B161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④向采购人告知物业使用的有关规定，当采购人装修时，告知有关限制条件，订立书面约定，并负责监督；</w:t>
      </w:r>
    </w:p>
    <w:p w14:paraId="24FFFD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⑤负责编制并报告物业管理年度管理计划、资金使用计划及决算报告；</w:t>
      </w:r>
    </w:p>
    <w:p w14:paraId="4182E14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⑥对本物业的公用设施不得擅自占用和改变使用功能，如需在本物业内改、扩建或完善配套项目，须与采购人协商经采购人同意后方可实施；</w:t>
      </w:r>
    </w:p>
    <w:p w14:paraId="6DABFEC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⑦本合同终止时，</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人必须向采购人移交采购人提供的大楼工程图纸及物业管理的全部档案资料及使用房屋和设备；</w:t>
      </w:r>
    </w:p>
    <w:p w14:paraId="13151D8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6"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⑧如果发生因</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人工作人员对采购人设备及仪器操作不当导致设备及仪器损坏或报废，由</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人负责维修或购置，所有经费均由</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 xml:space="preserve">人负责； </w:t>
      </w:r>
    </w:p>
    <w:p w14:paraId="5FB525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6" w:firstLineChars="200"/>
        <w:textAlignment w:val="auto"/>
        <w:rPr>
          <w:rFonts w:hint="eastAsia" w:ascii="华文仿宋" w:hAnsi="华文仿宋" w:eastAsia="华文仿宋" w:cs="华文仿宋"/>
          <w:b/>
          <w:bCs/>
          <w:color w:val="auto"/>
          <w:sz w:val="28"/>
          <w:szCs w:val="28"/>
          <w:lang w:val="en-US" w:eastAsia="zh-CN"/>
        </w:rPr>
      </w:pPr>
      <w:r>
        <w:rPr>
          <w:rFonts w:hint="eastAsia" w:ascii="华文仿宋" w:hAnsi="华文仿宋" w:eastAsia="华文仿宋" w:cs="华文仿宋"/>
          <w:b w:val="0"/>
          <w:bCs w:val="0"/>
          <w:color w:val="000000"/>
          <w:sz w:val="28"/>
          <w:szCs w:val="28"/>
        </w:rPr>
        <w:t>⑨</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人工作人员如因非采购人原因在工作中发生意外、伤害等以及由此产生的劳动纠纷及法律责任由</w:t>
      </w:r>
      <w:r>
        <w:rPr>
          <w:rFonts w:hint="eastAsia" w:ascii="华文仿宋" w:hAnsi="华文仿宋" w:eastAsia="华文仿宋" w:cs="华文仿宋"/>
          <w:b w:val="0"/>
          <w:bCs w:val="0"/>
          <w:color w:val="000000"/>
          <w:sz w:val="28"/>
          <w:szCs w:val="28"/>
          <w:lang w:eastAsia="zh-CN"/>
        </w:rPr>
        <w:t>成交</w:t>
      </w:r>
      <w:r>
        <w:rPr>
          <w:rFonts w:hint="eastAsia" w:ascii="华文仿宋" w:hAnsi="华文仿宋" w:eastAsia="华文仿宋" w:cs="华文仿宋"/>
          <w:b w:val="0"/>
          <w:bCs w:val="0"/>
          <w:color w:val="000000"/>
          <w:sz w:val="28"/>
          <w:szCs w:val="28"/>
        </w:rPr>
        <w:t>人自行承担。</w:t>
      </w:r>
    </w:p>
    <w:p w14:paraId="0C40F027">
      <w:pPr>
        <w:keepNext w:val="0"/>
        <w:keepLines w:val="0"/>
        <w:pageBreakBefore w:val="0"/>
        <w:widowControl/>
        <w:kinsoku/>
        <w:wordWrap w:val="0"/>
        <w:overflowPunct/>
        <w:topLinePunct/>
        <w:autoSpaceDE/>
        <w:autoSpaceDN/>
        <w:bidi w:val="0"/>
        <w:adjustRightInd/>
        <w:spacing w:line="500" w:lineRule="exact"/>
        <w:ind w:firstLine="566" w:firstLineChars="200"/>
        <w:jc w:val="both"/>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cs="华文仿宋"/>
          <w:b/>
          <w:bCs/>
          <w:color w:val="auto"/>
          <w:sz w:val="28"/>
          <w:szCs w:val="28"/>
          <w:highlight w:val="none"/>
          <w:lang w:val="en-US" w:eastAsia="zh-CN"/>
        </w:rPr>
        <w:t>八、</w:t>
      </w:r>
      <w:r>
        <w:rPr>
          <w:rFonts w:hint="eastAsia" w:ascii="华文仿宋" w:hAnsi="华文仿宋" w:eastAsia="华文仿宋" w:cs="华文仿宋"/>
          <w:b/>
          <w:bCs/>
          <w:color w:val="auto"/>
          <w:sz w:val="28"/>
          <w:szCs w:val="28"/>
          <w:highlight w:val="none"/>
          <w:lang w:val="en-US" w:eastAsia="zh-CN"/>
        </w:rPr>
        <w:t>付款方式：由采购人直接支付，具体如下：</w:t>
      </w:r>
    </w:p>
    <w:p w14:paraId="71CD667E">
      <w:pPr>
        <w:pStyle w:val="3"/>
        <w:keepNext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b w:val="0"/>
          <w:bCs w:val="0"/>
          <w:color w:val="auto"/>
          <w:kern w:val="2"/>
          <w:sz w:val="28"/>
          <w:szCs w:val="28"/>
          <w:highlight w:val="none"/>
          <w:lang w:val="en-US" w:eastAsia="zh-CN" w:bidi="ar-SA"/>
        </w:rPr>
      </w:pPr>
      <w:r>
        <w:rPr>
          <w:rFonts w:hint="eastAsia" w:ascii="华文仿宋" w:hAnsi="华文仿宋" w:eastAsia="华文仿宋" w:cs="华文仿宋"/>
          <w:b w:val="0"/>
          <w:bCs w:val="0"/>
          <w:color w:val="auto"/>
          <w:sz w:val="28"/>
          <w:szCs w:val="28"/>
          <w:highlight w:val="none"/>
          <w:lang w:val="en-US" w:eastAsia="zh-CN"/>
        </w:rPr>
        <w:t>1.</w:t>
      </w:r>
      <w:r>
        <w:rPr>
          <w:rFonts w:hint="eastAsia" w:ascii="华文仿宋" w:hAnsi="华文仿宋" w:eastAsia="华文仿宋" w:cs="华文仿宋"/>
          <w:b w:val="0"/>
          <w:bCs w:val="0"/>
          <w:color w:val="auto"/>
          <w:kern w:val="2"/>
          <w:sz w:val="28"/>
          <w:szCs w:val="28"/>
          <w:highlight w:val="none"/>
          <w:lang w:val="en-US" w:eastAsia="zh-CN" w:bidi="ar-SA"/>
        </w:rPr>
        <w:t>合同总价款实行一次包死。此价款已包含乙方为甲方物业提供优质、全面物业管理服务的所有必要费用，乙方应自行承担在服务过程中可能出现的成本增加、价格波动等风险。</w:t>
      </w:r>
    </w:p>
    <w:p w14:paraId="1078F45C">
      <w:pPr>
        <w:numPr>
          <w:ilvl w:val="0"/>
          <w:numId w:val="0"/>
        </w:numPr>
        <w:spacing w:line="500" w:lineRule="exact"/>
        <w:ind w:firstLine="566" w:firstLineChars="200"/>
        <w:outlineLvl w:val="9"/>
        <w:rPr>
          <w:rFonts w:hint="eastAsia" w:ascii="华文仿宋" w:hAnsi="华文仿宋" w:eastAsia="华文仿宋" w:cs="华文仿宋"/>
          <w:b/>
          <w:bCs/>
          <w:color w:val="000000"/>
          <w:sz w:val="28"/>
          <w:szCs w:val="28"/>
          <w:lang w:val="en-US" w:eastAsia="zh-CN"/>
        </w:rPr>
      </w:pPr>
      <w:r>
        <w:rPr>
          <w:rFonts w:hint="eastAsia" w:ascii="华文仿宋" w:hAnsi="华文仿宋" w:eastAsia="华文仿宋" w:cs="华文仿宋"/>
          <w:b w:val="0"/>
          <w:bCs w:val="0"/>
          <w:color w:val="auto"/>
          <w:sz w:val="28"/>
          <w:szCs w:val="28"/>
          <w:highlight w:val="none"/>
          <w:lang w:val="en-US" w:eastAsia="zh-CN"/>
        </w:rPr>
        <w:t>2.实行按</w:t>
      </w:r>
      <w:r>
        <w:rPr>
          <w:rFonts w:hint="eastAsia" w:ascii="华文仿宋" w:hAnsi="华文仿宋" w:eastAsia="华文仿宋" w:cs="华文仿宋"/>
          <w:b w:val="0"/>
          <w:bCs w:val="0"/>
          <w:color w:val="auto"/>
          <w:sz w:val="28"/>
          <w:szCs w:val="28"/>
          <w:highlight w:val="none"/>
          <w:u w:val="single"/>
          <w:lang w:val="en-US" w:eastAsia="zh-CN"/>
        </w:rPr>
        <w:t xml:space="preserve"> 季度 </w:t>
      </w:r>
      <w:r>
        <w:rPr>
          <w:rFonts w:hint="eastAsia" w:ascii="华文仿宋" w:hAnsi="华文仿宋" w:eastAsia="华文仿宋" w:cs="华文仿宋"/>
          <w:b w:val="0"/>
          <w:bCs w:val="0"/>
          <w:color w:val="auto"/>
          <w:sz w:val="28"/>
          <w:szCs w:val="28"/>
          <w:highlight w:val="none"/>
          <w:lang w:val="en-US" w:eastAsia="zh-CN"/>
        </w:rPr>
        <w:t>支付，每季度首月</w:t>
      </w:r>
      <w:r>
        <w:rPr>
          <w:rFonts w:hint="eastAsia" w:ascii="华文仿宋" w:hAnsi="华文仿宋" w:eastAsia="华文仿宋" w:cs="华文仿宋"/>
          <w:b w:val="0"/>
          <w:bCs w:val="0"/>
          <w:color w:val="auto"/>
          <w:sz w:val="28"/>
          <w:szCs w:val="28"/>
          <w:highlight w:val="none"/>
          <w:u w:val="single"/>
          <w:lang w:val="en-US" w:eastAsia="zh-CN"/>
        </w:rPr>
        <w:t xml:space="preserve"> 15 </w:t>
      </w:r>
      <w:r>
        <w:rPr>
          <w:rFonts w:hint="eastAsia" w:ascii="华文仿宋" w:hAnsi="华文仿宋" w:eastAsia="华文仿宋" w:cs="华文仿宋"/>
          <w:b w:val="0"/>
          <w:bCs w:val="0"/>
          <w:color w:val="auto"/>
          <w:sz w:val="28"/>
          <w:szCs w:val="28"/>
          <w:highlight w:val="none"/>
          <w:lang w:val="en-US" w:eastAsia="zh-CN"/>
        </w:rPr>
        <w:t>日前按实际发生的工作量考核结果支付上季度服务费并开具发票，见票付款（银行转账）。</w:t>
      </w:r>
    </w:p>
    <w:p w14:paraId="626D05F9">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九、合同争议的解决：合同执行中发生争议的，当事人双方应协商解决，协商达不成一致时，可向采购人所在地的人民法院提请诉讼。 </w:t>
      </w:r>
    </w:p>
    <w:p w14:paraId="786A2137">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十、合同一经签订，不得擅自变更、中止或者终止合同。对确需变更、调整或者中止、终止合同的，应按规定履行相应的手续。 </w:t>
      </w:r>
    </w:p>
    <w:p w14:paraId="641F1716">
      <w:pPr>
        <w:spacing w:line="500" w:lineRule="exact"/>
        <w:ind w:firstLine="567"/>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十一、本合同从签订之日起生效，合同规定的全部事宜和程序结束后终止。合同份数不低于四份，具体份数由采购人和成交人依需商定。 </w:t>
      </w:r>
    </w:p>
    <w:p w14:paraId="085DA3B8">
      <w:pPr>
        <w:spacing w:line="500" w:lineRule="exact"/>
        <w:ind w:firstLine="567"/>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十二、未尽事宜由双方在签订合同时具体明确，但不得超出磋商文件合同草案规定。 </w:t>
      </w:r>
    </w:p>
    <w:p w14:paraId="32784C97">
      <w:pPr>
        <w:spacing w:line="500" w:lineRule="exact"/>
        <w:ind w:firstLine="567"/>
        <w:outlineLvl w:val="9"/>
        <w:rPr>
          <w:rFonts w:hint="eastAsia" w:ascii="黑体" w:hAnsi="黑体" w:cs="黑体"/>
          <w:b w:val="0"/>
          <w:color w:val="000000"/>
          <w:szCs w:val="32"/>
        </w:rPr>
      </w:pPr>
      <w:r>
        <w:rPr>
          <w:rFonts w:hint="eastAsia" w:ascii="华文仿宋" w:hAnsi="华文仿宋" w:cs="华文仿宋"/>
          <w:b/>
          <w:bCs/>
          <w:color w:val="000000"/>
          <w:sz w:val="28"/>
          <w:szCs w:val="28"/>
          <w:lang w:val="en-US" w:eastAsia="zh-CN"/>
        </w:rPr>
        <w:t>本合同须经中心确认，否则无效。</w:t>
      </w:r>
    </w:p>
    <w:p w14:paraId="026AC2D8">
      <w:pPr>
        <w:rPr>
          <w:rFonts w:hint="eastAsia" w:ascii="黑体" w:hAnsi="黑体" w:cs="黑体"/>
          <w:b w:val="0"/>
          <w:color w:val="000000"/>
          <w:szCs w:val="32"/>
        </w:rPr>
      </w:pPr>
    </w:p>
    <w:p w14:paraId="039319CB">
      <w:pPr>
        <w:pStyle w:val="10"/>
        <w:rPr>
          <w:rFonts w:hint="eastAsia" w:ascii="黑体" w:hAnsi="黑体" w:cs="黑体"/>
          <w:b w:val="0"/>
          <w:color w:val="000000"/>
          <w:szCs w:val="32"/>
        </w:rPr>
      </w:pPr>
    </w:p>
    <w:p w14:paraId="26F1EEDA">
      <w:pPr>
        <w:rPr>
          <w:rFonts w:hint="eastAsia" w:ascii="黑体" w:hAnsi="黑体" w:cs="黑体"/>
          <w:b w:val="0"/>
          <w:color w:val="000000"/>
          <w:szCs w:val="32"/>
        </w:rPr>
      </w:pPr>
    </w:p>
    <w:p w14:paraId="62ADE874">
      <w:pPr>
        <w:pStyle w:val="10"/>
        <w:rPr>
          <w:rFonts w:hint="eastAsia" w:ascii="黑体" w:hAnsi="黑体" w:cs="黑体"/>
          <w:b w:val="0"/>
          <w:color w:val="000000"/>
          <w:szCs w:val="32"/>
        </w:rPr>
      </w:pPr>
    </w:p>
    <w:p w14:paraId="207E871A">
      <w:pPr>
        <w:rPr>
          <w:rFonts w:hint="eastAsia" w:ascii="黑体" w:hAnsi="黑体" w:cs="黑体"/>
          <w:b w:val="0"/>
          <w:color w:val="000000"/>
          <w:szCs w:val="32"/>
        </w:rPr>
      </w:pPr>
    </w:p>
    <w:p w14:paraId="13114D36">
      <w:pPr>
        <w:rPr>
          <w:rFonts w:hint="eastAsia" w:ascii="黑体" w:hAnsi="黑体" w:cs="黑体"/>
          <w:b w:val="0"/>
          <w:color w:val="000000"/>
          <w:szCs w:val="32"/>
        </w:rPr>
      </w:pPr>
    </w:p>
    <w:p w14:paraId="6FCCF8C6">
      <w:pPr>
        <w:rPr>
          <w:rFonts w:hint="eastAsia"/>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0"/>
        <w:rPr>
          <w:color w:val="000000"/>
        </w:rPr>
      </w:pPr>
    </w:p>
    <w:p w14:paraId="00B4211B">
      <w:pPr>
        <w:pStyle w:val="30"/>
        <w:rPr>
          <w:color w:val="000000"/>
        </w:rPr>
      </w:pPr>
    </w:p>
    <w:p w14:paraId="406E5026">
      <w:pPr>
        <w:pStyle w:val="30"/>
        <w:rPr>
          <w:color w:val="000000"/>
        </w:rPr>
      </w:pPr>
    </w:p>
    <w:tbl>
      <w:tblPr>
        <w:tblStyle w:val="2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0"/>
        <w:rPr>
          <w:color w:val="000000"/>
          <w:sz w:val="20"/>
        </w:rPr>
      </w:pPr>
    </w:p>
    <w:p w14:paraId="44F47F5A">
      <w:pPr>
        <w:pStyle w:val="27"/>
        <w:spacing w:line="240" w:lineRule="auto"/>
        <w:ind w:firstLine="253" w:firstLineChars="70"/>
        <w:jc w:val="center"/>
        <w:rPr>
          <w:rFonts w:ascii="宋体" w:hAnsi="宋体" w:eastAsia="宋体"/>
          <w:color w:val="000000"/>
          <w:sz w:val="36"/>
          <w:szCs w:val="36"/>
        </w:rPr>
      </w:pPr>
    </w:p>
    <w:p w14:paraId="37259556">
      <w:pPr>
        <w:pStyle w:val="27"/>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7"/>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4786"/>
      <w:bookmarkStart w:id="145" w:name="_Toc257"/>
      <w:bookmarkStart w:id="146" w:name="_Toc23235"/>
      <w:bookmarkStart w:id="147" w:name="_Toc26349"/>
      <w:bookmarkStart w:id="148" w:name="_Toc6132"/>
      <w:bookmarkStart w:id="149" w:name="_Toc10248"/>
      <w:bookmarkStart w:id="150" w:name="_Toc20830"/>
      <w:bookmarkStart w:id="151" w:name="_Toc26293"/>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27"/>
        <w:spacing w:line="240" w:lineRule="auto"/>
        <w:ind w:firstLine="310" w:firstLineChars="70"/>
        <w:jc w:val="center"/>
        <w:rPr>
          <w:rFonts w:ascii="华文仿宋" w:hAnsi="华文仿宋" w:cs="华文仿宋"/>
          <w:color w:val="000000"/>
          <w:sz w:val="44"/>
          <w:szCs w:val="44"/>
        </w:rPr>
      </w:pPr>
    </w:p>
    <w:p w14:paraId="33B01BD2">
      <w:pPr>
        <w:pStyle w:val="27"/>
        <w:spacing w:line="240" w:lineRule="auto"/>
        <w:ind w:firstLine="253" w:firstLineChars="70"/>
        <w:jc w:val="center"/>
        <w:rPr>
          <w:rFonts w:ascii="华文仿宋" w:hAnsi="华文仿宋" w:cs="华文仿宋"/>
          <w:color w:val="000000"/>
          <w:sz w:val="36"/>
          <w:szCs w:val="36"/>
        </w:rPr>
      </w:pPr>
    </w:p>
    <w:p w14:paraId="698198C2">
      <w:pPr>
        <w:pStyle w:val="27"/>
        <w:spacing w:line="240" w:lineRule="auto"/>
        <w:ind w:firstLine="0" w:firstLineChars="0"/>
        <w:jc w:val="center"/>
        <w:rPr>
          <w:rFonts w:ascii="华文仿宋" w:hAnsi="华文仿宋" w:cs="华文仿宋"/>
          <w:color w:val="000000"/>
          <w:kern w:val="0"/>
          <w:sz w:val="96"/>
          <w:szCs w:val="96"/>
        </w:rPr>
      </w:pPr>
      <w:bookmarkStart w:id="152" w:name="_Toc17700"/>
      <w:bookmarkStart w:id="153" w:name="_Toc16362"/>
      <w:bookmarkStart w:id="154" w:name="_Toc20481"/>
      <w:bookmarkStart w:id="155" w:name="_Toc26378"/>
      <w:bookmarkStart w:id="156" w:name="_Toc8257"/>
      <w:bookmarkStart w:id="157" w:name="_Toc13950"/>
      <w:bookmarkStart w:id="158" w:name="_Toc76"/>
      <w:bookmarkStart w:id="159" w:name="_Toc19569"/>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27"/>
        <w:spacing w:line="240" w:lineRule="auto"/>
        <w:ind w:firstLine="0" w:firstLineChars="0"/>
        <w:jc w:val="center"/>
        <w:rPr>
          <w:rFonts w:ascii="华文仿宋" w:hAnsi="华文仿宋" w:cs="华文仿宋"/>
          <w:color w:val="000000"/>
          <w:sz w:val="36"/>
          <w:szCs w:val="36"/>
        </w:rPr>
      </w:pPr>
    </w:p>
    <w:p w14:paraId="26A6CD33">
      <w:pPr>
        <w:pStyle w:val="27"/>
        <w:spacing w:line="240" w:lineRule="auto"/>
        <w:ind w:firstLine="0" w:firstLineChars="0"/>
        <w:jc w:val="center"/>
        <w:rPr>
          <w:rFonts w:ascii="华文仿宋" w:hAnsi="华文仿宋" w:cs="华文仿宋"/>
          <w:color w:val="000000"/>
          <w:sz w:val="36"/>
          <w:szCs w:val="36"/>
        </w:rPr>
      </w:pPr>
    </w:p>
    <w:p w14:paraId="29B3B128">
      <w:pPr>
        <w:pStyle w:val="27"/>
        <w:spacing w:line="240" w:lineRule="auto"/>
        <w:ind w:firstLine="0" w:firstLineChars="0"/>
        <w:jc w:val="center"/>
        <w:rPr>
          <w:rFonts w:ascii="华文仿宋" w:hAnsi="华文仿宋" w:cs="华文仿宋"/>
          <w:color w:val="000000"/>
          <w:sz w:val="36"/>
          <w:szCs w:val="36"/>
        </w:rPr>
      </w:pPr>
    </w:p>
    <w:p w14:paraId="4DABFD41">
      <w:pPr>
        <w:pStyle w:val="27"/>
        <w:spacing w:line="240" w:lineRule="auto"/>
        <w:ind w:firstLine="0" w:firstLineChars="0"/>
        <w:jc w:val="center"/>
        <w:rPr>
          <w:rFonts w:ascii="华文仿宋" w:hAnsi="华文仿宋" w:cs="华文仿宋"/>
          <w:color w:val="000000"/>
          <w:sz w:val="36"/>
          <w:szCs w:val="36"/>
        </w:rPr>
      </w:pPr>
    </w:p>
    <w:p w14:paraId="77F7F5F4">
      <w:pPr>
        <w:pStyle w:val="27"/>
        <w:spacing w:line="240" w:lineRule="auto"/>
        <w:ind w:firstLine="0" w:firstLineChars="0"/>
        <w:jc w:val="center"/>
        <w:rPr>
          <w:rFonts w:ascii="华文仿宋" w:hAnsi="华文仿宋" w:cs="华文仿宋"/>
          <w:color w:val="000000"/>
          <w:sz w:val="36"/>
        </w:rPr>
      </w:pPr>
    </w:p>
    <w:p w14:paraId="5B5C0DD1">
      <w:pPr>
        <w:pStyle w:val="27"/>
        <w:spacing w:line="240" w:lineRule="auto"/>
        <w:ind w:firstLine="1452" w:firstLineChars="400"/>
        <w:rPr>
          <w:rFonts w:hint="default" w:ascii="仿宋" w:hAnsi="仿宋" w:eastAsia="仿宋" w:cs="仿宋"/>
          <w:b/>
          <w:color w:val="000000"/>
          <w:sz w:val="36"/>
          <w:szCs w:val="36"/>
          <w:u w:val="single"/>
          <w:lang w:val="en-US" w:eastAsia="zh-CN"/>
        </w:rPr>
      </w:pPr>
      <w:bookmarkStart w:id="160" w:name="_Toc15354"/>
      <w:bookmarkStart w:id="161" w:name="_Toc24457"/>
      <w:bookmarkStart w:id="162" w:name="_Toc22280"/>
      <w:bookmarkStart w:id="163" w:name="_Toc23171"/>
      <w:bookmarkStart w:id="164" w:name="_Toc12627"/>
      <w:bookmarkStart w:id="165" w:name="_Toc24486"/>
      <w:bookmarkStart w:id="166" w:name="_Toc21212"/>
      <w:bookmarkStart w:id="167" w:name="_Toc2030"/>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27"/>
        <w:spacing w:line="240" w:lineRule="auto"/>
        <w:ind w:firstLine="1452" w:firstLineChars="400"/>
        <w:rPr>
          <w:rFonts w:hint="default" w:ascii="仿宋" w:hAnsi="仿宋" w:eastAsia="仿宋" w:cs="仿宋"/>
          <w:color w:val="000000"/>
          <w:sz w:val="36"/>
          <w:szCs w:val="36"/>
          <w:u w:val="single"/>
        </w:rPr>
      </w:pPr>
      <w:bookmarkStart w:id="168" w:name="_Toc3140"/>
      <w:bookmarkStart w:id="169" w:name="_Toc6740"/>
      <w:bookmarkStart w:id="170" w:name="_Toc13586"/>
      <w:bookmarkStart w:id="171" w:name="_Toc27644"/>
      <w:bookmarkStart w:id="172" w:name="_Toc346"/>
      <w:bookmarkStart w:id="173" w:name="_Toc12638"/>
      <w:bookmarkStart w:id="174" w:name="_Toc4485"/>
      <w:bookmarkStart w:id="175" w:name="_Toc10738"/>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27"/>
        <w:spacing w:line="240" w:lineRule="auto"/>
        <w:ind w:firstLine="1452" w:firstLineChars="400"/>
        <w:rPr>
          <w:rFonts w:ascii="仿宋" w:hAnsi="仿宋" w:eastAsia="仿宋" w:cs="仿宋"/>
          <w:color w:val="000000"/>
          <w:sz w:val="36"/>
        </w:rPr>
      </w:pPr>
      <w:bookmarkStart w:id="176" w:name="_Toc7640"/>
      <w:bookmarkStart w:id="177" w:name="_Toc5428"/>
      <w:bookmarkStart w:id="178" w:name="_Toc1120"/>
      <w:bookmarkStart w:id="179" w:name="_Toc22519"/>
      <w:bookmarkStart w:id="180" w:name="_Toc15987"/>
      <w:bookmarkStart w:id="181" w:name="_Toc11267"/>
      <w:bookmarkStart w:id="182" w:name="_Toc21054"/>
      <w:bookmarkStart w:id="183" w:name="_Toc29966"/>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27"/>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5243"/>
      <w:bookmarkStart w:id="185" w:name="_Toc26250"/>
      <w:bookmarkStart w:id="186" w:name="_Toc24294"/>
      <w:bookmarkStart w:id="187" w:name="_Toc2899"/>
      <w:bookmarkStart w:id="188" w:name="_Toc7734"/>
      <w:bookmarkStart w:id="189" w:name="_Toc880"/>
      <w:bookmarkStart w:id="190" w:name="_Toc15429"/>
      <w:bookmarkStart w:id="191" w:name="_Toc21702"/>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27"/>
        <w:spacing w:line="240" w:lineRule="auto"/>
        <w:ind w:firstLine="1452" w:firstLineChars="400"/>
        <w:jc w:val="left"/>
        <w:rPr>
          <w:rFonts w:ascii="仿宋" w:hAnsi="仿宋" w:eastAsia="仿宋" w:cs="仿宋"/>
          <w:color w:val="000000"/>
          <w:sz w:val="36"/>
          <w:szCs w:val="36"/>
          <w:u w:val="single"/>
        </w:rPr>
      </w:pPr>
    </w:p>
    <w:p w14:paraId="71FFB00B">
      <w:pPr>
        <w:pStyle w:val="31"/>
        <w:ind w:firstLine="888"/>
        <w:outlineLvl w:val="9"/>
        <w:rPr>
          <w:rFonts w:ascii="Calibri Light" w:hAnsi="Calibri Light"/>
          <w:color w:val="000000"/>
          <w:sz w:val="36"/>
          <w:szCs w:val="36"/>
        </w:rPr>
      </w:pPr>
      <w:bookmarkStart w:id="192" w:name="_Toc21571_WPSOffice_Level1"/>
      <w:bookmarkStart w:id="193" w:name="_Toc10193"/>
      <w:bookmarkStart w:id="194" w:name="_Toc24906"/>
      <w:bookmarkStart w:id="195" w:name="_Toc31082_WPSOffice_Level1"/>
      <w:bookmarkStart w:id="196" w:name="_Toc11156"/>
      <w:bookmarkStart w:id="197" w:name="_Toc3838"/>
      <w:bookmarkStart w:id="198" w:name="_Toc22476_WPSOffice_Level1"/>
      <w:bookmarkStart w:id="199" w:name="_Toc23450"/>
      <w:bookmarkStart w:id="200" w:name="_Toc2071_WPSOffice_Level1"/>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6192_WPSOffice_Level1"/>
      <w:bookmarkStart w:id="203" w:name="_Toc19993_WPSOffice_Level1"/>
      <w:bookmarkStart w:id="204" w:name="_Toc25537_WPSOffice_Level1"/>
      <w:bookmarkStart w:id="205"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9993_WPSOffice_Level2"/>
      <w:bookmarkStart w:id="207" w:name="_Toc25969_WPSOffice_Level2"/>
      <w:bookmarkStart w:id="208" w:name="_Toc31082_WPSOffice_Level2"/>
      <w:bookmarkStart w:id="209" w:name="_Toc14464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5830_WPSOffice_Level2"/>
      <w:bookmarkStart w:id="211" w:name="_Toc25537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500" w:right="849" w:rightChars="300" w:hanging="566" w:hangingChars="2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28631_WPSOffice_Level2"/>
      <w:bookmarkStart w:id="216" w:name="_Toc5795_WPSOffice_Level2"/>
      <w:bookmarkStart w:id="217"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1168_WPSOffice_Level2"/>
      <w:bookmarkStart w:id="219" w:name="_Toc8116_WPSOffice_Level2"/>
      <w:bookmarkStart w:id="220" w:name="_Toc9021_WPSOffice_Level2"/>
      <w:bookmarkStart w:id="221"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9414_WPSOffice_Level2"/>
      <w:bookmarkStart w:id="223" w:name="_Toc27170_WPSOffice_Level2"/>
      <w:bookmarkStart w:id="224" w:name="_Toc11630_WPSOffice_Level2"/>
      <w:bookmarkStart w:id="225" w:name="_Toc3525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1782_WPSOffice_Level2"/>
      <w:bookmarkStart w:id="227" w:name="_Toc18811_WPSOffice_Level2"/>
      <w:bookmarkStart w:id="228" w:name="_Toc31457_WPSOffice_Level2"/>
      <w:bookmarkStart w:id="229" w:name="_Toc20504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28279_WPSOffice_Level2"/>
      <w:bookmarkStart w:id="232" w:name="_Toc19486_WPSOffice_Level2"/>
      <w:bookmarkStart w:id="233"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7464_WPSOffice_Level1"/>
      <w:bookmarkStart w:id="235" w:name="_Toc21905_WPSOffice_Level1"/>
      <w:bookmarkStart w:id="236" w:name="_Toc23092_WPSOffice_Level1"/>
      <w:bookmarkStart w:id="237" w:name="_Toc22808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980_WPSOffice_Level2"/>
      <w:bookmarkStart w:id="240" w:name="_Toc8316_WPSOffice_Level2"/>
      <w:bookmarkStart w:id="241" w:name="_Toc7544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87_WPSOffice_Level2"/>
      <w:bookmarkStart w:id="243" w:name="_Toc15474_WPSOffice_Level2"/>
      <w:bookmarkStart w:id="244" w:name="_Toc2999_WPSOffice_Level2"/>
      <w:bookmarkStart w:id="245"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8"/>
        </w:numPr>
        <w:tabs>
          <w:tab w:val="right" w:leader="hyphen" w:pos="8504"/>
        </w:tabs>
        <w:spacing w:line="500" w:lineRule="exact"/>
        <w:ind w:left="1981" w:leftChars="500" w:right="849" w:rightChars="300" w:hanging="566" w:hangingChars="200"/>
        <w:rPr>
          <w:color w:val="000000"/>
        </w:rPr>
      </w:pPr>
      <w:bookmarkStart w:id="246" w:name="_Toc15492_WPSOffice_Level2"/>
      <w:bookmarkStart w:id="247" w:name="_Toc13401_WPSOffice_Level2"/>
      <w:bookmarkStart w:id="248" w:name="_Toc22913_WPSOffice_Level2"/>
      <w:bookmarkStart w:id="249" w:name="_Toc28542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13654"/>
      <w:bookmarkStart w:id="251" w:name="_Toc1807"/>
      <w:bookmarkStart w:id="252" w:name="_Toc31057"/>
      <w:r>
        <w:rPr>
          <w:rStyle w:val="32"/>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19"/>
        <w:ind w:firstLine="0" w:firstLineChars="0"/>
        <w:rPr>
          <w:rFonts w:ascii="仿宋" w:hAnsi="仿宋" w:eastAsia="仿宋"/>
          <w:b/>
          <w:color w:val="000000"/>
        </w:rPr>
      </w:pPr>
    </w:p>
    <w:p w14:paraId="03B7F4DA">
      <w:pPr>
        <w:pStyle w:val="33"/>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19"/>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19"/>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19"/>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19"/>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3"/>
        <w:spacing w:line="500" w:lineRule="atLeast"/>
        <w:ind w:firstLine="607"/>
        <w:jc w:val="center"/>
        <w:outlineLvl w:val="9"/>
        <w:rPr>
          <w:rFonts w:cs="Times New Roman"/>
          <w:color w:val="000000"/>
          <w:szCs w:val="30"/>
        </w:rPr>
      </w:pPr>
      <w:bookmarkStart w:id="253" w:name="_Toc19326"/>
      <w:bookmarkStart w:id="254" w:name="_Toc18044"/>
      <w:bookmarkStart w:id="255" w:name="_Toc15591"/>
      <w:bookmarkStart w:id="256" w:name="_Toc29822"/>
      <w:bookmarkStart w:id="257" w:name="_Toc13312"/>
      <w:bookmarkStart w:id="258" w:name="_Toc17482"/>
      <w:bookmarkStart w:id="259" w:name="_Toc12408"/>
      <w:bookmarkStart w:id="260" w:name="_Toc9004"/>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19"/>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19"/>
        <w:ind w:firstLine="0" w:firstLineChars="0"/>
        <w:rPr>
          <w:rFonts w:ascii="宋体" w:hAnsi="宋体" w:eastAsia="宋体" w:cs="宋体"/>
          <w:color w:val="000000"/>
          <w:sz w:val="21"/>
          <w:szCs w:val="21"/>
        </w:rPr>
      </w:pPr>
    </w:p>
    <w:p w14:paraId="4AC14BF5">
      <w:pPr>
        <w:pStyle w:val="31"/>
        <w:ind w:firstLine="0" w:firstLineChars="0"/>
        <w:rPr>
          <w:rFonts w:hint="eastAsia" w:ascii="黑体" w:hAnsi="黑体" w:eastAsia="黑体"/>
          <w:b w:val="0"/>
          <w:color w:val="000000"/>
        </w:rPr>
      </w:pPr>
      <w:bookmarkStart w:id="261" w:name="_Toc28770"/>
      <w:bookmarkStart w:id="262" w:name="_Toc16881"/>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0550A97">
      <w:pPr>
        <w:pStyle w:val="31"/>
        <w:ind w:firstLine="0" w:firstLineChars="0"/>
        <w:rPr>
          <w:rFonts w:ascii="黑体" w:hAnsi="黑体" w:eastAsia="黑体"/>
          <w:b w:val="0"/>
          <w:color w:val="000000"/>
        </w:rPr>
      </w:pPr>
      <w:bookmarkStart w:id="263" w:name="_Toc29074"/>
      <w:r>
        <w:rPr>
          <w:rFonts w:hint="eastAsia" w:ascii="黑体" w:hAnsi="黑体" w:eastAsia="黑体"/>
          <w:b w:val="0"/>
          <w:color w:val="000000"/>
        </w:rPr>
        <w:t>第二部分  符合性证明文件</w:t>
      </w:r>
    </w:p>
    <w:p w14:paraId="1AFFA358">
      <w:pPr>
        <w:pStyle w:val="31"/>
        <w:ind w:firstLine="609"/>
        <w:jc w:val="both"/>
        <w:outlineLvl w:val="2"/>
        <w:rPr>
          <w:rFonts w:ascii="仿宋" w:hAnsi="仿宋" w:eastAsia="仿宋" w:cs="仿宋"/>
          <w:bCs w:val="0"/>
          <w:color w:val="000000"/>
        </w:rPr>
      </w:pPr>
      <w:bookmarkStart w:id="264" w:name="_Toc19195"/>
      <w:bookmarkStart w:id="265" w:name="_Toc2230"/>
      <w:bookmarkStart w:id="266" w:name="_Toc14262"/>
      <w:bookmarkStart w:id="267" w:name="_Toc19788"/>
      <w:r>
        <w:rPr>
          <w:rFonts w:hint="eastAsia" w:ascii="仿宋" w:hAnsi="仿宋" w:eastAsia="仿宋" w:cs="仿宋"/>
          <w:bCs w:val="0"/>
          <w:color w:val="000000"/>
        </w:rPr>
        <w:t>一、响应函格式</w:t>
      </w:r>
      <w:bookmarkEnd w:id="264"/>
      <w:bookmarkEnd w:id="265"/>
      <w:bookmarkEnd w:id="266"/>
      <w:bookmarkEnd w:id="267"/>
    </w:p>
    <w:p w14:paraId="2A0FB901">
      <w:pPr>
        <w:pStyle w:val="27"/>
        <w:ind w:firstLine="0" w:firstLineChars="0"/>
        <w:jc w:val="center"/>
        <w:rPr>
          <w:rFonts w:ascii="黑体" w:hAnsi="黑体" w:eastAsia="黑体" w:cs="黑体"/>
          <w:color w:val="000000"/>
          <w:sz w:val="32"/>
          <w:szCs w:val="32"/>
        </w:rPr>
      </w:pPr>
      <w:bookmarkStart w:id="268" w:name="_Toc10617"/>
      <w:bookmarkStart w:id="269" w:name="_Toc22777"/>
      <w:bookmarkStart w:id="270" w:name="_Toc23334"/>
      <w:r>
        <w:rPr>
          <w:rFonts w:hint="eastAsia" w:ascii="黑体" w:hAnsi="黑体" w:eastAsia="黑体" w:cs="黑体"/>
          <w:color w:val="000000"/>
          <w:sz w:val="32"/>
          <w:szCs w:val="32"/>
        </w:rPr>
        <w:t>响应函</w:t>
      </w:r>
      <w:bookmarkEnd w:id="268"/>
      <w:bookmarkEnd w:id="269"/>
      <w:bookmarkEnd w:id="270"/>
    </w:p>
    <w:p w14:paraId="09E19304">
      <w:pPr>
        <w:pStyle w:val="27"/>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63A0F199">
      <w:pPr>
        <w:pStyle w:val="27"/>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5568740">
      <w:pPr>
        <w:pStyle w:val="27"/>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3A817E14">
      <w:pPr>
        <w:pStyle w:val="31"/>
        <w:spacing w:line="240" w:lineRule="auto"/>
        <w:ind w:firstLine="0" w:firstLineChars="0"/>
        <w:jc w:val="both"/>
        <w:rPr>
          <w:rFonts w:hint="eastAsia" w:ascii="黑体" w:hAnsi="黑体" w:eastAsia="黑体"/>
          <w:b w:val="0"/>
          <w:color w:val="000000"/>
        </w:rPr>
      </w:pPr>
    </w:p>
    <w:bookmarkEnd w:id="261"/>
    <w:bookmarkEnd w:id="262"/>
    <w:bookmarkEnd w:id="263"/>
    <w:p w14:paraId="4CDB5E12">
      <w:pPr>
        <w:pStyle w:val="27"/>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7"/>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7"/>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7"/>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7"/>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7"/>
        <w:spacing w:line="500" w:lineRule="exact"/>
        <w:ind w:firstLine="567"/>
        <w:rPr>
          <w:rFonts w:ascii="华文仿宋" w:hAnsi="华文仿宋" w:cs="华文仿宋"/>
          <w:color w:val="000000"/>
        </w:rPr>
      </w:pPr>
    </w:p>
    <w:p w14:paraId="209525BA">
      <w:pPr>
        <w:pStyle w:val="27"/>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7"/>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7"/>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7"/>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7"/>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7"/>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7"/>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7"/>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7"/>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7"/>
        <w:ind w:firstLine="0" w:firstLineChars="0"/>
        <w:rPr>
          <w:rFonts w:ascii="华文仿宋" w:hAnsi="华文仿宋" w:cs="华文仿宋"/>
          <w:color w:val="000000"/>
          <w:sz w:val="36"/>
        </w:rPr>
      </w:pPr>
    </w:p>
    <w:p w14:paraId="4C6D3F6B">
      <w:pPr>
        <w:pStyle w:val="27"/>
        <w:ind w:firstLine="0" w:firstLineChars="0"/>
        <w:rPr>
          <w:color w:val="000000"/>
          <w:sz w:val="36"/>
        </w:rPr>
      </w:pPr>
    </w:p>
    <w:p w14:paraId="70C7C9DE">
      <w:pPr>
        <w:pStyle w:val="27"/>
        <w:ind w:firstLine="0" w:firstLineChars="0"/>
        <w:rPr>
          <w:color w:val="000000"/>
          <w:sz w:val="24"/>
          <w:szCs w:val="24"/>
        </w:rPr>
      </w:pPr>
    </w:p>
    <w:p w14:paraId="1EE38841">
      <w:pPr>
        <w:pStyle w:val="27"/>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7"/>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1"/>
        <w:ind w:firstLine="609"/>
        <w:jc w:val="both"/>
        <w:outlineLvl w:val="9"/>
        <w:rPr>
          <w:rFonts w:ascii="仿宋" w:hAnsi="仿宋" w:eastAsia="仿宋" w:cs="仿宋"/>
          <w:bCs w:val="0"/>
          <w:color w:val="000000"/>
        </w:rPr>
      </w:pPr>
      <w:bookmarkStart w:id="271" w:name="_Toc6921"/>
      <w:bookmarkStart w:id="272" w:name="_Toc23660"/>
      <w:bookmarkStart w:id="273" w:name="_Toc24876"/>
    </w:p>
    <w:p w14:paraId="1AF40D03">
      <w:pPr>
        <w:pStyle w:val="31"/>
        <w:ind w:firstLine="609"/>
        <w:jc w:val="both"/>
        <w:outlineLvl w:val="9"/>
        <w:rPr>
          <w:rFonts w:ascii="仿宋" w:hAnsi="仿宋" w:eastAsia="仿宋" w:cs="仿宋"/>
          <w:bCs w:val="0"/>
          <w:color w:val="000000"/>
        </w:rPr>
      </w:pPr>
    </w:p>
    <w:p w14:paraId="12E6B8AB">
      <w:pPr>
        <w:pStyle w:val="31"/>
        <w:ind w:firstLine="609"/>
        <w:jc w:val="both"/>
        <w:outlineLvl w:val="9"/>
        <w:rPr>
          <w:rFonts w:ascii="仿宋" w:hAnsi="仿宋" w:eastAsia="仿宋" w:cs="仿宋"/>
          <w:bCs w:val="0"/>
          <w:color w:val="000000"/>
        </w:rPr>
      </w:pPr>
    </w:p>
    <w:p w14:paraId="65D75D7C">
      <w:pPr>
        <w:pStyle w:val="31"/>
        <w:ind w:firstLine="609"/>
        <w:jc w:val="both"/>
        <w:outlineLvl w:val="9"/>
        <w:rPr>
          <w:rFonts w:ascii="仿宋" w:hAnsi="仿宋" w:eastAsia="仿宋" w:cs="仿宋"/>
          <w:bCs w:val="0"/>
          <w:color w:val="000000"/>
        </w:rPr>
      </w:pPr>
    </w:p>
    <w:p w14:paraId="33FAB430">
      <w:pPr>
        <w:pStyle w:val="31"/>
        <w:ind w:firstLine="609"/>
        <w:jc w:val="both"/>
        <w:outlineLvl w:val="9"/>
        <w:rPr>
          <w:rFonts w:ascii="仿宋" w:hAnsi="仿宋" w:eastAsia="仿宋" w:cs="仿宋"/>
          <w:bCs w:val="0"/>
          <w:color w:val="000000"/>
        </w:rPr>
      </w:pPr>
    </w:p>
    <w:p w14:paraId="7E6641E9">
      <w:pPr>
        <w:pStyle w:val="31"/>
        <w:ind w:firstLine="609"/>
        <w:jc w:val="both"/>
        <w:outlineLvl w:val="9"/>
        <w:rPr>
          <w:rFonts w:ascii="仿宋" w:hAnsi="仿宋" w:eastAsia="仿宋" w:cs="仿宋"/>
          <w:bCs w:val="0"/>
          <w:color w:val="000000"/>
        </w:rPr>
      </w:pPr>
    </w:p>
    <w:p w14:paraId="32D911F3">
      <w:pPr>
        <w:pStyle w:val="31"/>
        <w:ind w:firstLine="609"/>
        <w:jc w:val="both"/>
        <w:outlineLvl w:val="9"/>
        <w:rPr>
          <w:rFonts w:ascii="仿宋" w:hAnsi="仿宋" w:eastAsia="仿宋" w:cs="仿宋"/>
          <w:bCs w:val="0"/>
          <w:color w:val="000000"/>
        </w:rPr>
      </w:pPr>
    </w:p>
    <w:p w14:paraId="0306B5D9">
      <w:pPr>
        <w:pStyle w:val="31"/>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NumType w:fmt="numberInDash"/>
          <w:cols w:space="720" w:num="1"/>
          <w:docGrid w:type="linesAndChars" w:linePitch="381" w:charSpace="704"/>
        </w:sectPr>
      </w:pPr>
    </w:p>
    <w:p w14:paraId="78866ED1">
      <w:pPr>
        <w:pStyle w:val="31"/>
        <w:numPr>
          <w:ilvl w:val="0"/>
          <w:numId w:val="9"/>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19"/>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19"/>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19"/>
        <w:ind w:firstLine="426" w:firstLineChars="200"/>
        <w:rPr>
          <w:rFonts w:hint="eastAsia" w:ascii="宋体" w:hAnsi="宋体" w:eastAsia="宋体" w:cs="宋体"/>
          <w:color w:val="auto"/>
          <w:sz w:val="21"/>
          <w:szCs w:val="21"/>
          <w:highlight w:val="yellow"/>
        </w:rPr>
      </w:pPr>
    </w:p>
    <w:p w14:paraId="25313BFC">
      <w:pPr>
        <w:pStyle w:val="20"/>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0"/>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19"/>
        <w:ind w:firstLine="639" w:firstLineChars="300"/>
        <w:rPr>
          <w:rFonts w:ascii="宋体" w:hAnsi="宋体" w:eastAsia="宋体"/>
          <w:color w:val="000000"/>
          <w:sz w:val="21"/>
          <w:szCs w:val="21"/>
        </w:rPr>
      </w:pPr>
    </w:p>
    <w:p w14:paraId="1426432B">
      <w:pPr>
        <w:pStyle w:val="19"/>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19"/>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1"/>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8"/>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1"/>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19"/>
              <w:ind w:firstLine="0" w:firstLineChars="0"/>
              <w:rPr>
                <w:rFonts w:ascii="仿宋" w:hAnsi="仿宋" w:eastAsia="仿宋" w:cs="仿宋"/>
                <w:color w:val="000000"/>
                <w:kern w:val="0"/>
                <w:sz w:val="28"/>
                <w:szCs w:val="24"/>
                <w:lang w:val="zh-CN"/>
              </w:rPr>
            </w:pPr>
          </w:p>
          <w:p w14:paraId="353DEC51">
            <w:pPr>
              <w:pStyle w:val="19"/>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1"/>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1"/>
              <w:widowControl w:val="0"/>
              <w:spacing w:line="240" w:lineRule="auto"/>
              <w:ind w:firstLine="0" w:firstLineChars="0"/>
              <w:rPr>
                <w:rFonts w:ascii="仿宋" w:hAnsi="仿宋" w:eastAsia="仿宋" w:cs="仿宋"/>
                <w:b w:val="0"/>
                <w:bCs w:val="0"/>
                <w:color w:val="000000"/>
                <w:kern w:val="0"/>
                <w:sz w:val="24"/>
                <w:szCs w:val="24"/>
              </w:rPr>
            </w:pPr>
            <w:bookmarkStart w:id="275" w:name="_Toc28616"/>
            <w:bookmarkStart w:id="276" w:name="_Toc16202"/>
            <w:bookmarkStart w:id="277" w:name="_Toc32559"/>
            <w:bookmarkStart w:id="278" w:name="_Toc16359"/>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1"/>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4371"/>
            <w:bookmarkStart w:id="280" w:name="_Toc26417"/>
            <w:bookmarkStart w:id="281" w:name="_Toc5340"/>
            <w:bookmarkStart w:id="282" w:name="_Toc29236"/>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1"/>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1"/>
              <w:widowControl w:val="0"/>
              <w:spacing w:line="240" w:lineRule="auto"/>
              <w:ind w:firstLine="0" w:firstLineChars="0"/>
              <w:rPr>
                <w:rFonts w:ascii="仿宋" w:hAnsi="仿宋" w:eastAsia="仿宋" w:cs="仿宋"/>
                <w:bCs w:val="0"/>
                <w:color w:val="000000"/>
                <w:sz w:val="24"/>
                <w:szCs w:val="24"/>
              </w:rPr>
            </w:pPr>
            <w:bookmarkStart w:id="283" w:name="_Toc9206"/>
            <w:bookmarkStart w:id="284" w:name="_Toc18908"/>
            <w:bookmarkStart w:id="285" w:name="_Toc14670"/>
            <w:bookmarkStart w:id="286" w:name="_Toc24317"/>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1"/>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1"/>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2" w:type="default"/>
          <w:footerReference r:id="rId13"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1"/>
        <w:ind w:firstLine="609"/>
        <w:jc w:val="both"/>
        <w:outlineLvl w:val="2"/>
        <w:rPr>
          <w:rFonts w:ascii="仿宋" w:hAnsi="仿宋" w:eastAsia="仿宋" w:cs="仿宋"/>
          <w:bCs w:val="0"/>
          <w:color w:val="000000"/>
        </w:rPr>
      </w:pPr>
      <w:bookmarkStart w:id="287" w:name="_Toc27738"/>
      <w:bookmarkStart w:id="288" w:name="_Toc31382"/>
      <w:bookmarkStart w:id="289" w:name="_Toc19377"/>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4"/>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1"/>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19"/>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19"/>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19"/>
        <w:ind w:firstLine="183"/>
        <w:rPr>
          <w:color w:val="000000"/>
        </w:rPr>
      </w:pPr>
    </w:p>
    <w:p w14:paraId="3E6FD9AD">
      <w:pPr>
        <w:pStyle w:val="31"/>
        <w:ind w:firstLine="0" w:firstLineChars="0"/>
        <w:rPr>
          <w:rFonts w:ascii="黑体" w:hAnsi="黑体" w:eastAsia="黑体"/>
          <w:b w:val="0"/>
          <w:color w:val="000000"/>
        </w:rPr>
      </w:pPr>
      <w:r>
        <w:rPr>
          <w:rFonts w:ascii="黑体" w:hAnsi="黑体" w:eastAsia="黑体"/>
          <w:b w:val="0"/>
          <w:color w:val="000000"/>
        </w:rPr>
        <w:br w:type="page"/>
      </w:r>
      <w:bookmarkStart w:id="291" w:name="_Toc525"/>
      <w:bookmarkStart w:id="292" w:name="_Toc12899"/>
      <w:bookmarkStart w:id="293" w:name="_Toc18795"/>
      <w:bookmarkStart w:id="294" w:name="_Toc15586"/>
      <w:bookmarkStart w:id="295" w:name="_Toc11295"/>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1"/>
        <w:ind w:firstLine="609"/>
        <w:jc w:val="both"/>
        <w:outlineLvl w:val="2"/>
        <w:rPr>
          <w:rFonts w:ascii="仿宋" w:hAnsi="仿宋" w:eastAsia="仿宋" w:cs="仿宋"/>
          <w:bCs w:val="0"/>
          <w:color w:val="000000"/>
        </w:rPr>
      </w:pPr>
      <w:bookmarkStart w:id="296" w:name="_Toc17062_WPSOffice_Level2"/>
      <w:bookmarkStart w:id="297" w:name="_Toc17621"/>
      <w:bookmarkStart w:id="298" w:name="_Toc28702"/>
      <w:bookmarkStart w:id="299" w:name="_Toc7989"/>
      <w:bookmarkStart w:id="300" w:name="_Toc24887"/>
      <w:bookmarkStart w:id="301" w:name="_Toc7732"/>
      <w:bookmarkStart w:id="302" w:name="_Toc9079"/>
      <w:bookmarkStart w:id="303" w:name="_Toc15660_WPSOffice_Level2"/>
      <w:bookmarkStart w:id="304" w:name="_Toc11555"/>
      <w:bookmarkStart w:id="305" w:name="_Toc29975_WPSOffice_Level2"/>
      <w:bookmarkStart w:id="306" w:name="_Toc9337_WPSOffice_Level2"/>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1"/>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w:t>
      </w:r>
      <w:r>
        <w:rPr>
          <w:rFonts w:hint="eastAsia" w:ascii="华文仿宋" w:hAnsi="华文仿宋" w:eastAsia="华文仿宋" w:cs="华文仿宋"/>
          <w:color w:val="000000"/>
          <w:sz w:val="24"/>
          <w:szCs w:val="24"/>
        </w:rPr>
        <w:t xml:space="preserve"> 注：提供</w:t>
      </w:r>
      <w:r>
        <w:rPr>
          <w:rFonts w:hint="eastAsia" w:ascii="华文仿宋" w:hAnsi="华文仿宋" w:eastAsia="华文仿宋" w:cs="华文仿宋"/>
          <w:bCs/>
          <w:color w:val="000000"/>
          <w:sz w:val="24"/>
          <w:szCs w:val="24"/>
        </w:rPr>
        <w:t>20</w:t>
      </w:r>
      <w:r>
        <w:rPr>
          <w:rFonts w:hint="eastAsia" w:ascii="华文仿宋" w:hAnsi="华文仿宋" w:eastAsia="华文仿宋" w:cs="华文仿宋"/>
          <w:bCs/>
          <w:color w:val="000000"/>
          <w:sz w:val="24"/>
          <w:szCs w:val="24"/>
          <w:lang w:val="en-US" w:eastAsia="zh-CN"/>
        </w:rPr>
        <w:t>23</w:t>
      </w:r>
      <w:r>
        <w:rPr>
          <w:rFonts w:hint="eastAsia" w:ascii="华文仿宋" w:hAnsi="华文仿宋" w:eastAsia="华文仿宋" w:cs="华文仿宋"/>
          <w:bCs/>
          <w:color w:val="000000"/>
          <w:sz w:val="24"/>
          <w:szCs w:val="24"/>
        </w:rPr>
        <w:t>年1月1日以来类似项目业绩</w:t>
      </w:r>
      <w:r>
        <w:rPr>
          <w:rFonts w:hint="eastAsia" w:ascii="华文仿宋" w:hAnsi="华文仿宋" w:eastAsia="华文仿宋" w:cs="华文仿宋"/>
          <w:bCs/>
          <w:color w:val="000000"/>
          <w:sz w:val="24"/>
          <w:szCs w:val="24"/>
          <w:lang w:eastAsia="zh-CN"/>
        </w:rPr>
        <w:t>（</w:t>
      </w:r>
      <w:r>
        <w:rPr>
          <w:rFonts w:hint="eastAsia" w:ascii="华文仿宋" w:hAnsi="华文仿宋" w:eastAsia="华文仿宋" w:cs="华文仿宋"/>
          <w:bCs/>
          <w:color w:val="000000"/>
          <w:sz w:val="24"/>
          <w:szCs w:val="24"/>
          <w:lang w:val="en-US" w:eastAsia="zh-CN"/>
        </w:rPr>
        <w:t>以合同签订日期为准</w:t>
      </w:r>
      <w:r>
        <w:rPr>
          <w:rFonts w:hint="eastAsia" w:ascii="华文仿宋" w:hAnsi="华文仿宋" w:eastAsia="华文仿宋" w:cs="华文仿宋"/>
          <w:bCs/>
          <w:color w:val="000000"/>
          <w:sz w:val="24"/>
          <w:szCs w:val="24"/>
          <w:lang w:eastAsia="zh-CN"/>
        </w:rPr>
        <w:t>）</w:t>
      </w:r>
      <w:r>
        <w:rPr>
          <w:rFonts w:hint="eastAsia" w:ascii="华文仿宋" w:hAnsi="华文仿宋" w:eastAsia="华文仿宋" w:cs="华文仿宋"/>
          <w:bCs/>
          <w:color w:val="000000"/>
          <w:sz w:val="24"/>
          <w:szCs w:val="24"/>
        </w:rPr>
        <w:t>，</w:t>
      </w:r>
      <w:r>
        <w:rPr>
          <w:rFonts w:hint="eastAsia" w:ascii="华文仿宋" w:hAnsi="华文仿宋" w:eastAsia="华文仿宋" w:cs="华文仿宋"/>
          <w:color w:val="000000"/>
          <w:sz w:val="24"/>
          <w:szCs w:val="24"/>
          <w:highlight w:val="none"/>
        </w:rPr>
        <w:t>需提供完整合同业绩</w:t>
      </w:r>
      <w:r>
        <w:rPr>
          <w:rFonts w:hint="eastAsia" w:ascii="华文仿宋" w:hAnsi="华文仿宋" w:eastAsia="华文仿宋" w:cs="华文仿宋"/>
          <w:color w:val="000000"/>
          <w:sz w:val="24"/>
          <w:szCs w:val="24"/>
          <w:highlight w:val="none"/>
          <w:lang w:val="en-US" w:eastAsia="zh-CN"/>
        </w:rPr>
        <w:t>原件的</w:t>
      </w:r>
      <w:r>
        <w:rPr>
          <w:rFonts w:hint="eastAsia" w:ascii="华文仿宋" w:hAnsi="华文仿宋" w:eastAsia="华文仿宋" w:cs="华文仿宋"/>
          <w:color w:val="000000"/>
          <w:sz w:val="24"/>
          <w:szCs w:val="24"/>
          <w:highlight w:val="none"/>
          <w:lang w:eastAsia="zh-CN"/>
        </w:rPr>
        <w:t>扫描件，</w:t>
      </w:r>
      <w:r>
        <w:rPr>
          <w:rFonts w:hint="eastAsia" w:ascii="华文仿宋" w:hAnsi="华文仿宋" w:eastAsia="华文仿宋" w:cs="华文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4"/>
      <w:rPr>
        <w:rFonts w:hint="eastAsia"/>
        <w:b w:val="0"/>
        <w:bCs w:val="0"/>
        <w:color w:val="auto"/>
        <w:lang w:eastAsia="zh-CN"/>
      </w:rPr>
    </w:pPr>
    <w:r>
      <w:rPr>
        <w:rFonts w:hint="eastAsia"/>
        <w:b w:val="0"/>
        <w:bCs w:val="0"/>
        <w:color w:val="auto"/>
        <w:lang w:eastAsia="zh-CN"/>
      </w:rPr>
      <w:t>延安市公安局业务技术用房物业管理服务（二次）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4"/>
    </w:pPr>
    <w:r>
      <w:rPr>
        <w:rFonts w:hint="eastAsia"/>
        <w:color w:val="000000"/>
        <w:lang w:val="en-US" w:eastAsia="zh-CN"/>
      </w:rPr>
      <w:t>延安市公安局业务技术用房物业管理服务（二次）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4"/>
      <w:tabs>
        <w:tab w:val="left" w:pos="368"/>
      </w:tabs>
      <w:jc w:val="center"/>
    </w:pPr>
    <w:r>
      <w:rPr>
        <w:rFonts w:hint="eastAsia"/>
        <w:b w:val="0"/>
        <w:bCs w:val="0"/>
        <w:color w:val="auto"/>
        <w:lang w:eastAsia="zh-CN"/>
      </w:rPr>
      <w:t>延安市公安局业务技术用房物业管理服务（二次）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A7132"/>
    <w:multiLevelType w:val="singleLevel"/>
    <w:tmpl w:val="832A7132"/>
    <w:lvl w:ilvl="0" w:tentative="0">
      <w:start w:val="4"/>
      <w:numFmt w:val="chineseCounting"/>
      <w:suff w:val="nothing"/>
      <w:lvlText w:val="%1、"/>
      <w:lvlJc w:val="left"/>
      <w:rPr>
        <w:rFonts w:hint="eastAsia"/>
      </w:rPr>
    </w:lvl>
  </w:abstractNum>
  <w:abstractNum w:abstractNumId="1">
    <w:nsid w:val="8CE3E4B5"/>
    <w:multiLevelType w:val="singleLevel"/>
    <w:tmpl w:val="8CE3E4B5"/>
    <w:lvl w:ilvl="0" w:tentative="0">
      <w:start w:val="1"/>
      <w:numFmt w:val="chineseCounting"/>
      <w:suff w:val="nothing"/>
      <w:lvlText w:val="%1、"/>
      <w:lvlJc w:val="left"/>
      <w:rPr>
        <w:rFonts w:hint="eastAsia"/>
      </w:rPr>
    </w:lvl>
  </w:abstractNum>
  <w:abstractNum w:abstractNumId="2">
    <w:nsid w:val="CA44F8C6"/>
    <w:multiLevelType w:val="singleLevel"/>
    <w:tmpl w:val="CA44F8C6"/>
    <w:lvl w:ilvl="0" w:tentative="0">
      <w:start w:val="1"/>
      <w:numFmt w:val="chineseCounting"/>
      <w:suff w:val="space"/>
      <w:lvlText w:val="第%1章"/>
      <w:lvlJc w:val="left"/>
      <w:rPr>
        <w:rFonts w:hint="eastAsia"/>
      </w:rPr>
    </w:lvl>
  </w:abstractNum>
  <w:abstractNum w:abstractNumId="3">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6538C8E"/>
    <w:multiLevelType w:val="singleLevel"/>
    <w:tmpl w:val="06538C8E"/>
    <w:lvl w:ilvl="0" w:tentative="0">
      <w:start w:val="1"/>
      <w:numFmt w:val="decimal"/>
      <w:suff w:val="space"/>
      <w:lvlText w:val="%1."/>
      <w:lvlJc w:val="left"/>
    </w:lvl>
  </w:abstractNum>
  <w:abstractNum w:abstractNumId="5">
    <w:nsid w:val="205C9A07"/>
    <w:multiLevelType w:val="singleLevel"/>
    <w:tmpl w:val="205C9A07"/>
    <w:lvl w:ilvl="0" w:tentative="0">
      <w:start w:val="4"/>
      <w:numFmt w:val="chineseCounting"/>
      <w:suff w:val="nothing"/>
      <w:lvlText w:val="（%1）"/>
      <w:lvlJc w:val="left"/>
      <w:rPr>
        <w:rFonts w:hint="eastAsia"/>
      </w:rPr>
    </w:lvl>
  </w:abstractNum>
  <w:abstractNum w:abstractNumId="6">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7">
    <w:nsid w:val="54A6FC18"/>
    <w:multiLevelType w:val="singleLevel"/>
    <w:tmpl w:val="54A6FC18"/>
    <w:lvl w:ilvl="0" w:tentative="0">
      <w:start w:val="1"/>
      <w:numFmt w:val="decimal"/>
      <w:suff w:val="nothing"/>
      <w:lvlText w:val="%1、"/>
      <w:lvlJc w:val="left"/>
    </w:lvl>
  </w:abstractNum>
  <w:abstractNum w:abstractNumId="8">
    <w:nsid w:val="700C5CB2"/>
    <w:multiLevelType w:val="singleLevel"/>
    <w:tmpl w:val="700C5CB2"/>
    <w:lvl w:ilvl="0" w:tentative="0">
      <w:start w:val="2"/>
      <w:numFmt w:val="chineseCounting"/>
      <w:suff w:val="nothing"/>
      <w:lvlText w:val="%1、"/>
      <w:lvlJc w:val="left"/>
      <w:rPr>
        <w:rFonts w:hint="eastAsia"/>
      </w:rPr>
    </w:lvl>
  </w:abstractNum>
  <w:num w:numId="1">
    <w:abstractNumId w:val="6"/>
  </w:num>
  <w:num w:numId="2">
    <w:abstractNumId w:val="2"/>
  </w:num>
  <w:num w:numId="3">
    <w:abstractNumId w:val="1"/>
  </w:num>
  <w:num w:numId="4">
    <w:abstractNumId w:val="5"/>
  </w:num>
  <w:num w:numId="5">
    <w:abstractNumId w:val="7"/>
  </w:num>
  <w:num w:numId="6">
    <w:abstractNumId w:val="4"/>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885B23"/>
    <w:rsid w:val="008C6C96"/>
    <w:rsid w:val="00FD6FFF"/>
    <w:rsid w:val="0106590A"/>
    <w:rsid w:val="0153724B"/>
    <w:rsid w:val="017E6B98"/>
    <w:rsid w:val="018B236D"/>
    <w:rsid w:val="018C3C2B"/>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20235A"/>
    <w:rsid w:val="06500E91"/>
    <w:rsid w:val="06571C6C"/>
    <w:rsid w:val="067E4BBE"/>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E0A33"/>
    <w:rsid w:val="093700E7"/>
    <w:rsid w:val="09420839"/>
    <w:rsid w:val="09652EA6"/>
    <w:rsid w:val="0969226A"/>
    <w:rsid w:val="09945156"/>
    <w:rsid w:val="09B41737"/>
    <w:rsid w:val="09F00295"/>
    <w:rsid w:val="0AFD2C6A"/>
    <w:rsid w:val="0B2E1E80"/>
    <w:rsid w:val="0B6A3BEB"/>
    <w:rsid w:val="0B6E78D8"/>
    <w:rsid w:val="0B753148"/>
    <w:rsid w:val="0B8769D7"/>
    <w:rsid w:val="0B892750"/>
    <w:rsid w:val="0B931ED3"/>
    <w:rsid w:val="0B9A495D"/>
    <w:rsid w:val="0BAF665A"/>
    <w:rsid w:val="0BBE6B6A"/>
    <w:rsid w:val="0BCB0FBA"/>
    <w:rsid w:val="0C3A3E75"/>
    <w:rsid w:val="0C5B233E"/>
    <w:rsid w:val="0C7B17EF"/>
    <w:rsid w:val="0CE265BB"/>
    <w:rsid w:val="0CF42CB0"/>
    <w:rsid w:val="0CFD33F5"/>
    <w:rsid w:val="0D26294C"/>
    <w:rsid w:val="0D4B6583"/>
    <w:rsid w:val="0DCB34F3"/>
    <w:rsid w:val="0DD71E98"/>
    <w:rsid w:val="0DE73C50"/>
    <w:rsid w:val="0DFB64F3"/>
    <w:rsid w:val="0DFC0475"/>
    <w:rsid w:val="0E0302A0"/>
    <w:rsid w:val="0E484619"/>
    <w:rsid w:val="0E9465F6"/>
    <w:rsid w:val="0E990EFC"/>
    <w:rsid w:val="0EA07F83"/>
    <w:rsid w:val="0EB65F51"/>
    <w:rsid w:val="0EC51CF1"/>
    <w:rsid w:val="0EE320D8"/>
    <w:rsid w:val="0F40581B"/>
    <w:rsid w:val="0F5A4B1A"/>
    <w:rsid w:val="0F8C5352"/>
    <w:rsid w:val="0FB75ADD"/>
    <w:rsid w:val="0FCB7000"/>
    <w:rsid w:val="10480E2B"/>
    <w:rsid w:val="104F55B9"/>
    <w:rsid w:val="1111746F"/>
    <w:rsid w:val="111D59F8"/>
    <w:rsid w:val="115A7068"/>
    <w:rsid w:val="117D2D56"/>
    <w:rsid w:val="11991213"/>
    <w:rsid w:val="11B92B3A"/>
    <w:rsid w:val="11C72224"/>
    <w:rsid w:val="11CB5870"/>
    <w:rsid w:val="12163D18"/>
    <w:rsid w:val="12266F4A"/>
    <w:rsid w:val="12693030"/>
    <w:rsid w:val="12BA4725"/>
    <w:rsid w:val="12C31B2A"/>
    <w:rsid w:val="13113756"/>
    <w:rsid w:val="133D3CFF"/>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C30A80"/>
    <w:rsid w:val="14EA2EBE"/>
    <w:rsid w:val="14FE41AE"/>
    <w:rsid w:val="154D47EE"/>
    <w:rsid w:val="155344FA"/>
    <w:rsid w:val="15787B7C"/>
    <w:rsid w:val="15CA5B4B"/>
    <w:rsid w:val="15D867AD"/>
    <w:rsid w:val="15EC2259"/>
    <w:rsid w:val="16297009"/>
    <w:rsid w:val="166167A3"/>
    <w:rsid w:val="167364D6"/>
    <w:rsid w:val="16D74786"/>
    <w:rsid w:val="1743234C"/>
    <w:rsid w:val="175E666B"/>
    <w:rsid w:val="17640690"/>
    <w:rsid w:val="177B15A9"/>
    <w:rsid w:val="17887D5F"/>
    <w:rsid w:val="17A22A5A"/>
    <w:rsid w:val="18147845"/>
    <w:rsid w:val="18185636"/>
    <w:rsid w:val="182305D6"/>
    <w:rsid w:val="182932F0"/>
    <w:rsid w:val="185B4FDD"/>
    <w:rsid w:val="185F6D12"/>
    <w:rsid w:val="186C7681"/>
    <w:rsid w:val="189831C8"/>
    <w:rsid w:val="18C80D5B"/>
    <w:rsid w:val="18D771F0"/>
    <w:rsid w:val="18DD40DB"/>
    <w:rsid w:val="18F558C8"/>
    <w:rsid w:val="190C006F"/>
    <w:rsid w:val="191044B0"/>
    <w:rsid w:val="19191C06"/>
    <w:rsid w:val="1934019F"/>
    <w:rsid w:val="196A1E12"/>
    <w:rsid w:val="196F11D7"/>
    <w:rsid w:val="196F567B"/>
    <w:rsid w:val="19752927"/>
    <w:rsid w:val="198A7DBF"/>
    <w:rsid w:val="19974BFE"/>
    <w:rsid w:val="19A05834"/>
    <w:rsid w:val="19A50AE7"/>
    <w:rsid w:val="19F210D5"/>
    <w:rsid w:val="19FD4AA7"/>
    <w:rsid w:val="1A4B2A44"/>
    <w:rsid w:val="1A6E76E0"/>
    <w:rsid w:val="1A7A42D7"/>
    <w:rsid w:val="1A845156"/>
    <w:rsid w:val="1A972B45"/>
    <w:rsid w:val="1ABF7590"/>
    <w:rsid w:val="1AC55423"/>
    <w:rsid w:val="1AC6751C"/>
    <w:rsid w:val="1ADC289C"/>
    <w:rsid w:val="1AF220BF"/>
    <w:rsid w:val="1AF851FC"/>
    <w:rsid w:val="1B0F3646"/>
    <w:rsid w:val="1B1D686F"/>
    <w:rsid w:val="1B281F85"/>
    <w:rsid w:val="1B361E84"/>
    <w:rsid w:val="1B6805D3"/>
    <w:rsid w:val="1B854CE1"/>
    <w:rsid w:val="1BBD18E9"/>
    <w:rsid w:val="1BF72592"/>
    <w:rsid w:val="1C24274C"/>
    <w:rsid w:val="1C273FEB"/>
    <w:rsid w:val="1C2F10F1"/>
    <w:rsid w:val="1C3A34E8"/>
    <w:rsid w:val="1C3D650C"/>
    <w:rsid w:val="1C533032"/>
    <w:rsid w:val="1C5E5533"/>
    <w:rsid w:val="1C6E12C2"/>
    <w:rsid w:val="1C6E7E6B"/>
    <w:rsid w:val="1C7A30C4"/>
    <w:rsid w:val="1CE35C57"/>
    <w:rsid w:val="1D231C99"/>
    <w:rsid w:val="1D2616DA"/>
    <w:rsid w:val="1D4665DA"/>
    <w:rsid w:val="1DE96F38"/>
    <w:rsid w:val="1DEA52D0"/>
    <w:rsid w:val="1DF148B0"/>
    <w:rsid w:val="1E2A7DC2"/>
    <w:rsid w:val="1E2E3FC6"/>
    <w:rsid w:val="1E45667C"/>
    <w:rsid w:val="1E6F3A27"/>
    <w:rsid w:val="1EA47B74"/>
    <w:rsid w:val="1ED1023E"/>
    <w:rsid w:val="1EDF295B"/>
    <w:rsid w:val="1F1D23D5"/>
    <w:rsid w:val="1F3233D2"/>
    <w:rsid w:val="1F4727DA"/>
    <w:rsid w:val="1F511C17"/>
    <w:rsid w:val="1F5B337D"/>
    <w:rsid w:val="1F745799"/>
    <w:rsid w:val="1F797010"/>
    <w:rsid w:val="1F8C6655"/>
    <w:rsid w:val="1F971571"/>
    <w:rsid w:val="1FCE11A8"/>
    <w:rsid w:val="1FE90BAE"/>
    <w:rsid w:val="1FEC17D3"/>
    <w:rsid w:val="1FEF4E1F"/>
    <w:rsid w:val="20026C99"/>
    <w:rsid w:val="200603BB"/>
    <w:rsid w:val="20370574"/>
    <w:rsid w:val="20604F13"/>
    <w:rsid w:val="20A41DC5"/>
    <w:rsid w:val="20F23661"/>
    <w:rsid w:val="21020B82"/>
    <w:rsid w:val="21983295"/>
    <w:rsid w:val="219C0FD7"/>
    <w:rsid w:val="21B3498B"/>
    <w:rsid w:val="21B37336"/>
    <w:rsid w:val="21C423B0"/>
    <w:rsid w:val="21E8421C"/>
    <w:rsid w:val="21E964A3"/>
    <w:rsid w:val="221E7C3E"/>
    <w:rsid w:val="2248284A"/>
    <w:rsid w:val="22944E50"/>
    <w:rsid w:val="22EA60CD"/>
    <w:rsid w:val="22FF181D"/>
    <w:rsid w:val="231449BC"/>
    <w:rsid w:val="2351194D"/>
    <w:rsid w:val="235D02F2"/>
    <w:rsid w:val="236930C6"/>
    <w:rsid w:val="23952182"/>
    <w:rsid w:val="23B2156E"/>
    <w:rsid w:val="23C13D4C"/>
    <w:rsid w:val="243A65CE"/>
    <w:rsid w:val="244514B2"/>
    <w:rsid w:val="24455956"/>
    <w:rsid w:val="246700A8"/>
    <w:rsid w:val="24763D61"/>
    <w:rsid w:val="24D97E4C"/>
    <w:rsid w:val="24DE36B4"/>
    <w:rsid w:val="24E851E9"/>
    <w:rsid w:val="250A44A9"/>
    <w:rsid w:val="251F3B5B"/>
    <w:rsid w:val="254F72FB"/>
    <w:rsid w:val="25546F0C"/>
    <w:rsid w:val="25633D82"/>
    <w:rsid w:val="25804B6B"/>
    <w:rsid w:val="258C3110"/>
    <w:rsid w:val="259049AF"/>
    <w:rsid w:val="25B974F6"/>
    <w:rsid w:val="25BF3B7E"/>
    <w:rsid w:val="25D845A8"/>
    <w:rsid w:val="261C34E9"/>
    <w:rsid w:val="26321976"/>
    <w:rsid w:val="264D2300"/>
    <w:rsid w:val="268564DD"/>
    <w:rsid w:val="26882E12"/>
    <w:rsid w:val="26E36D60"/>
    <w:rsid w:val="27190A70"/>
    <w:rsid w:val="272555CB"/>
    <w:rsid w:val="272D447F"/>
    <w:rsid w:val="277D3506"/>
    <w:rsid w:val="279A78D3"/>
    <w:rsid w:val="27BC6787"/>
    <w:rsid w:val="280E605F"/>
    <w:rsid w:val="28371501"/>
    <w:rsid w:val="285717B4"/>
    <w:rsid w:val="285B2042"/>
    <w:rsid w:val="287A7186"/>
    <w:rsid w:val="28B36B23"/>
    <w:rsid w:val="28C36E49"/>
    <w:rsid w:val="28D472A8"/>
    <w:rsid w:val="28F23FA6"/>
    <w:rsid w:val="28F6721F"/>
    <w:rsid w:val="29172C46"/>
    <w:rsid w:val="291C47A3"/>
    <w:rsid w:val="29307688"/>
    <w:rsid w:val="29310257"/>
    <w:rsid w:val="294A1318"/>
    <w:rsid w:val="298962E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197C11"/>
    <w:rsid w:val="2C273B93"/>
    <w:rsid w:val="2C2B3B1E"/>
    <w:rsid w:val="2C484235"/>
    <w:rsid w:val="2C526E62"/>
    <w:rsid w:val="2CB45044"/>
    <w:rsid w:val="2CBA2FBD"/>
    <w:rsid w:val="2CCE7FC5"/>
    <w:rsid w:val="2CD755B9"/>
    <w:rsid w:val="2CE90A48"/>
    <w:rsid w:val="2CF9552F"/>
    <w:rsid w:val="2CFD01DC"/>
    <w:rsid w:val="2D306A77"/>
    <w:rsid w:val="2D3447B9"/>
    <w:rsid w:val="2D630BFB"/>
    <w:rsid w:val="2D9D235F"/>
    <w:rsid w:val="2DBF5292"/>
    <w:rsid w:val="2DD85145"/>
    <w:rsid w:val="2DF45CF7"/>
    <w:rsid w:val="2E0942AF"/>
    <w:rsid w:val="2E0B6E95"/>
    <w:rsid w:val="2E100D83"/>
    <w:rsid w:val="2E314855"/>
    <w:rsid w:val="2E861045"/>
    <w:rsid w:val="2E87708A"/>
    <w:rsid w:val="2E9F03ED"/>
    <w:rsid w:val="2EA25C4E"/>
    <w:rsid w:val="2EF1054D"/>
    <w:rsid w:val="2F44743E"/>
    <w:rsid w:val="2F472CFA"/>
    <w:rsid w:val="2F603644"/>
    <w:rsid w:val="2F6F1AD9"/>
    <w:rsid w:val="2F8A246F"/>
    <w:rsid w:val="2F8C268B"/>
    <w:rsid w:val="2FD26B56"/>
    <w:rsid w:val="2FF16992"/>
    <w:rsid w:val="2FF26187"/>
    <w:rsid w:val="30110DE2"/>
    <w:rsid w:val="302503E9"/>
    <w:rsid w:val="3041203C"/>
    <w:rsid w:val="305D7B83"/>
    <w:rsid w:val="30915A7F"/>
    <w:rsid w:val="30A9101A"/>
    <w:rsid w:val="30C32657"/>
    <w:rsid w:val="30EC4205"/>
    <w:rsid w:val="30EF69E4"/>
    <w:rsid w:val="311606DB"/>
    <w:rsid w:val="312132A7"/>
    <w:rsid w:val="313A0BD1"/>
    <w:rsid w:val="31404725"/>
    <w:rsid w:val="31440D43"/>
    <w:rsid w:val="31552F50"/>
    <w:rsid w:val="31615451"/>
    <w:rsid w:val="316867E0"/>
    <w:rsid w:val="31905D36"/>
    <w:rsid w:val="31E076C1"/>
    <w:rsid w:val="32021C86"/>
    <w:rsid w:val="32A63A63"/>
    <w:rsid w:val="32CE4D68"/>
    <w:rsid w:val="32E04BAD"/>
    <w:rsid w:val="330D3A5D"/>
    <w:rsid w:val="339935C8"/>
    <w:rsid w:val="33D2532E"/>
    <w:rsid w:val="33D47D4F"/>
    <w:rsid w:val="343E5030"/>
    <w:rsid w:val="349C4646"/>
    <w:rsid w:val="34AF2977"/>
    <w:rsid w:val="34B43C68"/>
    <w:rsid w:val="34E40B78"/>
    <w:rsid w:val="34FC4643"/>
    <w:rsid w:val="355A2DB4"/>
    <w:rsid w:val="355B6BD8"/>
    <w:rsid w:val="35672FFF"/>
    <w:rsid w:val="356A5862"/>
    <w:rsid w:val="3581411C"/>
    <w:rsid w:val="35867B7C"/>
    <w:rsid w:val="3599165E"/>
    <w:rsid w:val="359E1ADF"/>
    <w:rsid w:val="35E653C6"/>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27FB0"/>
    <w:rsid w:val="388B6AFB"/>
    <w:rsid w:val="38960E85"/>
    <w:rsid w:val="38A34BF8"/>
    <w:rsid w:val="38DD49D6"/>
    <w:rsid w:val="38E5105E"/>
    <w:rsid w:val="39344543"/>
    <w:rsid w:val="39785A2E"/>
    <w:rsid w:val="399C796E"/>
    <w:rsid w:val="39A17917"/>
    <w:rsid w:val="39E15381"/>
    <w:rsid w:val="3A2C2CB0"/>
    <w:rsid w:val="3A2D6818"/>
    <w:rsid w:val="3A3473AE"/>
    <w:rsid w:val="3A743A5B"/>
    <w:rsid w:val="3A861B09"/>
    <w:rsid w:val="3A8E6472"/>
    <w:rsid w:val="3A993FEF"/>
    <w:rsid w:val="3A9B73CB"/>
    <w:rsid w:val="3AD52E6E"/>
    <w:rsid w:val="3B0E3CCE"/>
    <w:rsid w:val="3B163750"/>
    <w:rsid w:val="3B2C2F74"/>
    <w:rsid w:val="3B3E6803"/>
    <w:rsid w:val="3B410244"/>
    <w:rsid w:val="3C17152E"/>
    <w:rsid w:val="3C371BD0"/>
    <w:rsid w:val="3C687483"/>
    <w:rsid w:val="3C9F71B8"/>
    <w:rsid w:val="3CB13731"/>
    <w:rsid w:val="3CB13CE3"/>
    <w:rsid w:val="3CBF05CA"/>
    <w:rsid w:val="3CD13DD3"/>
    <w:rsid w:val="3CE31410"/>
    <w:rsid w:val="3CF16DC5"/>
    <w:rsid w:val="3D1E2D4B"/>
    <w:rsid w:val="3D3407AF"/>
    <w:rsid w:val="3D453E79"/>
    <w:rsid w:val="3D4B66A5"/>
    <w:rsid w:val="3DD77D43"/>
    <w:rsid w:val="3DDA0A65"/>
    <w:rsid w:val="3E0C4997"/>
    <w:rsid w:val="3E0D4CB7"/>
    <w:rsid w:val="3E1F291C"/>
    <w:rsid w:val="3E264AF2"/>
    <w:rsid w:val="3E4405D4"/>
    <w:rsid w:val="3E614CE2"/>
    <w:rsid w:val="3E832EAB"/>
    <w:rsid w:val="3ECD2378"/>
    <w:rsid w:val="3ED44742"/>
    <w:rsid w:val="3EE74323"/>
    <w:rsid w:val="3F18759E"/>
    <w:rsid w:val="3F422D66"/>
    <w:rsid w:val="3F685210"/>
    <w:rsid w:val="3F7D3D9E"/>
    <w:rsid w:val="3F8051EC"/>
    <w:rsid w:val="3FFC1167"/>
    <w:rsid w:val="400172BB"/>
    <w:rsid w:val="40273D0A"/>
    <w:rsid w:val="407E7DCE"/>
    <w:rsid w:val="408847A8"/>
    <w:rsid w:val="40C17CBA"/>
    <w:rsid w:val="410302D3"/>
    <w:rsid w:val="41057DE0"/>
    <w:rsid w:val="41214F2E"/>
    <w:rsid w:val="413E755D"/>
    <w:rsid w:val="41695BD4"/>
    <w:rsid w:val="41881F15"/>
    <w:rsid w:val="41911D83"/>
    <w:rsid w:val="41B63597"/>
    <w:rsid w:val="41BB6E00"/>
    <w:rsid w:val="41F262B9"/>
    <w:rsid w:val="42051E29"/>
    <w:rsid w:val="420B38E3"/>
    <w:rsid w:val="42440BA3"/>
    <w:rsid w:val="424B0183"/>
    <w:rsid w:val="424C7EC7"/>
    <w:rsid w:val="427F607F"/>
    <w:rsid w:val="42813BA5"/>
    <w:rsid w:val="42837B1B"/>
    <w:rsid w:val="42935686"/>
    <w:rsid w:val="42C1221C"/>
    <w:rsid w:val="42CD0B98"/>
    <w:rsid w:val="42CF2B62"/>
    <w:rsid w:val="42D77C69"/>
    <w:rsid w:val="42FF2625"/>
    <w:rsid w:val="43156CC7"/>
    <w:rsid w:val="432D1637"/>
    <w:rsid w:val="43591D9B"/>
    <w:rsid w:val="436A4639"/>
    <w:rsid w:val="43747266"/>
    <w:rsid w:val="43A4388B"/>
    <w:rsid w:val="43AF64F0"/>
    <w:rsid w:val="43BE3225"/>
    <w:rsid w:val="43C35D74"/>
    <w:rsid w:val="43FD36FF"/>
    <w:rsid w:val="446A2417"/>
    <w:rsid w:val="447D75CD"/>
    <w:rsid w:val="4488746D"/>
    <w:rsid w:val="44B74F0C"/>
    <w:rsid w:val="44DF70AD"/>
    <w:rsid w:val="44E421C9"/>
    <w:rsid w:val="44F468B0"/>
    <w:rsid w:val="45062140"/>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BB30B2"/>
    <w:rsid w:val="47C85DD2"/>
    <w:rsid w:val="47D52F5B"/>
    <w:rsid w:val="47D72A0D"/>
    <w:rsid w:val="47FF0499"/>
    <w:rsid w:val="486C49B0"/>
    <w:rsid w:val="486F44A0"/>
    <w:rsid w:val="4893018E"/>
    <w:rsid w:val="48AB372A"/>
    <w:rsid w:val="48EF52FC"/>
    <w:rsid w:val="48F830FD"/>
    <w:rsid w:val="48FD7CFE"/>
    <w:rsid w:val="49211C3E"/>
    <w:rsid w:val="492653E3"/>
    <w:rsid w:val="49386D6A"/>
    <w:rsid w:val="49553BA0"/>
    <w:rsid w:val="495A6EFE"/>
    <w:rsid w:val="496438D9"/>
    <w:rsid w:val="49A62143"/>
    <w:rsid w:val="49A63EF1"/>
    <w:rsid w:val="49C23456"/>
    <w:rsid w:val="4A035B0E"/>
    <w:rsid w:val="4A0A26D2"/>
    <w:rsid w:val="4A325785"/>
    <w:rsid w:val="4A4638A0"/>
    <w:rsid w:val="4A6A6D04"/>
    <w:rsid w:val="4A8F2BD7"/>
    <w:rsid w:val="4AC26B09"/>
    <w:rsid w:val="4ACC5BD9"/>
    <w:rsid w:val="4ADE0EEB"/>
    <w:rsid w:val="4AF241A0"/>
    <w:rsid w:val="4B2B2900"/>
    <w:rsid w:val="4B3612A5"/>
    <w:rsid w:val="4B501DBF"/>
    <w:rsid w:val="4B6B0F4E"/>
    <w:rsid w:val="4B7F0E9E"/>
    <w:rsid w:val="4BE551A5"/>
    <w:rsid w:val="4C067917"/>
    <w:rsid w:val="4C115F9A"/>
    <w:rsid w:val="4C46543A"/>
    <w:rsid w:val="4C6E2B99"/>
    <w:rsid w:val="4C856040"/>
    <w:rsid w:val="4C8E4F10"/>
    <w:rsid w:val="4CB608EF"/>
    <w:rsid w:val="4CB701C3"/>
    <w:rsid w:val="4CC0176E"/>
    <w:rsid w:val="4CFB09F8"/>
    <w:rsid w:val="4D0B2FD8"/>
    <w:rsid w:val="4D1D44CA"/>
    <w:rsid w:val="4D3637DE"/>
    <w:rsid w:val="4D5A571F"/>
    <w:rsid w:val="4D623393"/>
    <w:rsid w:val="4D704F42"/>
    <w:rsid w:val="4D9F3131"/>
    <w:rsid w:val="4E4D0DDF"/>
    <w:rsid w:val="4E5321ED"/>
    <w:rsid w:val="4E6016D6"/>
    <w:rsid w:val="4E6D76D3"/>
    <w:rsid w:val="4E816CDB"/>
    <w:rsid w:val="4E8C5DAC"/>
    <w:rsid w:val="4EBE7F2F"/>
    <w:rsid w:val="4EE554BC"/>
    <w:rsid w:val="4F18038A"/>
    <w:rsid w:val="4F22226C"/>
    <w:rsid w:val="4F260128"/>
    <w:rsid w:val="4F2C6C47"/>
    <w:rsid w:val="4F4F4D7D"/>
    <w:rsid w:val="4F587A3C"/>
    <w:rsid w:val="4F711F6A"/>
    <w:rsid w:val="4F813C30"/>
    <w:rsid w:val="4FBA06F6"/>
    <w:rsid w:val="4FBA78D0"/>
    <w:rsid w:val="4FCB6460"/>
    <w:rsid w:val="4FCE5E25"/>
    <w:rsid w:val="500951DA"/>
    <w:rsid w:val="504D3319"/>
    <w:rsid w:val="510A2FB8"/>
    <w:rsid w:val="512E314A"/>
    <w:rsid w:val="5159601C"/>
    <w:rsid w:val="51C27D36"/>
    <w:rsid w:val="51D75590"/>
    <w:rsid w:val="520F7138"/>
    <w:rsid w:val="5214298C"/>
    <w:rsid w:val="522C72C3"/>
    <w:rsid w:val="524A1938"/>
    <w:rsid w:val="526C6007"/>
    <w:rsid w:val="52B92EE7"/>
    <w:rsid w:val="52BE6184"/>
    <w:rsid w:val="52CA50F4"/>
    <w:rsid w:val="52E02222"/>
    <w:rsid w:val="53654E1D"/>
    <w:rsid w:val="538151F6"/>
    <w:rsid w:val="5382777D"/>
    <w:rsid w:val="53886B25"/>
    <w:rsid w:val="53AA2830"/>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CF07A0"/>
    <w:rsid w:val="55614BA6"/>
    <w:rsid w:val="55EB160A"/>
    <w:rsid w:val="56091B70"/>
    <w:rsid w:val="5627460C"/>
    <w:rsid w:val="56286D65"/>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239C1"/>
    <w:rsid w:val="588C69A8"/>
    <w:rsid w:val="58AC2CC7"/>
    <w:rsid w:val="58AD0DF8"/>
    <w:rsid w:val="58BF0649"/>
    <w:rsid w:val="591730EE"/>
    <w:rsid w:val="591A58A7"/>
    <w:rsid w:val="593212FE"/>
    <w:rsid w:val="59451AAD"/>
    <w:rsid w:val="5946546B"/>
    <w:rsid w:val="59555DCC"/>
    <w:rsid w:val="59815DE1"/>
    <w:rsid w:val="59840DC3"/>
    <w:rsid w:val="59877FFD"/>
    <w:rsid w:val="598F49A2"/>
    <w:rsid w:val="59C56616"/>
    <w:rsid w:val="5A205E72"/>
    <w:rsid w:val="5A225816"/>
    <w:rsid w:val="5A492DA3"/>
    <w:rsid w:val="5A655C07"/>
    <w:rsid w:val="5A690D4F"/>
    <w:rsid w:val="5A7A2F5C"/>
    <w:rsid w:val="5A8B77DE"/>
    <w:rsid w:val="5ABC3575"/>
    <w:rsid w:val="5ADB4098"/>
    <w:rsid w:val="5AEB18DC"/>
    <w:rsid w:val="5B227EAF"/>
    <w:rsid w:val="5B264E92"/>
    <w:rsid w:val="5B501F0F"/>
    <w:rsid w:val="5B5D17D4"/>
    <w:rsid w:val="5B7A35BA"/>
    <w:rsid w:val="5C1650EC"/>
    <w:rsid w:val="5CAE15E3"/>
    <w:rsid w:val="5CDA5F34"/>
    <w:rsid w:val="5CE21AED"/>
    <w:rsid w:val="5D1F1D64"/>
    <w:rsid w:val="5D3722DC"/>
    <w:rsid w:val="5D3C099D"/>
    <w:rsid w:val="5D570AB1"/>
    <w:rsid w:val="5D59154F"/>
    <w:rsid w:val="5D600B2F"/>
    <w:rsid w:val="5D6D59AB"/>
    <w:rsid w:val="5D9C143B"/>
    <w:rsid w:val="5DA86032"/>
    <w:rsid w:val="5DCB6083"/>
    <w:rsid w:val="5DD230AF"/>
    <w:rsid w:val="5DE132F2"/>
    <w:rsid w:val="5DE54B90"/>
    <w:rsid w:val="5DF001EB"/>
    <w:rsid w:val="5DFE3EA4"/>
    <w:rsid w:val="5E055233"/>
    <w:rsid w:val="5E0D72B8"/>
    <w:rsid w:val="5E4775F9"/>
    <w:rsid w:val="5E5C6BAC"/>
    <w:rsid w:val="5E6A778C"/>
    <w:rsid w:val="5EB82C97"/>
    <w:rsid w:val="5EBE2D22"/>
    <w:rsid w:val="5EC94306"/>
    <w:rsid w:val="5EE57DEF"/>
    <w:rsid w:val="5F245B8C"/>
    <w:rsid w:val="5F29040C"/>
    <w:rsid w:val="5F3479DF"/>
    <w:rsid w:val="5F4010A7"/>
    <w:rsid w:val="5F721AF0"/>
    <w:rsid w:val="5FAA23A3"/>
    <w:rsid w:val="5FD82C61"/>
    <w:rsid w:val="5FFA1614"/>
    <w:rsid w:val="5FFE63DD"/>
    <w:rsid w:val="600E3E55"/>
    <w:rsid w:val="601D5BCF"/>
    <w:rsid w:val="6041144F"/>
    <w:rsid w:val="60432042"/>
    <w:rsid w:val="60583D40"/>
    <w:rsid w:val="60681AA9"/>
    <w:rsid w:val="606C1599"/>
    <w:rsid w:val="6074044E"/>
    <w:rsid w:val="60786190"/>
    <w:rsid w:val="607E307A"/>
    <w:rsid w:val="60A823BF"/>
    <w:rsid w:val="60A83445"/>
    <w:rsid w:val="60C6562D"/>
    <w:rsid w:val="60D82466"/>
    <w:rsid w:val="612F2105"/>
    <w:rsid w:val="615F4C5A"/>
    <w:rsid w:val="61677FB2"/>
    <w:rsid w:val="616F002F"/>
    <w:rsid w:val="61730705"/>
    <w:rsid w:val="617F354E"/>
    <w:rsid w:val="61970898"/>
    <w:rsid w:val="62022F83"/>
    <w:rsid w:val="62175534"/>
    <w:rsid w:val="621E4B15"/>
    <w:rsid w:val="625C786C"/>
    <w:rsid w:val="62773F76"/>
    <w:rsid w:val="627E15CF"/>
    <w:rsid w:val="6283706E"/>
    <w:rsid w:val="628801E0"/>
    <w:rsid w:val="62D804DD"/>
    <w:rsid w:val="62DE2463"/>
    <w:rsid w:val="63471E49"/>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D331BE"/>
    <w:rsid w:val="69EB1FDC"/>
    <w:rsid w:val="69FA3354"/>
    <w:rsid w:val="69FE4B1A"/>
    <w:rsid w:val="6A165180"/>
    <w:rsid w:val="6A1F767C"/>
    <w:rsid w:val="6A9516EC"/>
    <w:rsid w:val="6AB42873"/>
    <w:rsid w:val="6AC81AC2"/>
    <w:rsid w:val="6AD064F1"/>
    <w:rsid w:val="6B317667"/>
    <w:rsid w:val="6B5A6D4C"/>
    <w:rsid w:val="6B8A60F8"/>
    <w:rsid w:val="6BA8544F"/>
    <w:rsid w:val="6BD56BBF"/>
    <w:rsid w:val="6BD7054F"/>
    <w:rsid w:val="6BED613A"/>
    <w:rsid w:val="6C3D64DF"/>
    <w:rsid w:val="6C3E7464"/>
    <w:rsid w:val="6C452082"/>
    <w:rsid w:val="6C5506F2"/>
    <w:rsid w:val="6C5C0714"/>
    <w:rsid w:val="6CA65E33"/>
    <w:rsid w:val="6CAD73D6"/>
    <w:rsid w:val="6CB73B9C"/>
    <w:rsid w:val="6CE93F71"/>
    <w:rsid w:val="6D166FC6"/>
    <w:rsid w:val="6D2A0812"/>
    <w:rsid w:val="6D34343E"/>
    <w:rsid w:val="6D7221B9"/>
    <w:rsid w:val="6D7D3037"/>
    <w:rsid w:val="6DB36A59"/>
    <w:rsid w:val="6E076DA5"/>
    <w:rsid w:val="6E2830B5"/>
    <w:rsid w:val="6E3E2600"/>
    <w:rsid w:val="6E423939"/>
    <w:rsid w:val="6E427879"/>
    <w:rsid w:val="6E533D98"/>
    <w:rsid w:val="6E7837FF"/>
    <w:rsid w:val="6E7A034A"/>
    <w:rsid w:val="6E85086A"/>
    <w:rsid w:val="6E9F59DB"/>
    <w:rsid w:val="6EB8009F"/>
    <w:rsid w:val="6F143527"/>
    <w:rsid w:val="6F1E2844"/>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AE090D"/>
    <w:rsid w:val="71C12C62"/>
    <w:rsid w:val="71D1496D"/>
    <w:rsid w:val="71D74828"/>
    <w:rsid w:val="721101F2"/>
    <w:rsid w:val="72440D47"/>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7800B5"/>
    <w:rsid w:val="747F58E7"/>
    <w:rsid w:val="74890514"/>
    <w:rsid w:val="74921493"/>
    <w:rsid w:val="749D7B1B"/>
    <w:rsid w:val="74C257D9"/>
    <w:rsid w:val="751678CE"/>
    <w:rsid w:val="75175143"/>
    <w:rsid w:val="751F5BF6"/>
    <w:rsid w:val="754932A6"/>
    <w:rsid w:val="755A3C5E"/>
    <w:rsid w:val="75703482"/>
    <w:rsid w:val="75E63744"/>
    <w:rsid w:val="76085468"/>
    <w:rsid w:val="761171BF"/>
    <w:rsid w:val="76124539"/>
    <w:rsid w:val="76676633"/>
    <w:rsid w:val="768A0384"/>
    <w:rsid w:val="76A315A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7B3118"/>
    <w:rsid w:val="78AF5E4F"/>
    <w:rsid w:val="78E1046A"/>
    <w:rsid w:val="78F26496"/>
    <w:rsid w:val="79077C59"/>
    <w:rsid w:val="79184530"/>
    <w:rsid w:val="792870F3"/>
    <w:rsid w:val="792D3AAE"/>
    <w:rsid w:val="793A6280"/>
    <w:rsid w:val="794732B8"/>
    <w:rsid w:val="79B25E17"/>
    <w:rsid w:val="79B92E6D"/>
    <w:rsid w:val="7A1963AB"/>
    <w:rsid w:val="7A3902E6"/>
    <w:rsid w:val="7A435E4B"/>
    <w:rsid w:val="7A460C55"/>
    <w:rsid w:val="7A524009"/>
    <w:rsid w:val="7A996FD7"/>
    <w:rsid w:val="7AA634A2"/>
    <w:rsid w:val="7ABD0F17"/>
    <w:rsid w:val="7ACD0A2E"/>
    <w:rsid w:val="7AD63D87"/>
    <w:rsid w:val="7AFF3BA5"/>
    <w:rsid w:val="7B1F65CA"/>
    <w:rsid w:val="7B493A62"/>
    <w:rsid w:val="7B6E3FBF"/>
    <w:rsid w:val="7B6E5D6D"/>
    <w:rsid w:val="7BAD5E8E"/>
    <w:rsid w:val="7BB11EB4"/>
    <w:rsid w:val="7BB120FE"/>
    <w:rsid w:val="7BF9373B"/>
    <w:rsid w:val="7C064A88"/>
    <w:rsid w:val="7C66113B"/>
    <w:rsid w:val="7C745605"/>
    <w:rsid w:val="7C961804"/>
    <w:rsid w:val="7CB9570E"/>
    <w:rsid w:val="7CF14EA8"/>
    <w:rsid w:val="7D2708CA"/>
    <w:rsid w:val="7D781125"/>
    <w:rsid w:val="7D9677FD"/>
    <w:rsid w:val="7DCC7E3B"/>
    <w:rsid w:val="7DD00F61"/>
    <w:rsid w:val="7DD81BC4"/>
    <w:rsid w:val="7DFA5FDE"/>
    <w:rsid w:val="7E6D00CA"/>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29"/>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2"/>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next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2"/>
    <w:basedOn w:val="1"/>
    <w:next w:val="1"/>
    <w:autoRedefine/>
    <w:unhideWhenUsed/>
    <w:qFormat/>
    <w:uiPriority w:val="39"/>
    <w:pPr>
      <w:ind w:left="420" w:leftChars="200"/>
    </w:pPr>
  </w:style>
  <w:style w:type="paragraph" w:styleId="17">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8">
    <w:name w:val="Normal (Web)"/>
    <w:basedOn w:val="1"/>
    <w:autoRedefine/>
    <w:qFormat/>
    <w:uiPriority w:val="99"/>
    <w:pPr>
      <w:spacing w:beforeAutospacing="1" w:afterAutospacing="1"/>
      <w:jc w:val="left"/>
    </w:pPr>
    <w:rPr>
      <w:rFonts w:cs="Times New Roman"/>
      <w:kern w:val="0"/>
      <w:sz w:val="24"/>
    </w:rPr>
  </w:style>
  <w:style w:type="paragraph" w:styleId="19">
    <w:name w:val="Body Text First Indent"/>
    <w:basedOn w:val="10"/>
    <w:next w:val="20"/>
    <w:autoRedefine/>
    <w:unhideWhenUsed/>
    <w:qFormat/>
    <w:uiPriority w:val="0"/>
    <w:pPr>
      <w:spacing w:line="240" w:lineRule="auto"/>
      <w:ind w:firstLine="420" w:firstLineChars="100"/>
    </w:pPr>
    <w:rPr>
      <w:rFonts w:ascii="Times New Roman" w:hAnsi="Times New Roman"/>
      <w:sz w:val="18"/>
      <w:szCs w:val="18"/>
    </w:rPr>
  </w:style>
  <w:style w:type="paragraph" w:styleId="20">
    <w:name w:val="Body Text First Indent 2"/>
    <w:basedOn w:val="11"/>
    <w:next w:val="1"/>
    <w:autoRedefine/>
    <w:qFormat/>
    <w:uiPriority w:val="0"/>
    <w:pPr>
      <w:spacing w:line="240" w:lineRule="auto"/>
      <w:ind w:firstLine="420" w:firstLineChars="200"/>
    </w:pPr>
    <w:rPr>
      <w:rFonts w:eastAsia="楷体_GB2312"/>
      <w:b/>
      <w:szCs w:val="24"/>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Hyperlink"/>
    <w:autoRedefine/>
    <w:qFormat/>
    <w:uiPriority w:val="99"/>
    <w:rPr>
      <w:color w:val="000000"/>
      <w:sz w:val="18"/>
      <w:szCs w:val="18"/>
      <w:u w:val="none"/>
    </w:rPr>
  </w:style>
  <w:style w:type="paragraph" w:customStyle="1" w:styleId="2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正文缩进1"/>
    <w:basedOn w:val="1"/>
    <w:autoRedefine/>
    <w:qFormat/>
    <w:uiPriority w:val="0"/>
    <w:pPr>
      <w:ind w:firstLine="420" w:firstLineChars="200"/>
    </w:pPr>
  </w:style>
  <w:style w:type="paragraph" w:customStyle="1" w:styleId="27">
    <w:name w:val="正文（缩进 2 字符）"/>
    <w:basedOn w:val="1"/>
    <w:autoRedefine/>
    <w:qFormat/>
    <w:uiPriority w:val="0"/>
    <w:pPr>
      <w:ind w:firstLine="200" w:firstLineChars="200"/>
    </w:pPr>
  </w:style>
  <w:style w:type="paragraph" w:customStyle="1" w:styleId="28">
    <w:name w:val="正文（缩进 4 字符）"/>
    <w:basedOn w:val="1"/>
    <w:autoRedefine/>
    <w:qFormat/>
    <w:uiPriority w:val="0"/>
    <w:pPr>
      <w:ind w:firstLine="1134" w:firstLineChars="400"/>
    </w:pPr>
  </w:style>
  <w:style w:type="character" w:customStyle="1" w:styleId="29">
    <w:name w:val="标题 1 Char1"/>
    <w:link w:val="2"/>
    <w:autoRedefine/>
    <w:qFormat/>
    <w:uiPriority w:val="9"/>
    <w:rPr>
      <w:rFonts w:eastAsia="黑体"/>
      <w:b/>
      <w:bCs/>
      <w:color w:val="000000"/>
      <w:kern w:val="44"/>
      <w:sz w:val="32"/>
      <w:szCs w:val="36"/>
    </w:rPr>
  </w:style>
  <w:style w:type="paragraph" w:customStyle="1" w:styleId="30">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1">
    <w:name w:val="标题 2（投标文件）"/>
    <w:basedOn w:val="3"/>
    <w:autoRedefine/>
    <w:qFormat/>
    <w:uiPriority w:val="0"/>
    <w:pPr>
      <w:jc w:val="center"/>
    </w:pPr>
  </w:style>
  <w:style w:type="character" w:customStyle="1" w:styleId="32">
    <w:name w:val="标题 2 Char"/>
    <w:link w:val="3"/>
    <w:autoRedefine/>
    <w:qFormat/>
    <w:uiPriority w:val="9"/>
    <w:rPr>
      <w:rFonts w:ascii="Calibri" w:hAnsi="Calibri" w:cs="Calibri"/>
      <w:b/>
      <w:bCs/>
      <w:sz w:val="30"/>
      <w:szCs w:val="32"/>
    </w:rPr>
  </w:style>
  <w:style w:type="paragraph" w:customStyle="1" w:styleId="33">
    <w:name w:val="标题 3（投标文件）"/>
    <w:basedOn w:val="4"/>
    <w:autoRedefine/>
    <w:qFormat/>
    <w:uiPriority w:val="0"/>
    <w:pPr>
      <w:jc w:val="left"/>
    </w:pPr>
  </w:style>
  <w:style w:type="paragraph" w:customStyle="1" w:styleId="34">
    <w:name w:val="正文文本 31"/>
    <w:basedOn w:val="1"/>
    <w:autoRedefine/>
    <w:qFormat/>
    <w:uiPriority w:val="0"/>
    <w:rPr>
      <w:sz w:val="16"/>
      <w:szCs w:val="16"/>
    </w:rPr>
  </w:style>
  <w:style w:type="character" w:customStyle="1" w:styleId="35">
    <w:name w:val="NormalCharacter"/>
    <w:autoRedefine/>
    <w:qFormat/>
    <w:uiPriority w:val="0"/>
    <w:rPr>
      <w:kern w:val="2"/>
      <w:sz w:val="21"/>
      <w:szCs w:val="22"/>
      <w:lang w:val="en-US" w:eastAsia="zh-CN" w:bidi="ar-SA"/>
    </w:rPr>
  </w:style>
  <w:style w:type="character" w:customStyle="1" w:styleId="36">
    <w:name w:val="UserStyle_0"/>
    <w:autoRedefine/>
    <w:semiHidden/>
    <w:qFormat/>
    <w:uiPriority w:val="0"/>
  </w:style>
  <w:style w:type="paragraph" w:customStyle="1" w:styleId="37">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8">
    <w:name w:val="Table Normal"/>
    <w:autoRedefine/>
    <w:qFormat/>
    <w:uiPriority w:val="0"/>
    <w:tblPr>
      <w:tblCellMar>
        <w:top w:w="0" w:type="dxa"/>
        <w:left w:w="0" w:type="dxa"/>
        <w:bottom w:w="0" w:type="dxa"/>
        <w:right w:w="0" w:type="dxa"/>
      </w:tblCellMar>
    </w:tblPr>
  </w:style>
  <w:style w:type="character" w:customStyle="1" w:styleId="39">
    <w:name w:val="15"/>
    <w:basedOn w:val="23"/>
    <w:qFormat/>
    <w:uiPriority w:val="0"/>
    <w:rPr>
      <w:rFonts w:hint="eastAsia" w:ascii="宋体" w:hAnsi="宋体" w:eastAsia="宋体"/>
      <w:color w:val="000000"/>
      <w:sz w:val="22"/>
      <w:szCs w:val="22"/>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1">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9776</Words>
  <Characters>10437</Characters>
  <Lines>0</Lines>
  <Paragraphs>0</Paragraphs>
  <TotalTime>121</TotalTime>
  <ScaleCrop>false</ScaleCrop>
  <LinksUpToDate>false</LinksUpToDate>
  <CharactersWithSpaces>10514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ZXH</cp:lastModifiedBy>
  <cp:lastPrinted>2026-07-22T01:10:00Z</cp:lastPrinted>
  <dcterms:modified xsi:type="dcterms:W3CDTF">2026-07-23T08:39:07Z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57564B1FD8F74468BB30EF871D83CAE9_13</vt:lpwstr>
  </property>
  <property fmtid="{D5CDD505-2E9C-101B-9397-08002B2CF9AE}" pid="4" name="KSOTemplateDocerSaveRecord">
    <vt:lpwstr>eyJoZGlkIjoiMzQwNzAwYzJiZDFmYmZmYzlmMTcxYmYzNTJhYjAyNzYiLCJ1c2VySWQiOiIzNjgwODc5MTEifQ==</vt:lpwstr>
  </property>
</Properties>
</file>